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4715" w14:textId="77777777" w:rsidR="002C07CB" w:rsidRPr="00F83272" w:rsidRDefault="002C07CB" w:rsidP="002C07CB">
      <w:pPr>
        <w:pBdr>
          <w:top w:val="single" w:sz="4" w:space="0" w:color="000000"/>
          <w:left w:val="single" w:sz="4" w:space="0" w:color="000000"/>
          <w:bottom w:val="single" w:sz="4" w:space="0" w:color="000000"/>
          <w:right w:val="single" w:sz="4" w:space="0" w:color="000000"/>
        </w:pBdr>
        <w:shd w:val="clear" w:color="auto" w:fill="F2F2F2"/>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Bericht über die Sitzung der lokalen Energiekommission Gas über die Gewährung von Winterhilfe</w:t>
      </w:r>
      <w:r w:rsidRPr="00F83272">
        <w:rPr>
          <w:rStyle w:val="Appelnotedebasdep"/>
          <w:rFonts w:ascii="Times New Roman" w:hAnsi="Times New Roman"/>
          <w:b/>
          <w:color w:val="000000"/>
          <w:sz w:val="24"/>
          <w:szCs w:val="24"/>
        </w:rPr>
        <w:footnoteReference w:id="1"/>
      </w:r>
      <w:r>
        <w:rPr>
          <w:rFonts w:ascii="Times New Roman" w:hAnsi="Times New Roman"/>
          <w:b/>
          <w:color w:val="000000"/>
          <w:sz w:val="24"/>
        </w:rPr>
        <w:t xml:space="preserve"> für geschützte Kunden  </w:t>
      </w:r>
    </w:p>
    <w:p w14:paraId="6F93A513" w14:textId="77777777" w:rsidR="002C07CB" w:rsidRPr="00F83272" w:rsidRDefault="002C07CB" w:rsidP="002C07CB">
      <w:pPr>
        <w:spacing w:after="0"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0E30CFCD" w14:textId="04356B4E" w:rsidR="002C07CB" w:rsidRPr="00F83272" w:rsidRDefault="002C07CB" w:rsidP="002E1CF7">
      <w:pPr>
        <w:tabs>
          <w:tab w:val="right" w:leader="dot" w:pos="9072"/>
        </w:tabs>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Gemeinde </w:t>
      </w:r>
      <w:r w:rsidR="002E1CF7">
        <w:rPr>
          <w:rFonts w:ascii="Times New Roman" w:hAnsi="Times New Roman"/>
          <w:b/>
          <w:color w:val="000000"/>
          <w:sz w:val="24"/>
        </w:rPr>
        <w:tab/>
      </w:r>
    </w:p>
    <w:p w14:paraId="01A0B5BB" w14:textId="77777777" w:rsidR="002C07CB" w:rsidRPr="00F83272" w:rsidRDefault="002C07CB" w:rsidP="002E1CF7">
      <w:pPr>
        <w:tabs>
          <w:tab w:val="right" w:leader="dot" w:pos="9072"/>
        </w:tabs>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p w14:paraId="0D687AA3" w14:textId="77777777" w:rsidR="002C07CB" w:rsidRPr="00F83272" w:rsidRDefault="002C07CB" w:rsidP="002E1CF7">
      <w:pPr>
        <w:tabs>
          <w:tab w:val="right" w:leader="dot" w:pos="9072"/>
        </w:tabs>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Lokale Energiekommission - Gas/Weiterführung der Winterhilfe </w:t>
      </w:r>
    </w:p>
    <w:p w14:paraId="7C357F6D" w14:textId="77777777" w:rsidR="002C07CB" w:rsidRPr="00F83272" w:rsidRDefault="002C07CB" w:rsidP="002E1CF7">
      <w:pPr>
        <w:tabs>
          <w:tab w:val="right" w:leader="dot" w:pos="9072"/>
        </w:tabs>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p w14:paraId="2B66777E" w14:textId="222BD3F2" w:rsidR="002C07CB" w:rsidRDefault="002C07CB" w:rsidP="002E1CF7">
      <w:pPr>
        <w:tabs>
          <w:tab w:val="right" w:leader="dot" w:pos="9072"/>
        </w:tabs>
        <w:spacing w:after="0" w:line="240" w:lineRule="atLeast"/>
        <w:rPr>
          <w:rFonts w:ascii="Times New Roman" w:hAnsi="Times New Roman"/>
          <w:b/>
          <w:color w:val="000000"/>
          <w:sz w:val="24"/>
        </w:rPr>
      </w:pPr>
      <w:r>
        <w:rPr>
          <w:rFonts w:ascii="Times New Roman" w:hAnsi="Times New Roman"/>
          <w:b/>
          <w:color w:val="000000"/>
          <w:sz w:val="24"/>
        </w:rPr>
        <w:t>Bericht über die Sitzung am</w:t>
      </w:r>
      <w:r w:rsidR="002E1CF7">
        <w:rPr>
          <w:rFonts w:ascii="Times New Roman" w:hAnsi="Times New Roman"/>
          <w:b/>
          <w:color w:val="000000"/>
          <w:sz w:val="24"/>
        </w:rPr>
        <w:tab/>
      </w:r>
      <w:r>
        <w:rPr>
          <w:rFonts w:ascii="Times New Roman" w:hAnsi="Times New Roman"/>
          <w:b/>
          <w:color w:val="000000"/>
          <w:sz w:val="24"/>
        </w:rPr>
        <w:t xml:space="preserve">, veranstaltet: </w:t>
      </w:r>
    </w:p>
    <w:p w14:paraId="618D7CA6" w14:textId="77777777" w:rsidR="002E1CF7" w:rsidRPr="00F83272" w:rsidRDefault="002E1CF7" w:rsidP="002E1CF7">
      <w:pPr>
        <w:tabs>
          <w:tab w:val="right" w:leader="dot" w:pos="9072"/>
        </w:tabs>
        <w:spacing w:after="0" w:line="240" w:lineRule="atLeast"/>
        <w:rPr>
          <w:rFonts w:ascii="Times New Roman" w:eastAsia="Calibri" w:hAnsi="Times New Roman" w:cs="Times New Roman"/>
          <w:color w:val="000000"/>
          <w:sz w:val="24"/>
          <w:szCs w:val="24"/>
        </w:rPr>
      </w:pPr>
    </w:p>
    <w:p w14:paraId="1502D473" w14:textId="77777777" w:rsidR="002C07CB" w:rsidRPr="00F83272" w:rsidRDefault="002C07CB" w:rsidP="002E1CF7">
      <w:pPr>
        <w:numPr>
          <w:ilvl w:val="0"/>
          <w:numId w:val="1"/>
        </w:numPr>
        <w:tabs>
          <w:tab w:val="left" w:pos="284"/>
          <w:tab w:val="right" w:leader="dot" w:pos="9072"/>
        </w:tabs>
        <w:spacing w:after="0" w:line="240" w:lineRule="atLeast"/>
        <w:ind w:left="0"/>
        <w:rPr>
          <w:rFonts w:ascii="Times New Roman" w:eastAsia="Calibri" w:hAnsi="Times New Roman" w:cs="Times New Roman"/>
          <w:color w:val="000000"/>
          <w:sz w:val="24"/>
          <w:szCs w:val="24"/>
        </w:rPr>
      </w:pPr>
      <w:r>
        <w:rPr>
          <w:rFonts w:ascii="Times New Roman" w:hAnsi="Times New Roman"/>
          <w:b/>
          <w:color w:val="000000"/>
          <w:sz w:val="24"/>
        </w:rPr>
        <w:t xml:space="preserve">Innerhalb des ÖSHZ </w:t>
      </w:r>
    </w:p>
    <w:p w14:paraId="289CF1AE" w14:textId="77777777" w:rsidR="002C07CB" w:rsidRPr="00F83272" w:rsidRDefault="002C07CB" w:rsidP="002E1CF7">
      <w:pPr>
        <w:numPr>
          <w:ilvl w:val="0"/>
          <w:numId w:val="1"/>
        </w:numPr>
        <w:tabs>
          <w:tab w:val="left" w:pos="284"/>
          <w:tab w:val="right" w:leader="dot" w:pos="9072"/>
        </w:tabs>
        <w:spacing w:after="0" w:line="240" w:lineRule="atLeast"/>
        <w:ind w:left="0"/>
        <w:rPr>
          <w:rFonts w:ascii="Times New Roman" w:eastAsia="Calibri" w:hAnsi="Times New Roman" w:cs="Times New Roman"/>
          <w:color w:val="000000"/>
          <w:sz w:val="24"/>
          <w:szCs w:val="24"/>
        </w:rPr>
      </w:pPr>
      <w:r>
        <w:rPr>
          <w:rFonts w:ascii="Times New Roman" w:hAnsi="Times New Roman"/>
          <w:b/>
          <w:color w:val="000000"/>
          <w:sz w:val="24"/>
        </w:rPr>
        <w:t xml:space="preserve">Per Telefonkonferenz </w:t>
      </w:r>
    </w:p>
    <w:p w14:paraId="27F07901" w14:textId="77777777" w:rsidR="002C07CB" w:rsidRPr="00F83272" w:rsidRDefault="002C07CB" w:rsidP="002E1CF7">
      <w:pPr>
        <w:tabs>
          <w:tab w:val="right" w:leader="dot" w:pos="9072"/>
        </w:tabs>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p w14:paraId="4F5ED834" w14:textId="77777777" w:rsidR="002C07CB" w:rsidRPr="00F83272" w:rsidRDefault="002C07CB" w:rsidP="002E1CF7">
      <w:pPr>
        <w:shd w:val="clear" w:color="auto" w:fill="CCCCCC"/>
        <w:tabs>
          <w:tab w:val="right" w:leader="dot" w:pos="9072"/>
        </w:tabs>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Zusammensetzung der Kommission </w:t>
      </w:r>
    </w:p>
    <w:p w14:paraId="04992F9E" w14:textId="77777777" w:rsidR="002C07CB" w:rsidRPr="00F83272" w:rsidRDefault="002C07CB" w:rsidP="002E1CF7">
      <w:pPr>
        <w:shd w:val="clear" w:color="auto" w:fill="CCCCCC"/>
        <w:tabs>
          <w:tab w:val="right" w:leader="dot" w:pos="9072"/>
        </w:tabs>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bl>
      <w:tblPr>
        <w:tblStyle w:val="TableGrid"/>
        <w:tblW w:w="5000" w:type="pct"/>
        <w:tblInd w:w="0" w:type="dxa"/>
        <w:tblCellMar>
          <w:top w:w="9" w:type="dxa"/>
          <w:left w:w="108" w:type="dxa"/>
          <w:right w:w="115" w:type="dxa"/>
        </w:tblCellMar>
        <w:tblLook w:val="04A0" w:firstRow="1" w:lastRow="0" w:firstColumn="1" w:lastColumn="0" w:noHBand="0" w:noVBand="1"/>
      </w:tblPr>
      <w:tblGrid>
        <w:gridCol w:w="9072"/>
      </w:tblGrid>
      <w:tr w:rsidR="002C07CB" w:rsidRPr="00F83272" w14:paraId="3CDCD65A" w14:textId="77777777" w:rsidTr="0056426D">
        <w:trPr>
          <w:trHeight w:val="782"/>
        </w:trPr>
        <w:tc>
          <w:tcPr>
            <w:tcW w:w="5000" w:type="pct"/>
            <w:tcBorders>
              <w:top w:val="nil"/>
              <w:left w:val="nil"/>
              <w:bottom w:val="single" w:sz="17" w:space="0" w:color="FFFFFF"/>
              <w:right w:val="nil"/>
            </w:tcBorders>
            <w:shd w:val="clear" w:color="auto" w:fill="F2F2F2"/>
          </w:tcPr>
          <w:p w14:paraId="03C46305" w14:textId="01796EA0" w:rsidR="002C07CB" w:rsidRPr="00F83272" w:rsidRDefault="002C07CB" w:rsidP="002E1CF7">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Frau oder Herr </w:t>
            </w:r>
            <w:r w:rsidR="002E1CF7">
              <w:rPr>
                <w:rFonts w:ascii="Times New Roman" w:hAnsi="Times New Roman"/>
                <w:color w:val="000000"/>
                <w:sz w:val="24"/>
              </w:rPr>
              <w:tab/>
            </w:r>
            <w:r>
              <w:rPr>
                <w:rFonts w:ascii="Times New Roman" w:hAnsi="Times New Roman"/>
                <w:color w:val="000000"/>
                <w:sz w:val="24"/>
              </w:rPr>
              <w:t xml:space="preserve">,  </w:t>
            </w:r>
          </w:p>
          <w:p w14:paraId="20176726" w14:textId="77777777" w:rsidR="002C07CB" w:rsidRPr="00F83272" w:rsidRDefault="002C07CB" w:rsidP="002E1CF7">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Vorsitzender und vom Sozialhilferat ernannter Vertreter </w:t>
            </w:r>
          </w:p>
        </w:tc>
      </w:tr>
      <w:tr w:rsidR="002C07CB" w:rsidRPr="00F83272" w14:paraId="1FB2ED95" w14:textId="77777777" w:rsidTr="0056426D">
        <w:trPr>
          <w:trHeight w:val="783"/>
        </w:trPr>
        <w:tc>
          <w:tcPr>
            <w:tcW w:w="5000" w:type="pct"/>
            <w:tcBorders>
              <w:top w:val="single" w:sz="17" w:space="0" w:color="FFFFFF"/>
              <w:left w:val="nil"/>
              <w:bottom w:val="nil"/>
              <w:right w:val="nil"/>
            </w:tcBorders>
            <w:shd w:val="clear" w:color="auto" w:fill="F2F2F2"/>
          </w:tcPr>
          <w:p w14:paraId="7F180159" w14:textId="6A36C78C" w:rsidR="002C07CB" w:rsidRPr="00F83272" w:rsidRDefault="002C07CB" w:rsidP="002E1CF7">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Frau oder Herr </w:t>
            </w:r>
            <w:r w:rsidR="002E1CF7">
              <w:rPr>
                <w:rFonts w:ascii="Times New Roman" w:hAnsi="Times New Roman"/>
                <w:color w:val="000000"/>
                <w:sz w:val="24"/>
              </w:rPr>
              <w:tab/>
            </w:r>
            <w:r>
              <w:rPr>
                <w:rFonts w:ascii="Times New Roman" w:hAnsi="Times New Roman"/>
                <w:color w:val="000000"/>
                <w:sz w:val="24"/>
              </w:rPr>
              <w:t xml:space="preserve">,  </w:t>
            </w:r>
          </w:p>
          <w:p w14:paraId="56F8BE8C" w14:textId="77777777" w:rsidR="002C07CB" w:rsidRPr="00F83272" w:rsidRDefault="002C07CB" w:rsidP="002E1CF7">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Vertreter, der die soziale Energieberatung im ÖSHZ sicherstellt </w:t>
            </w:r>
          </w:p>
        </w:tc>
      </w:tr>
    </w:tbl>
    <w:p w14:paraId="2E51361C" w14:textId="59ED49A8" w:rsidR="002C07CB" w:rsidRPr="00F83272" w:rsidRDefault="002C07CB" w:rsidP="002E1CF7">
      <w:pPr>
        <w:keepNext/>
        <w:keepLines/>
        <w:shd w:val="clear" w:color="auto" w:fill="F2F2F2"/>
        <w:tabs>
          <w:tab w:val="right" w:leader="dot" w:pos="9072"/>
        </w:tabs>
        <w:spacing w:after="0" w:line="240" w:lineRule="atLeast"/>
        <w:outlineLvl w:val="0"/>
        <w:rPr>
          <w:rFonts w:ascii="Times New Roman" w:eastAsia="Arial" w:hAnsi="Times New Roman" w:cs="Times New Roman"/>
          <w:color w:val="000000"/>
          <w:sz w:val="24"/>
          <w:szCs w:val="24"/>
        </w:rPr>
      </w:pPr>
      <w:r>
        <w:rPr>
          <w:rFonts w:ascii="Times New Roman" w:hAnsi="Times New Roman"/>
          <w:color w:val="000000"/>
          <w:sz w:val="24"/>
        </w:rPr>
        <w:t xml:space="preserve">Frau oder Herr </w:t>
      </w:r>
      <w:r w:rsidR="001953A3">
        <w:rPr>
          <w:rFonts w:ascii="Times New Roman" w:hAnsi="Times New Roman"/>
          <w:color w:val="000000"/>
          <w:sz w:val="24"/>
        </w:rPr>
        <w:tab/>
      </w:r>
      <w:r>
        <w:rPr>
          <w:rFonts w:ascii="Times New Roman" w:hAnsi="Times New Roman"/>
          <w:color w:val="000000"/>
          <w:sz w:val="24"/>
        </w:rPr>
        <w:t xml:space="preserve">,  </w:t>
      </w:r>
    </w:p>
    <w:p w14:paraId="7C95A6DC" w14:textId="77777777" w:rsidR="002C07CB" w:rsidRPr="00F83272" w:rsidRDefault="002C07CB" w:rsidP="002E1CF7">
      <w:pPr>
        <w:shd w:val="clear" w:color="auto" w:fill="F2F2F2"/>
        <w:tabs>
          <w:tab w:val="right" w:leader="dot" w:pos="9072"/>
        </w:tabs>
        <w:spacing w:after="0"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die/der den sozialen Versorger repräsentiert, mit dem der Kunde verbunden ist. </w:t>
      </w:r>
    </w:p>
    <w:p w14:paraId="142F4C32" w14:textId="77777777" w:rsidR="002C07CB" w:rsidRPr="00F83272" w:rsidRDefault="002C07CB" w:rsidP="002E1CF7">
      <w:pPr>
        <w:tabs>
          <w:tab w:val="right" w:leader="dot" w:pos="9072"/>
        </w:tabs>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bl>
      <w:tblPr>
        <w:tblStyle w:val="TableGrid"/>
        <w:tblW w:w="5000" w:type="pct"/>
        <w:tblInd w:w="0" w:type="dxa"/>
        <w:tblCellMar>
          <w:top w:w="7" w:type="dxa"/>
          <w:left w:w="67" w:type="dxa"/>
          <w:bottom w:w="21" w:type="dxa"/>
          <w:right w:w="115" w:type="dxa"/>
        </w:tblCellMar>
        <w:tblLook w:val="04A0" w:firstRow="1" w:lastRow="0" w:firstColumn="1" w:lastColumn="0" w:noHBand="0" w:noVBand="1"/>
      </w:tblPr>
      <w:tblGrid>
        <w:gridCol w:w="9072"/>
      </w:tblGrid>
      <w:tr w:rsidR="002C07CB" w:rsidRPr="00F83272" w14:paraId="0167FACE" w14:textId="77777777" w:rsidTr="0056426D">
        <w:trPr>
          <w:trHeight w:val="526"/>
        </w:trPr>
        <w:tc>
          <w:tcPr>
            <w:tcW w:w="5000" w:type="pct"/>
            <w:tcBorders>
              <w:top w:val="nil"/>
              <w:left w:val="nil"/>
              <w:bottom w:val="single" w:sz="17" w:space="0" w:color="FFFFFF"/>
              <w:right w:val="nil"/>
            </w:tcBorders>
            <w:shd w:val="clear" w:color="auto" w:fill="CCCCCC"/>
          </w:tcPr>
          <w:p w14:paraId="758AE0D2" w14:textId="77777777" w:rsidR="002C07CB" w:rsidRPr="00F83272" w:rsidRDefault="002C07CB" w:rsidP="002E1CF7">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Das Sekretariat der Kommission wird übernommen von  </w:t>
            </w:r>
          </w:p>
          <w:p w14:paraId="6BDFBD24" w14:textId="77777777" w:rsidR="002C07CB" w:rsidRPr="00F83272" w:rsidRDefault="002C07CB" w:rsidP="002E1CF7">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c>
      </w:tr>
      <w:tr w:rsidR="002C07CB" w:rsidRPr="00F83272" w14:paraId="1AB1BFEE" w14:textId="77777777" w:rsidTr="0056426D">
        <w:trPr>
          <w:trHeight w:val="490"/>
        </w:trPr>
        <w:tc>
          <w:tcPr>
            <w:tcW w:w="5000" w:type="pct"/>
            <w:tcBorders>
              <w:top w:val="single" w:sz="17" w:space="0" w:color="FFFFFF"/>
              <w:left w:val="nil"/>
              <w:bottom w:val="single" w:sz="17" w:space="0" w:color="FFFFFF"/>
              <w:right w:val="nil"/>
            </w:tcBorders>
            <w:shd w:val="clear" w:color="auto" w:fill="F2F2F2"/>
          </w:tcPr>
          <w:p w14:paraId="7735DB63" w14:textId="77777777" w:rsidR="002C07CB" w:rsidRDefault="001953A3" w:rsidP="002E1CF7">
            <w:pPr>
              <w:tabs>
                <w:tab w:val="right" w:leader="dot" w:pos="9072"/>
              </w:tabs>
              <w:spacing w:line="240" w:lineRule="atLeas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b/>
            </w:r>
          </w:p>
          <w:p w14:paraId="627AC3AD" w14:textId="682E5308" w:rsidR="001953A3" w:rsidRPr="00F83272" w:rsidRDefault="001953A3" w:rsidP="002E1CF7">
            <w:pPr>
              <w:tabs>
                <w:tab w:val="right" w:leader="dot" w:pos="9072"/>
              </w:tabs>
              <w:spacing w:line="240" w:lineRule="atLeas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b/>
            </w:r>
          </w:p>
        </w:tc>
      </w:tr>
      <w:tr w:rsidR="002C07CB" w:rsidRPr="00F83272" w14:paraId="3A21FCB4" w14:textId="77777777" w:rsidTr="0056426D">
        <w:trPr>
          <w:trHeight w:val="552"/>
        </w:trPr>
        <w:tc>
          <w:tcPr>
            <w:tcW w:w="5000" w:type="pct"/>
            <w:tcBorders>
              <w:top w:val="single" w:sz="17" w:space="0" w:color="FFFFFF"/>
              <w:left w:val="nil"/>
              <w:bottom w:val="single" w:sz="17" w:space="0" w:color="FFFFFF"/>
              <w:right w:val="nil"/>
            </w:tcBorders>
            <w:shd w:val="clear" w:color="auto" w:fill="CCCCCC"/>
          </w:tcPr>
          <w:p w14:paraId="301CDF82" w14:textId="77777777" w:rsidR="002C07CB" w:rsidRPr="00F83272" w:rsidRDefault="002C07CB" w:rsidP="002E1CF7">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Betroffener Kunde </w:t>
            </w:r>
          </w:p>
          <w:p w14:paraId="5EB75418" w14:textId="77777777" w:rsidR="002C07CB" w:rsidRPr="00F83272" w:rsidRDefault="002C07CB" w:rsidP="002E1CF7">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c>
      </w:tr>
      <w:tr w:rsidR="002C07CB" w:rsidRPr="00F83272" w14:paraId="7BC57504" w14:textId="77777777" w:rsidTr="0056426D">
        <w:trPr>
          <w:trHeight w:val="670"/>
        </w:trPr>
        <w:tc>
          <w:tcPr>
            <w:tcW w:w="5000" w:type="pct"/>
            <w:tcBorders>
              <w:top w:val="single" w:sz="17" w:space="0" w:color="FFFFFF"/>
              <w:left w:val="nil"/>
              <w:bottom w:val="single" w:sz="17" w:space="0" w:color="FFFFFF"/>
              <w:right w:val="nil"/>
            </w:tcBorders>
            <w:shd w:val="clear" w:color="auto" w:fill="F2F2F2"/>
          </w:tcPr>
          <w:p w14:paraId="44E85304" w14:textId="77777777" w:rsidR="002C07CB" w:rsidRPr="00F83272" w:rsidRDefault="002C07CB" w:rsidP="002E1CF7">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Name und Vorname:  </w:t>
            </w:r>
          </w:p>
          <w:p w14:paraId="1FC5A130" w14:textId="77777777" w:rsidR="002C07CB" w:rsidRPr="00F83272" w:rsidRDefault="002C07CB" w:rsidP="002E1CF7">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r w:rsidRPr="00F83272">
              <w:rPr>
                <w:rFonts w:ascii="Times New Roman" w:hAnsi="Times New Roman"/>
                <w:color w:val="000000"/>
                <w:sz w:val="24"/>
                <w:szCs w:val="24"/>
              </w:rPr>
              <w:tab/>
            </w:r>
            <w:r>
              <w:rPr>
                <w:rFonts w:ascii="Times New Roman" w:hAnsi="Times New Roman"/>
                <w:color w:val="000000"/>
                <w:sz w:val="24"/>
              </w:rPr>
              <w:t xml:space="preserve"> </w:t>
            </w:r>
          </w:p>
        </w:tc>
      </w:tr>
      <w:tr w:rsidR="002C07CB" w:rsidRPr="00F83272" w14:paraId="7F3467FB" w14:textId="77777777" w:rsidTr="0056426D">
        <w:trPr>
          <w:trHeight w:val="1418"/>
        </w:trPr>
        <w:tc>
          <w:tcPr>
            <w:tcW w:w="5000" w:type="pct"/>
            <w:tcBorders>
              <w:top w:val="single" w:sz="17" w:space="0" w:color="FFFFFF"/>
              <w:left w:val="nil"/>
              <w:bottom w:val="single" w:sz="17" w:space="0" w:color="FFFFFF"/>
              <w:right w:val="nil"/>
            </w:tcBorders>
            <w:shd w:val="clear" w:color="auto" w:fill="F2F2F2"/>
          </w:tcPr>
          <w:p w14:paraId="61271EB3" w14:textId="77777777" w:rsidR="002C07CB" w:rsidRPr="00F83272" w:rsidRDefault="002C07CB" w:rsidP="002E1CF7">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Postanschrift:  </w:t>
            </w:r>
          </w:p>
          <w:p w14:paraId="34D1A9CC" w14:textId="5E7CDE3B" w:rsidR="002C07CB" w:rsidRDefault="00901EB4" w:rsidP="002E1CF7">
            <w:pPr>
              <w:tabs>
                <w:tab w:val="right" w:leader="dot" w:pos="9072"/>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b/>
            </w:r>
          </w:p>
          <w:p w14:paraId="311CD154" w14:textId="399756E9" w:rsidR="00901EB4" w:rsidRPr="00F83272" w:rsidRDefault="00901EB4" w:rsidP="002E1CF7">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s="Times New Roman"/>
                <w:color w:val="000000"/>
                <w:sz w:val="24"/>
                <w:szCs w:val="24"/>
              </w:rPr>
              <w:tab/>
            </w:r>
          </w:p>
          <w:p w14:paraId="6A6BB8BF" w14:textId="77777777" w:rsidR="002C07CB" w:rsidRPr="00F83272" w:rsidRDefault="002C07CB" w:rsidP="002E1CF7">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Festnetztelefon, Mobiltelefon und E-Mail-Adresse:  </w:t>
            </w:r>
          </w:p>
          <w:p w14:paraId="419B55B9" w14:textId="2FD675BA" w:rsidR="002C07CB" w:rsidRPr="00F83272" w:rsidRDefault="002C07CB" w:rsidP="002E1CF7">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r w:rsidR="00901EB4">
              <w:rPr>
                <w:rFonts w:ascii="Times New Roman" w:hAnsi="Times New Roman"/>
                <w:color w:val="000000"/>
                <w:sz w:val="24"/>
              </w:rPr>
              <w:tab/>
            </w:r>
          </w:p>
        </w:tc>
      </w:tr>
      <w:tr w:rsidR="002C07CB" w:rsidRPr="00F83272" w14:paraId="665BEDF9" w14:textId="77777777" w:rsidTr="0056426D">
        <w:trPr>
          <w:trHeight w:val="418"/>
        </w:trPr>
        <w:tc>
          <w:tcPr>
            <w:tcW w:w="5000" w:type="pct"/>
            <w:tcBorders>
              <w:top w:val="single" w:sz="17" w:space="0" w:color="FFFFFF"/>
              <w:left w:val="nil"/>
              <w:bottom w:val="single" w:sz="17" w:space="0" w:color="FFFFFF"/>
              <w:right w:val="nil"/>
            </w:tcBorders>
            <w:shd w:val="clear" w:color="auto" w:fill="F2F2F2"/>
            <w:vAlign w:val="bottom"/>
          </w:tcPr>
          <w:p w14:paraId="1885F6DB" w14:textId="01D22631" w:rsidR="002C07CB" w:rsidRPr="00F83272" w:rsidRDefault="002C07CB" w:rsidP="002E1CF7">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Kundennummer:</w:t>
            </w:r>
            <w:r w:rsidR="00901EB4">
              <w:rPr>
                <w:rFonts w:ascii="Times New Roman" w:hAnsi="Times New Roman"/>
                <w:color w:val="000000"/>
                <w:sz w:val="24"/>
              </w:rPr>
              <w:t xml:space="preserve"> </w:t>
            </w:r>
            <w:r>
              <w:rPr>
                <w:rFonts w:ascii="Times New Roman" w:hAnsi="Times New Roman"/>
                <w:color w:val="000000"/>
                <w:sz w:val="24"/>
              </w:rPr>
              <w:t xml:space="preserve"> </w:t>
            </w:r>
            <w:r w:rsidR="00901EB4">
              <w:rPr>
                <w:rFonts w:ascii="Times New Roman" w:hAnsi="Times New Roman"/>
                <w:color w:val="000000"/>
                <w:sz w:val="24"/>
              </w:rPr>
              <w:tab/>
            </w:r>
          </w:p>
        </w:tc>
      </w:tr>
      <w:tr w:rsidR="002C07CB" w:rsidRPr="00F83272" w14:paraId="7F76D7F9" w14:textId="77777777" w:rsidTr="0056426D">
        <w:trPr>
          <w:trHeight w:val="403"/>
        </w:trPr>
        <w:tc>
          <w:tcPr>
            <w:tcW w:w="5000" w:type="pct"/>
            <w:tcBorders>
              <w:top w:val="single" w:sz="17" w:space="0" w:color="FFFFFF"/>
              <w:left w:val="nil"/>
              <w:bottom w:val="single" w:sz="17" w:space="0" w:color="FFFFFF"/>
              <w:right w:val="nil"/>
            </w:tcBorders>
            <w:shd w:val="clear" w:color="auto" w:fill="F2F2F2"/>
          </w:tcPr>
          <w:p w14:paraId="6FC54F0F" w14:textId="77777777" w:rsidR="002C07CB" w:rsidRPr="00F83272" w:rsidRDefault="002C07CB" w:rsidP="00901EB4">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lastRenderedPageBreak/>
              <w:t xml:space="preserve"> </w:t>
            </w:r>
            <w:proofErr w:type="gramStart"/>
            <w:r>
              <w:rPr>
                <w:rFonts w:ascii="Times New Roman" w:hAnsi="Times New Roman"/>
                <w:color w:val="000000"/>
                <w:sz w:val="24"/>
              </w:rPr>
              <w:t>Anwesend</w:t>
            </w:r>
            <w:proofErr w:type="gramEnd"/>
            <w:r>
              <w:rPr>
                <w:rFonts w:ascii="Times New Roman" w:hAnsi="Times New Roman"/>
                <w:color w:val="000000"/>
                <w:sz w:val="24"/>
              </w:rPr>
              <w:t xml:space="preserve"> </w:t>
            </w:r>
          </w:p>
        </w:tc>
      </w:tr>
      <w:tr w:rsidR="002C07CB" w:rsidRPr="00F83272" w14:paraId="6CE13270" w14:textId="77777777" w:rsidTr="0056426D">
        <w:trPr>
          <w:trHeight w:val="672"/>
        </w:trPr>
        <w:tc>
          <w:tcPr>
            <w:tcW w:w="5000" w:type="pct"/>
            <w:tcBorders>
              <w:top w:val="single" w:sz="17" w:space="0" w:color="FFFFFF"/>
              <w:left w:val="nil"/>
              <w:bottom w:val="single" w:sz="17" w:space="0" w:color="FFFFFF"/>
              <w:right w:val="nil"/>
            </w:tcBorders>
            <w:shd w:val="clear" w:color="auto" w:fill="F2F2F2"/>
          </w:tcPr>
          <w:p w14:paraId="0D487075" w14:textId="7A5889C9" w:rsidR="002C07CB" w:rsidRPr="00F83272" w:rsidRDefault="002C07CB" w:rsidP="00901EB4">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roofErr w:type="gramStart"/>
            <w:r>
              <w:rPr>
                <w:rFonts w:ascii="Times New Roman" w:hAnsi="Times New Roman"/>
                <w:color w:val="000000"/>
                <w:sz w:val="24"/>
              </w:rPr>
              <w:t>Anwesend</w:t>
            </w:r>
            <w:proofErr w:type="gramEnd"/>
            <w:r>
              <w:rPr>
                <w:rFonts w:ascii="Times New Roman" w:hAnsi="Times New Roman"/>
                <w:color w:val="000000"/>
                <w:sz w:val="24"/>
              </w:rPr>
              <w:t xml:space="preserve"> und unterstützt von: </w:t>
            </w:r>
            <w:r w:rsidR="00901EB4">
              <w:rPr>
                <w:rFonts w:ascii="Times New Roman" w:hAnsi="Times New Roman"/>
                <w:color w:val="000000"/>
                <w:sz w:val="24"/>
              </w:rPr>
              <w:tab/>
            </w:r>
          </w:p>
          <w:p w14:paraId="2F0EFBDE" w14:textId="77777777" w:rsidR="002C07CB" w:rsidRPr="00F83272" w:rsidRDefault="002C07CB" w:rsidP="00901EB4">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(andere Person als der Sozialassistent, der die Beratung übernimmt) </w:t>
            </w:r>
          </w:p>
        </w:tc>
      </w:tr>
      <w:tr w:rsidR="002C07CB" w:rsidRPr="00F83272" w14:paraId="0E8A2DB8" w14:textId="77777777" w:rsidTr="0056426D">
        <w:trPr>
          <w:trHeight w:val="648"/>
        </w:trPr>
        <w:tc>
          <w:tcPr>
            <w:tcW w:w="5000" w:type="pct"/>
            <w:tcBorders>
              <w:top w:val="single" w:sz="17" w:space="0" w:color="FFFFFF"/>
              <w:left w:val="nil"/>
              <w:bottom w:val="nil"/>
              <w:right w:val="nil"/>
            </w:tcBorders>
            <w:shd w:val="clear" w:color="auto" w:fill="F2F2F2"/>
          </w:tcPr>
          <w:p w14:paraId="1658D4C6" w14:textId="03C8B30B" w:rsidR="002C07CB" w:rsidRPr="00F83272" w:rsidRDefault="002C07CB" w:rsidP="00901EB4">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roofErr w:type="gramStart"/>
            <w:r>
              <w:rPr>
                <w:rFonts w:ascii="Times New Roman" w:hAnsi="Times New Roman"/>
                <w:color w:val="000000"/>
                <w:sz w:val="24"/>
              </w:rPr>
              <w:t>Abwesend</w:t>
            </w:r>
            <w:proofErr w:type="gramEnd"/>
            <w:r>
              <w:rPr>
                <w:rFonts w:ascii="Times New Roman" w:hAnsi="Times New Roman"/>
                <w:color w:val="000000"/>
                <w:sz w:val="24"/>
              </w:rPr>
              <w:t xml:space="preserve">, aber vertreten durch: </w:t>
            </w:r>
            <w:r w:rsidR="00901EB4">
              <w:rPr>
                <w:rFonts w:ascii="Times New Roman" w:hAnsi="Times New Roman"/>
                <w:color w:val="000000"/>
                <w:sz w:val="24"/>
              </w:rPr>
              <w:tab/>
            </w:r>
          </w:p>
          <w:p w14:paraId="68E75A90" w14:textId="77777777" w:rsidR="002C07CB" w:rsidRPr="00F83272" w:rsidRDefault="002C07CB" w:rsidP="00901EB4">
            <w:pPr>
              <w:tabs>
                <w:tab w:val="right" w:leader="dot" w:pos="9072"/>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(andere Person als der Sozialassistent, der die Beratung </w:t>
            </w:r>
            <w:proofErr w:type="gramStart"/>
            <w:r>
              <w:rPr>
                <w:rFonts w:ascii="Times New Roman" w:hAnsi="Times New Roman"/>
                <w:color w:val="000000"/>
                <w:sz w:val="24"/>
              </w:rPr>
              <w:t>übernimmt</w:t>
            </w:r>
            <w:proofErr w:type="gramEnd"/>
            <w:r>
              <w:rPr>
                <w:rFonts w:ascii="Times New Roman" w:hAnsi="Times New Roman"/>
                <w:color w:val="000000"/>
                <w:sz w:val="24"/>
              </w:rPr>
              <w:t xml:space="preserve"> + </w:t>
            </w:r>
            <w:r w:rsidRPr="00F83272">
              <w:rPr>
                <w:rFonts w:ascii="Times New Roman" w:hAnsi="Times New Roman"/>
                <w:i/>
                <w:color w:val="000000"/>
                <w:sz w:val="24"/>
                <w:szCs w:val="24"/>
              </w:rPr>
              <w:t>Nachweis beifügen)</w:t>
            </w:r>
            <w:r>
              <w:rPr>
                <w:rFonts w:ascii="Times New Roman" w:hAnsi="Times New Roman"/>
                <w:color w:val="000000"/>
                <w:sz w:val="24"/>
              </w:rPr>
              <w:t xml:space="preserve"> </w:t>
            </w:r>
          </w:p>
        </w:tc>
      </w:tr>
    </w:tbl>
    <w:p w14:paraId="6608926E" w14:textId="77777777" w:rsidR="002C07CB" w:rsidRPr="00F83272" w:rsidRDefault="002C07CB" w:rsidP="00901EB4">
      <w:pPr>
        <w:shd w:val="clear" w:color="auto" w:fill="F2F2F2"/>
        <w:tabs>
          <w:tab w:val="right" w:leader="dot" w:pos="9072"/>
        </w:tabs>
        <w:spacing w:after="0"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Entschuldigt </w:t>
      </w:r>
      <w:r w:rsidRPr="00F83272">
        <w:rPr>
          <w:rFonts w:ascii="Times New Roman" w:hAnsi="Times New Roman"/>
          <w:i/>
          <w:color w:val="000000"/>
          <w:sz w:val="24"/>
          <w:szCs w:val="24"/>
        </w:rPr>
        <w:t>(Nachweis beifügen)</w:t>
      </w:r>
      <w:r>
        <w:rPr>
          <w:rFonts w:ascii="Times New Roman" w:hAnsi="Times New Roman"/>
          <w:color w:val="000000"/>
          <w:sz w:val="24"/>
        </w:rPr>
        <w:t xml:space="preserve"> </w:t>
      </w:r>
    </w:p>
    <w:p w14:paraId="71E674B4" w14:textId="77777777" w:rsidR="002C07CB" w:rsidRPr="00F83272" w:rsidRDefault="002C07CB" w:rsidP="00901EB4">
      <w:pPr>
        <w:keepNext/>
        <w:keepLines/>
        <w:shd w:val="clear" w:color="auto" w:fill="F2F2F2"/>
        <w:tabs>
          <w:tab w:val="right" w:leader="dot" w:pos="9072"/>
        </w:tabs>
        <w:spacing w:after="0" w:line="240" w:lineRule="atLeast"/>
        <w:outlineLvl w:val="0"/>
        <w:rPr>
          <w:rFonts w:ascii="Times New Roman" w:eastAsia="Arial" w:hAnsi="Times New Roman" w:cs="Times New Roman"/>
          <w:color w:val="000000"/>
          <w:sz w:val="24"/>
          <w:szCs w:val="24"/>
        </w:rPr>
      </w:pPr>
      <w:r>
        <w:rPr>
          <w:rFonts w:ascii="Times New Roman" w:hAnsi="Times New Roman"/>
          <w:color w:val="000000"/>
          <w:sz w:val="24"/>
        </w:rPr>
        <w:t xml:space="preserve"> </w:t>
      </w:r>
      <w:proofErr w:type="gramStart"/>
      <w:r>
        <w:rPr>
          <w:rFonts w:ascii="Times New Roman" w:hAnsi="Times New Roman"/>
          <w:color w:val="000000"/>
          <w:sz w:val="24"/>
        </w:rPr>
        <w:t>Abwesend</w:t>
      </w:r>
      <w:proofErr w:type="gramEnd"/>
      <w:r>
        <w:rPr>
          <w:rFonts w:ascii="Times New Roman" w:hAnsi="Times New Roman"/>
          <w:color w:val="000000"/>
          <w:sz w:val="24"/>
        </w:rPr>
        <w:t xml:space="preserve"> </w:t>
      </w:r>
    </w:p>
    <w:p w14:paraId="31180910" w14:textId="77777777" w:rsidR="002C07CB" w:rsidRPr="00F83272" w:rsidRDefault="002C07CB" w:rsidP="002C07CB">
      <w:pPr>
        <w:spacing w:after="0" w:line="240" w:lineRule="atLeast"/>
        <w:rPr>
          <w:rFonts w:ascii="Times New Roman" w:eastAsia="Arial" w:hAnsi="Times New Roman" w:cs="Times New Roman"/>
          <w:b/>
          <w:color w:val="000000"/>
          <w:sz w:val="24"/>
          <w:szCs w:val="24"/>
        </w:rPr>
      </w:pPr>
      <w:r>
        <w:rPr>
          <w:rFonts w:ascii="Times New Roman" w:hAnsi="Times New Roman"/>
          <w:b/>
          <w:color w:val="000000"/>
          <w:sz w:val="24"/>
        </w:rPr>
        <w:t xml:space="preserve"> </w:t>
      </w:r>
    </w:p>
    <w:p w14:paraId="02208568" w14:textId="77777777" w:rsidR="002C07CB" w:rsidRPr="00F83272" w:rsidRDefault="002C07CB" w:rsidP="002C07CB">
      <w:pPr>
        <w:spacing w:after="0" w:line="240" w:lineRule="atLeast"/>
        <w:rPr>
          <w:rFonts w:ascii="Times New Roman" w:eastAsia="Calibri" w:hAnsi="Times New Roman" w:cs="Times New Roman"/>
          <w:color w:val="000000"/>
          <w:sz w:val="24"/>
          <w:szCs w:val="24"/>
        </w:rPr>
      </w:pPr>
    </w:p>
    <w:tbl>
      <w:tblPr>
        <w:tblStyle w:val="TableGrid"/>
        <w:tblW w:w="5000" w:type="pct"/>
        <w:tblInd w:w="0" w:type="dxa"/>
        <w:tblCellMar>
          <w:top w:w="7" w:type="dxa"/>
          <w:left w:w="67" w:type="dxa"/>
          <w:bottom w:w="21" w:type="dxa"/>
          <w:right w:w="48" w:type="dxa"/>
        </w:tblCellMar>
        <w:tblLook w:val="04A0" w:firstRow="1" w:lastRow="0" w:firstColumn="1" w:lastColumn="0" w:noHBand="0" w:noVBand="1"/>
      </w:tblPr>
      <w:tblGrid>
        <w:gridCol w:w="7016"/>
        <w:gridCol w:w="2056"/>
      </w:tblGrid>
      <w:tr w:rsidR="002C07CB" w:rsidRPr="00F83272" w14:paraId="131283E5" w14:textId="77777777" w:rsidTr="0056426D">
        <w:trPr>
          <w:trHeight w:val="526"/>
        </w:trPr>
        <w:tc>
          <w:tcPr>
            <w:tcW w:w="5000" w:type="pct"/>
            <w:gridSpan w:val="2"/>
            <w:tcBorders>
              <w:top w:val="nil"/>
              <w:left w:val="nil"/>
              <w:bottom w:val="single" w:sz="17" w:space="0" w:color="FFFFFF"/>
              <w:right w:val="nil"/>
            </w:tcBorders>
            <w:shd w:val="clear" w:color="auto" w:fill="CCCCCC"/>
          </w:tcPr>
          <w:p w14:paraId="34AA8B0C"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Zusammenfassung der Situation </w:t>
            </w:r>
          </w:p>
          <w:p w14:paraId="0DA521E8"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c>
      </w:tr>
      <w:tr w:rsidR="002C07CB" w:rsidRPr="00F83272" w14:paraId="03899F9F" w14:textId="77777777" w:rsidTr="0056426D">
        <w:trPr>
          <w:trHeight w:val="804"/>
        </w:trPr>
        <w:tc>
          <w:tcPr>
            <w:tcW w:w="3867" w:type="pct"/>
            <w:tcBorders>
              <w:top w:val="single" w:sz="17" w:space="0" w:color="FFFFFF"/>
              <w:left w:val="nil"/>
              <w:bottom w:val="nil"/>
              <w:right w:val="single" w:sz="17" w:space="0" w:color="FFFFFF"/>
            </w:tcBorders>
            <w:shd w:val="clear" w:color="auto" w:fill="F2F2F2"/>
          </w:tcPr>
          <w:p w14:paraId="485AAE06"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Das ÖSHZ hat alle Anstrengungen unternommen, um mit dem betroffenen Kunden Kontakt aufzunehmen. </w:t>
            </w:r>
          </w:p>
        </w:tc>
        <w:tc>
          <w:tcPr>
            <w:tcW w:w="1133" w:type="pct"/>
            <w:tcBorders>
              <w:top w:val="single" w:sz="17" w:space="0" w:color="FFFFFF"/>
              <w:left w:val="single" w:sz="17" w:space="0" w:color="FFFFFF"/>
              <w:bottom w:val="nil"/>
              <w:right w:val="nil"/>
            </w:tcBorders>
            <w:shd w:val="clear" w:color="auto" w:fill="F2F2F2"/>
          </w:tcPr>
          <w:p w14:paraId="59D3011B" w14:textId="77777777" w:rsidR="002C07CB" w:rsidRPr="00F83272" w:rsidRDefault="002C07CB" w:rsidP="002C07CB">
            <w:pPr>
              <w:numPr>
                <w:ilvl w:val="0"/>
                <w:numId w:val="2"/>
              </w:numPr>
              <w:spacing w:line="240" w:lineRule="atLeast"/>
              <w:ind w:left="0"/>
              <w:rPr>
                <w:rFonts w:ascii="Times New Roman" w:eastAsia="Calibri" w:hAnsi="Times New Roman" w:cs="Times New Roman"/>
                <w:color w:val="000000"/>
                <w:sz w:val="24"/>
                <w:szCs w:val="24"/>
              </w:rPr>
            </w:pPr>
            <w:r>
              <w:rPr>
                <w:rFonts w:ascii="Times New Roman" w:hAnsi="Times New Roman"/>
                <w:color w:val="000000"/>
                <w:sz w:val="24"/>
              </w:rPr>
              <w:t xml:space="preserve">Ja </w:t>
            </w:r>
          </w:p>
          <w:p w14:paraId="0EDE5C5A" w14:textId="77777777" w:rsidR="002C07CB" w:rsidRPr="00F83272" w:rsidRDefault="002C07CB" w:rsidP="002C07CB">
            <w:pPr>
              <w:numPr>
                <w:ilvl w:val="0"/>
                <w:numId w:val="2"/>
              </w:numPr>
              <w:spacing w:line="240" w:lineRule="atLeast"/>
              <w:ind w:left="0"/>
              <w:rPr>
                <w:rFonts w:ascii="Times New Roman" w:eastAsia="Calibri" w:hAnsi="Times New Roman" w:cs="Times New Roman"/>
                <w:color w:val="000000"/>
                <w:sz w:val="24"/>
                <w:szCs w:val="24"/>
              </w:rPr>
            </w:pPr>
            <w:r>
              <w:rPr>
                <w:rFonts w:ascii="Times New Roman" w:hAnsi="Times New Roman"/>
                <w:color w:val="000000"/>
                <w:sz w:val="24"/>
              </w:rPr>
              <w:t xml:space="preserve">Nein </w:t>
            </w:r>
          </w:p>
        </w:tc>
      </w:tr>
      <w:tr w:rsidR="002C07CB" w:rsidRPr="00F83272" w14:paraId="4DE93598" w14:textId="77777777" w:rsidTr="0056426D">
        <w:trPr>
          <w:trHeight w:val="804"/>
        </w:trPr>
        <w:tc>
          <w:tcPr>
            <w:tcW w:w="3867" w:type="pct"/>
            <w:tcBorders>
              <w:top w:val="nil"/>
              <w:left w:val="nil"/>
              <w:bottom w:val="single" w:sz="17" w:space="0" w:color="FFFFFF"/>
              <w:right w:val="single" w:sz="17" w:space="0" w:color="FFFFFF"/>
            </w:tcBorders>
            <w:shd w:val="clear" w:color="auto" w:fill="F2F2F2"/>
          </w:tcPr>
          <w:p w14:paraId="51BD4FB5"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Der Beleg, aus dem hervorgeht, dass das Verfahren eingehalten wurde, und in dem die dem Kunden gewährte Lieferung zwischen dem Antrag des Kunden auf Winterhilfe und der Abhaltung der CLE-Sitzung aufgeführt ist, wurde vom sozialen Versorger bereitgestellt. </w:t>
            </w:r>
          </w:p>
        </w:tc>
        <w:tc>
          <w:tcPr>
            <w:tcW w:w="1133" w:type="pct"/>
            <w:tcBorders>
              <w:top w:val="nil"/>
              <w:left w:val="single" w:sz="17" w:space="0" w:color="FFFFFF"/>
              <w:bottom w:val="single" w:sz="17" w:space="0" w:color="FFFFFF"/>
              <w:right w:val="nil"/>
            </w:tcBorders>
            <w:shd w:val="clear" w:color="auto" w:fill="F2F2F2"/>
          </w:tcPr>
          <w:p w14:paraId="66A7AE64" w14:textId="77777777" w:rsidR="002C07CB" w:rsidRPr="00F83272" w:rsidRDefault="002C07CB" w:rsidP="002C07CB">
            <w:pPr>
              <w:numPr>
                <w:ilvl w:val="0"/>
                <w:numId w:val="3"/>
              </w:numPr>
              <w:spacing w:line="240" w:lineRule="atLeast"/>
              <w:ind w:left="0"/>
              <w:rPr>
                <w:rFonts w:ascii="Times New Roman" w:eastAsia="Calibri" w:hAnsi="Times New Roman" w:cs="Times New Roman"/>
                <w:color w:val="000000"/>
                <w:sz w:val="24"/>
                <w:szCs w:val="24"/>
              </w:rPr>
            </w:pPr>
            <w:r>
              <w:rPr>
                <w:rFonts w:ascii="Times New Roman" w:hAnsi="Times New Roman"/>
                <w:color w:val="000000"/>
                <w:sz w:val="24"/>
              </w:rPr>
              <w:t xml:space="preserve">Ja </w:t>
            </w:r>
          </w:p>
          <w:p w14:paraId="49DA11C9" w14:textId="77777777" w:rsidR="002C07CB" w:rsidRPr="00F83272" w:rsidRDefault="002C07CB" w:rsidP="002C07CB">
            <w:pPr>
              <w:numPr>
                <w:ilvl w:val="0"/>
                <w:numId w:val="3"/>
              </w:numPr>
              <w:spacing w:line="240" w:lineRule="atLeast"/>
              <w:ind w:left="0"/>
              <w:rPr>
                <w:rFonts w:ascii="Times New Roman" w:eastAsia="Calibri" w:hAnsi="Times New Roman" w:cs="Times New Roman"/>
                <w:color w:val="000000"/>
                <w:sz w:val="24"/>
                <w:szCs w:val="24"/>
              </w:rPr>
            </w:pPr>
            <w:r>
              <w:rPr>
                <w:rFonts w:ascii="Times New Roman" w:hAnsi="Times New Roman"/>
                <w:color w:val="000000"/>
                <w:sz w:val="24"/>
              </w:rPr>
              <w:t xml:space="preserve">Nein </w:t>
            </w:r>
          </w:p>
        </w:tc>
      </w:tr>
      <w:tr w:rsidR="002C07CB" w:rsidRPr="00F83272" w14:paraId="3A3CA37B" w14:textId="77777777" w:rsidTr="0056426D">
        <w:trPr>
          <w:trHeight w:val="751"/>
        </w:trPr>
        <w:tc>
          <w:tcPr>
            <w:tcW w:w="3867" w:type="pct"/>
            <w:tcBorders>
              <w:top w:val="single" w:sz="17" w:space="0" w:color="FFFFFF"/>
              <w:left w:val="nil"/>
              <w:bottom w:val="single" w:sz="17" w:space="0" w:color="FFFFFF"/>
              <w:right w:val="single" w:sz="17" w:space="0" w:color="FFFFFF"/>
            </w:tcBorders>
            <w:shd w:val="clear" w:color="auto" w:fill="F2F2F2"/>
            <w:vAlign w:val="center"/>
          </w:tcPr>
          <w:p w14:paraId="06B9DF70"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Datum des Beginns der Anwendung der Winterhilfe (Bereitstellung durch den sozialen Versorger in der Zeit zwischen den CLE-Sitzungen). </w:t>
            </w:r>
          </w:p>
        </w:tc>
        <w:tc>
          <w:tcPr>
            <w:tcW w:w="1133" w:type="pct"/>
            <w:tcBorders>
              <w:top w:val="single" w:sz="17" w:space="0" w:color="FFFFFF"/>
              <w:left w:val="single" w:sz="17" w:space="0" w:color="FFFFFF"/>
              <w:bottom w:val="single" w:sz="17" w:space="0" w:color="FFFFFF"/>
              <w:right w:val="nil"/>
            </w:tcBorders>
            <w:shd w:val="clear" w:color="auto" w:fill="F2F2F2"/>
            <w:vAlign w:val="center"/>
          </w:tcPr>
          <w:p w14:paraId="23BD8FA6" w14:textId="4AD21DB7" w:rsidR="002C07CB" w:rsidRPr="00F83272" w:rsidRDefault="00901EB4" w:rsidP="00901EB4">
            <w:pPr>
              <w:tabs>
                <w:tab w:val="left" w:leader="dot" w:pos="585"/>
                <w:tab w:val="left" w:leader="dot" w:pos="1230"/>
                <w:tab w:val="right" w:leader="dot" w:pos="1881"/>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ab/>
            </w:r>
            <w:r w:rsidR="002C07CB">
              <w:rPr>
                <w:rFonts w:ascii="Times New Roman" w:hAnsi="Times New Roman"/>
                <w:color w:val="000000"/>
                <w:sz w:val="24"/>
              </w:rPr>
              <w:t>/</w:t>
            </w:r>
            <w:r>
              <w:rPr>
                <w:rFonts w:ascii="Times New Roman" w:hAnsi="Times New Roman"/>
                <w:color w:val="000000"/>
                <w:sz w:val="24"/>
              </w:rPr>
              <w:tab/>
            </w:r>
            <w:r w:rsidR="002C07CB">
              <w:rPr>
                <w:rFonts w:ascii="Times New Roman" w:hAnsi="Times New Roman"/>
                <w:color w:val="000000"/>
                <w:sz w:val="24"/>
              </w:rPr>
              <w:t>/</w:t>
            </w:r>
            <w:r>
              <w:rPr>
                <w:rFonts w:ascii="Times New Roman" w:hAnsi="Times New Roman"/>
                <w:color w:val="000000"/>
                <w:sz w:val="24"/>
              </w:rPr>
              <w:tab/>
            </w:r>
            <w:r w:rsidR="002C07CB">
              <w:rPr>
                <w:rFonts w:ascii="Times New Roman" w:hAnsi="Times New Roman"/>
                <w:color w:val="000000"/>
                <w:sz w:val="24"/>
              </w:rPr>
              <w:t xml:space="preserve"> </w:t>
            </w:r>
          </w:p>
        </w:tc>
      </w:tr>
      <w:tr w:rsidR="002C07CB" w:rsidRPr="00F83272" w14:paraId="28AC1B2B" w14:textId="77777777" w:rsidTr="0056426D">
        <w:trPr>
          <w:trHeight w:val="562"/>
        </w:trPr>
        <w:tc>
          <w:tcPr>
            <w:tcW w:w="3867" w:type="pct"/>
            <w:tcBorders>
              <w:top w:val="single" w:sz="17" w:space="0" w:color="FFFFFF"/>
              <w:left w:val="nil"/>
              <w:bottom w:val="nil"/>
              <w:right w:val="single" w:sz="17" w:space="0" w:color="FFFFFF"/>
            </w:tcBorders>
            <w:shd w:val="clear" w:color="auto" w:fill="F2F2F2"/>
            <w:vAlign w:val="center"/>
          </w:tcPr>
          <w:p w14:paraId="435866CC"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Zählerstand zu Beginn der Winterhilfe.</w:t>
            </w:r>
            <w:r w:rsidRPr="00F83272">
              <w:rPr>
                <w:rFonts w:ascii="Times New Roman" w:hAnsi="Times New Roman"/>
                <w:b/>
                <w:color w:val="000000"/>
                <w:sz w:val="24"/>
                <w:szCs w:val="24"/>
              </w:rPr>
              <w:t xml:space="preserve"> </w:t>
            </w:r>
          </w:p>
        </w:tc>
        <w:tc>
          <w:tcPr>
            <w:tcW w:w="1133" w:type="pct"/>
            <w:tcBorders>
              <w:top w:val="single" w:sz="17" w:space="0" w:color="FFFFFF"/>
              <w:left w:val="single" w:sz="17" w:space="0" w:color="FFFFFF"/>
              <w:bottom w:val="nil"/>
              <w:right w:val="nil"/>
            </w:tcBorders>
            <w:shd w:val="clear" w:color="auto" w:fill="F2F2F2"/>
            <w:vAlign w:val="bottom"/>
          </w:tcPr>
          <w:p w14:paraId="316C7408" w14:textId="4EFD486A" w:rsidR="002C07CB" w:rsidRPr="00F83272" w:rsidRDefault="002C07CB" w:rsidP="00901EB4">
            <w:pPr>
              <w:tabs>
                <w:tab w:val="right" w:leader="dot" w:pos="1851"/>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r w:rsidR="00901EB4">
              <w:rPr>
                <w:rFonts w:ascii="Times New Roman" w:hAnsi="Times New Roman"/>
                <w:color w:val="000000"/>
                <w:sz w:val="24"/>
              </w:rPr>
              <w:tab/>
            </w:r>
            <w:r>
              <w:rPr>
                <w:rFonts w:ascii="Times New Roman" w:hAnsi="Times New Roman"/>
                <w:color w:val="000000"/>
                <w:sz w:val="24"/>
              </w:rPr>
              <w:t xml:space="preserve"> </w:t>
            </w:r>
          </w:p>
        </w:tc>
      </w:tr>
    </w:tbl>
    <w:p w14:paraId="6D9B064D" w14:textId="77777777" w:rsidR="002C07CB" w:rsidRPr="00F83272" w:rsidRDefault="002C07CB" w:rsidP="002C07CB">
      <w:pPr>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p w14:paraId="6F4DB553" w14:textId="77777777" w:rsidR="002C07CB" w:rsidRPr="00F83272" w:rsidRDefault="002C07CB" w:rsidP="002C07CB">
      <w:pPr>
        <w:spacing w:after="0"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bl>
      <w:tblPr>
        <w:tblStyle w:val="TableGrid"/>
        <w:tblW w:w="0" w:type="auto"/>
        <w:tblInd w:w="0" w:type="dxa"/>
        <w:tblCellMar>
          <w:top w:w="6" w:type="dxa"/>
          <w:left w:w="67" w:type="dxa"/>
          <w:right w:w="47" w:type="dxa"/>
        </w:tblCellMar>
        <w:tblLook w:val="04A0" w:firstRow="1" w:lastRow="0" w:firstColumn="1" w:lastColumn="0" w:noHBand="0" w:noVBand="1"/>
      </w:tblPr>
      <w:tblGrid>
        <w:gridCol w:w="9072"/>
      </w:tblGrid>
      <w:tr w:rsidR="002C07CB" w:rsidRPr="00F83272" w14:paraId="06F5894F" w14:textId="77777777" w:rsidTr="0056426D">
        <w:trPr>
          <w:trHeight w:val="648"/>
        </w:trPr>
        <w:tc>
          <w:tcPr>
            <w:tcW w:w="0" w:type="auto"/>
            <w:tcBorders>
              <w:top w:val="nil"/>
              <w:left w:val="nil"/>
              <w:bottom w:val="single" w:sz="17" w:space="0" w:color="FFFFFF"/>
              <w:right w:val="nil"/>
            </w:tcBorders>
            <w:shd w:val="clear" w:color="auto" w:fill="CCCCCC"/>
          </w:tcPr>
          <w:p w14:paraId="13322D03"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Aufgrund der ihr vorliegenden Informationen und nach Beratung beschließt die lokale Energiekommission:  </w:t>
            </w:r>
          </w:p>
        </w:tc>
      </w:tr>
      <w:tr w:rsidR="002C07CB" w:rsidRPr="00F83272" w14:paraId="2450E17D" w14:textId="77777777" w:rsidTr="0056426D">
        <w:trPr>
          <w:trHeight w:val="2323"/>
        </w:trPr>
        <w:tc>
          <w:tcPr>
            <w:tcW w:w="0" w:type="auto"/>
            <w:tcBorders>
              <w:top w:val="single" w:sz="17" w:space="0" w:color="FFFFFF"/>
              <w:left w:val="nil"/>
              <w:bottom w:val="single" w:sz="17" w:space="0" w:color="FFFFFF"/>
              <w:right w:val="nil"/>
            </w:tcBorders>
            <w:shd w:val="clear" w:color="auto" w:fill="F2F2F2"/>
          </w:tcPr>
          <w:p w14:paraId="14A15E8A"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die dem Kunden gewährte Winterhilfe fortsetzen. </w:t>
            </w:r>
          </w:p>
          <w:p w14:paraId="0DB48883"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Wenn der Kunde über einen Budgetzähler verfügt, ist er verpflichtet, dem sozialen Versorger am Ende der Winterperiode (voraussichtlich am 31.03.) seine Zählerstände mitzuteilen, indem er seine Prepaid-Karte in den Budgetzähler und anschließend in eine Aufladestation einführt. </w:t>
            </w:r>
          </w:p>
          <w:p w14:paraId="61E5BBCA"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4562290C"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Wenn der Kunde über einen kommunizierenden Zähler mit aktivierter Vorauszahlungsfunktion verfügt, wird der soziale Versorger am Ende der Winterperiode (voraussichtlich am 31.03.) selbst und aus der Ferne die Zählerstände des Kunden ablesen.  </w:t>
            </w:r>
          </w:p>
          <w:p w14:paraId="61CD8414"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c>
      </w:tr>
      <w:tr w:rsidR="002C07CB" w:rsidRPr="00F83272" w14:paraId="2E6013D7" w14:textId="77777777" w:rsidTr="0056426D">
        <w:trPr>
          <w:trHeight w:val="2722"/>
        </w:trPr>
        <w:tc>
          <w:tcPr>
            <w:tcW w:w="0" w:type="auto"/>
            <w:tcBorders>
              <w:top w:val="single" w:sz="17" w:space="0" w:color="FFFFFF"/>
              <w:left w:val="nil"/>
              <w:bottom w:val="single" w:sz="17" w:space="0" w:color="FFFFFF"/>
              <w:right w:val="nil"/>
            </w:tcBorders>
            <w:shd w:val="clear" w:color="auto" w:fill="F2F2F2"/>
          </w:tcPr>
          <w:p w14:paraId="4DE7334E" w14:textId="41B2C739" w:rsidR="002C07CB" w:rsidRPr="00F83272" w:rsidRDefault="002C07CB" w:rsidP="00901EB4">
            <w:pPr>
              <w:numPr>
                <w:ilvl w:val="0"/>
                <w:numId w:val="4"/>
              </w:numPr>
              <w:tabs>
                <w:tab w:val="left" w:pos="366"/>
                <w:tab w:val="left" w:leader="dot" w:pos="3484"/>
                <w:tab w:val="left" w:leader="dot" w:pos="4065"/>
                <w:tab w:val="left" w:leader="dot" w:pos="4680"/>
              </w:tabs>
              <w:spacing w:line="240" w:lineRule="atLeast"/>
              <w:ind w:left="0"/>
              <w:rPr>
                <w:rFonts w:ascii="Times New Roman" w:eastAsia="Calibri" w:hAnsi="Times New Roman" w:cs="Times New Roman"/>
                <w:color w:val="000000"/>
                <w:sz w:val="24"/>
                <w:szCs w:val="24"/>
              </w:rPr>
            </w:pPr>
            <w:r>
              <w:rPr>
                <w:rFonts w:ascii="Times New Roman" w:hAnsi="Times New Roman"/>
                <w:color w:val="000000"/>
                <w:sz w:val="24"/>
              </w:rPr>
              <w:t xml:space="preserve">die Winterhilfe ab dem </w:t>
            </w:r>
            <w:r w:rsidR="00901EB4">
              <w:rPr>
                <w:rFonts w:ascii="Times New Roman" w:hAnsi="Times New Roman"/>
                <w:color w:val="000000"/>
                <w:sz w:val="24"/>
              </w:rPr>
              <w:tab/>
            </w:r>
            <w:r>
              <w:rPr>
                <w:rFonts w:ascii="Times New Roman" w:hAnsi="Times New Roman"/>
                <w:color w:val="000000"/>
                <w:sz w:val="24"/>
              </w:rPr>
              <w:t>/</w:t>
            </w:r>
            <w:r w:rsidR="00901EB4">
              <w:rPr>
                <w:rFonts w:ascii="Times New Roman" w:hAnsi="Times New Roman"/>
                <w:color w:val="000000"/>
                <w:sz w:val="24"/>
              </w:rPr>
              <w:tab/>
            </w:r>
            <w:r>
              <w:rPr>
                <w:rFonts w:ascii="Times New Roman" w:hAnsi="Times New Roman"/>
                <w:color w:val="000000"/>
                <w:sz w:val="24"/>
              </w:rPr>
              <w:t>/</w:t>
            </w:r>
            <w:r w:rsidR="00901EB4">
              <w:rPr>
                <w:rFonts w:ascii="Times New Roman" w:hAnsi="Times New Roman"/>
                <w:color w:val="000000"/>
                <w:sz w:val="24"/>
              </w:rPr>
              <w:tab/>
            </w:r>
            <w:r>
              <w:rPr>
                <w:rFonts w:ascii="Times New Roman" w:hAnsi="Times New Roman"/>
                <w:color w:val="000000"/>
                <w:sz w:val="24"/>
              </w:rPr>
              <w:t xml:space="preserve"> zu beenden. Die während des Lieferzeitraums der Versorgung durch den sozialen Versorger verbrauchten kWh gehen weiterhin zu Lasten des Kunden. </w:t>
            </w:r>
          </w:p>
          <w:p w14:paraId="39A80856" w14:textId="77777777" w:rsidR="002C07CB" w:rsidRPr="00F83272" w:rsidRDefault="002C07CB" w:rsidP="00901EB4">
            <w:pPr>
              <w:tabs>
                <w:tab w:val="left" w:pos="366"/>
                <w:tab w:val="left" w:leader="dot" w:pos="3484"/>
                <w:tab w:val="left" w:leader="dot" w:pos="4065"/>
                <w:tab w:val="left" w:leader="dot" w:pos="4680"/>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7E548C47" w14:textId="77777777" w:rsidR="002C07CB" w:rsidRPr="00F83272" w:rsidRDefault="002C07CB" w:rsidP="00901EB4">
            <w:pPr>
              <w:tabs>
                <w:tab w:val="left" w:pos="366"/>
                <w:tab w:val="left" w:leader="dot" w:pos="3484"/>
                <w:tab w:val="left" w:leader="dot" w:pos="4065"/>
                <w:tab w:val="left" w:leader="dot" w:pos="4680"/>
              </w:tabs>
              <w:spacing w:line="240" w:lineRule="atLeast"/>
              <w:rPr>
                <w:rFonts w:ascii="Times New Roman" w:eastAsia="Calibri" w:hAnsi="Times New Roman" w:cs="Times New Roman"/>
                <w:color w:val="000000"/>
                <w:sz w:val="24"/>
                <w:szCs w:val="24"/>
              </w:rPr>
            </w:pPr>
            <w:r>
              <w:rPr>
                <w:rFonts w:ascii="Times New Roman" w:hAnsi="Times New Roman"/>
                <w:i/>
                <w:color w:val="000000"/>
                <w:sz w:val="24"/>
              </w:rPr>
              <w:t xml:space="preserve">Die Beendigung der Winterhilfe kann frühestens fünf Tage nach dem Datum der Zustellung der Stellungnahme des Ausschusses erfolgen. </w:t>
            </w:r>
          </w:p>
          <w:p w14:paraId="0C96731C" w14:textId="77777777" w:rsidR="002C07CB" w:rsidRPr="00F83272" w:rsidRDefault="002C07CB" w:rsidP="00901EB4">
            <w:pPr>
              <w:tabs>
                <w:tab w:val="left" w:pos="366"/>
                <w:tab w:val="left" w:leader="dot" w:pos="3484"/>
                <w:tab w:val="left" w:leader="dot" w:pos="4065"/>
                <w:tab w:val="left" w:leader="dot" w:pos="4680"/>
              </w:tabs>
              <w:spacing w:line="240" w:lineRule="atLeast"/>
              <w:rPr>
                <w:rFonts w:ascii="Times New Roman" w:eastAsia="Calibri" w:hAnsi="Times New Roman" w:cs="Times New Roman"/>
                <w:color w:val="000000"/>
                <w:sz w:val="24"/>
                <w:szCs w:val="24"/>
              </w:rPr>
            </w:pPr>
            <w:r>
              <w:rPr>
                <w:rFonts w:ascii="Times New Roman" w:hAnsi="Times New Roman"/>
                <w:i/>
                <w:color w:val="000000"/>
                <w:sz w:val="24"/>
              </w:rPr>
              <w:t xml:space="preserve"> </w:t>
            </w:r>
          </w:p>
          <w:p w14:paraId="02CAC1A2" w14:textId="22B3A2E5" w:rsidR="002C07CB" w:rsidRPr="00F83272" w:rsidRDefault="002C07CB" w:rsidP="00901EB4">
            <w:pPr>
              <w:numPr>
                <w:ilvl w:val="0"/>
                <w:numId w:val="4"/>
              </w:numPr>
              <w:tabs>
                <w:tab w:val="left" w:pos="366"/>
                <w:tab w:val="left" w:leader="dot" w:pos="3484"/>
                <w:tab w:val="left" w:leader="dot" w:pos="4065"/>
                <w:tab w:val="left" w:leader="dot" w:pos="4680"/>
              </w:tabs>
              <w:spacing w:line="240" w:lineRule="atLeast"/>
              <w:ind w:left="0"/>
              <w:rPr>
                <w:rFonts w:ascii="Times New Roman" w:eastAsia="Calibri" w:hAnsi="Times New Roman" w:cs="Times New Roman"/>
                <w:color w:val="000000"/>
                <w:sz w:val="24"/>
                <w:szCs w:val="24"/>
              </w:rPr>
            </w:pPr>
            <w:r>
              <w:rPr>
                <w:rFonts w:ascii="Times New Roman" w:hAnsi="Times New Roman"/>
                <w:color w:val="000000"/>
                <w:sz w:val="24"/>
              </w:rPr>
              <w:t>einen neuen Termin am</w:t>
            </w:r>
            <w:r w:rsidR="00901EB4">
              <w:rPr>
                <w:rFonts w:ascii="Times New Roman" w:hAnsi="Times New Roman"/>
                <w:color w:val="000000"/>
                <w:sz w:val="24"/>
              </w:rPr>
              <w:t xml:space="preserve"> </w:t>
            </w:r>
            <w:r w:rsidR="00901EB4">
              <w:rPr>
                <w:rFonts w:ascii="Times New Roman" w:hAnsi="Times New Roman"/>
                <w:color w:val="000000"/>
                <w:sz w:val="24"/>
              </w:rPr>
              <w:tab/>
            </w:r>
            <w:r>
              <w:rPr>
                <w:rFonts w:ascii="Times New Roman" w:hAnsi="Times New Roman"/>
                <w:color w:val="000000"/>
                <w:sz w:val="24"/>
              </w:rPr>
              <w:t>/</w:t>
            </w:r>
            <w:r w:rsidR="00901EB4">
              <w:rPr>
                <w:rFonts w:ascii="Times New Roman" w:hAnsi="Times New Roman"/>
                <w:color w:val="000000"/>
                <w:sz w:val="24"/>
              </w:rPr>
              <w:tab/>
              <w:t>/</w:t>
            </w:r>
            <w:r w:rsidR="00901EB4">
              <w:rPr>
                <w:rFonts w:ascii="Times New Roman" w:hAnsi="Times New Roman"/>
                <w:color w:val="000000"/>
                <w:sz w:val="24"/>
              </w:rPr>
              <w:tab/>
              <w:t xml:space="preserve"> </w:t>
            </w:r>
            <w:r>
              <w:rPr>
                <w:rFonts w:ascii="Times New Roman" w:hAnsi="Times New Roman"/>
                <w:color w:val="000000"/>
                <w:sz w:val="24"/>
              </w:rPr>
              <w:t xml:space="preserve">anzuberaumen                </w:t>
            </w:r>
          </w:p>
          <w:p w14:paraId="6B4E1A9E" w14:textId="616BFF6F" w:rsidR="002C07CB" w:rsidRPr="00F83272" w:rsidRDefault="002C07CB" w:rsidP="00901EB4">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In dieser Zeit wird die Winterhilfe fortgesetzt.  </w:t>
            </w:r>
          </w:p>
        </w:tc>
      </w:tr>
      <w:tr w:rsidR="002C07CB" w:rsidRPr="00F83272" w14:paraId="2B5EDDB2" w14:textId="77777777" w:rsidTr="0056426D">
        <w:trPr>
          <w:trHeight w:val="715"/>
        </w:trPr>
        <w:tc>
          <w:tcPr>
            <w:tcW w:w="0" w:type="auto"/>
            <w:tcBorders>
              <w:top w:val="single" w:sz="17" w:space="0" w:color="FFFFFF"/>
              <w:left w:val="nil"/>
              <w:bottom w:val="single" w:sz="17" w:space="0" w:color="FFFFFF"/>
              <w:right w:val="nil"/>
            </w:tcBorders>
            <w:shd w:val="clear" w:color="auto" w:fill="F2F2F2"/>
          </w:tcPr>
          <w:p w14:paraId="36E5DD12"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lastRenderedPageBreak/>
              <w:t xml:space="preserve"> Bei dieser Sitzung der CLE informiert das ÖSHZ den Kunden darüber, dass er eine von ihm durchgeführte energetische Sozialberatung beantragen kann. </w:t>
            </w:r>
          </w:p>
        </w:tc>
      </w:tr>
      <w:tr w:rsidR="002C07CB" w:rsidRPr="00F83272" w14:paraId="04F7EBDA" w14:textId="77777777" w:rsidTr="0056426D">
        <w:trPr>
          <w:trHeight w:val="1154"/>
        </w:trPr>
        <w:tc>
          <w:tcPr>
            <w:tcW w:w="0" w:type="auto"/>
            <w:tcBorders>
              <w:top w:val="single" w:sz="17" w:space="0" w:color="FFFFFF"/>
              <w:left w:val="nil"/>
              <w:bottom w:val="nil"/>
              <w:right w:val="nil"/>
            </w:tcBorders>
            <w:shd w:val="clear" w:color="auto" w:fill="F2F2F2"/>
            <w:vAlign w:val="bottom"/>
          </w:tcPr>
          <w:p w14:paraId="716BCD8D"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Sonstiges: </w:t>
            </w:r>
          </w:p>
          <w:p w14:paraId="4FB99CE6" w14:textId="05C52492" w:rsidR="002C07CB" w:rsidRDefault="00901EB4" w:rsidP="00901EB4">
            <w:pPr>
              <w:tabs>
                <w:tab w:val="right" w:leader="dot" w:pos="8790"/>
              </w:tabs>
              <w:spacing w:line="240" w:lineRule="atLeast"/>
              <w:rPr>
                <w:rFonts w:ascii="Times New Roman" w:hAnsi="Times New Roman"/>
                <w:color w:val="000000"/>
                <w:sz w:val="24"/>
              </w:rPr>
            </w:pPr>
            <w:r>
              <w:rPr>
                <w:rFonts w:ascii="Times New Roman" w:hAnsi="Times New Roman"/>
                <w:color w:val="000000"/>
                <w:sz w:val="24"/>
              </w:rPr>
              <w:tab/>
            </w:r>
          </w:p>
          <w:p w14:paraId="33161E27" w14:textId="728F7D41" w:rsidR="00901EB4" w:rsidRPr="00F83272" w:rsidRDefault="00901EB4" w:rsidP="00901EB4">
            <w:pPr>
              <w:tabs>
                <w:tab w:val="right" w:leader="dot" w:pos="8790"/>
              </w:tabs>
              <w:spacing w:line="240" w:lineRule="atLeast"/>
              <w:rPr>
                <w:rFonts w:ascii="Times New Roman" w:eastAsia="Calibri" w:hAnsi="Times New Roman" w:cs="Times New Roman"/>
                <w:color w:val="000000"/>
                <w:sz w:val="24"/>
                <w:szCs w:val="24"/>
              </w:rPr>
            </w:pPr>
            <w:r>
              <w:rPr>
                <w:rFonts w:ascii="Times New Roman" w:hAnsi="Times New Roman" w:cs="Times New Roman"/>
                <w:color w:val="000000"/>
                <w:sz w:val="24"/>
                <w:szCs w:val="24"/>
              </w:rPr>
              <w:tab/>
            </w:r>
          </w:p>
          <w:p w14:paraId="1EC4F501"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c>
      </w:tr>
    </w:tbl>
    <w:p w14:paraId="361FBE6C" w14:textId="77777777" w:rsidR="002C07CB" w:rsidRPr="00F83272" w:rsidRDefault="002C07CB" w:rsidP="002C07CB">
      <w:pPr>
        <w:spacing w:after="0"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bl>
      <w:tblPr>
        <w:tblStyle w:val="TableGrid"/>
        <w:tblW w:w="5000" w:type="pct"/>
        <w:tblInd w:w="0" w:type="dxa"/>
        <w:tblCellMar>
          <w:top w:w="6" w:type="dxa"/>
          <w:left w:w="108" w:type="dxa"/>
          <w:right w:w="115" w:type="dxa"/>
        </w:tblCellMar>
        <w:tblLook w:val="04A0" w:firstRow="1" w:lastRow="0" w:firstColumn="1" w:lastColumn="0" w:noHBand="0" w:noVBand="1"/>
      </w:tblPr>
      <w:tblGrid>
        <w:gridCol w:w="9072"/>
      </w:tblGrid>
      <w:tr w:rsidR="002C07CB" w:rsidRPr="00F83272" w14:paraId="36B97210" w14:textId="77777777" w:rsidTr="0056426D">
        <w:trPr>
          <w:trHeight w:val="728"/>
        </w:trPr>
        <w:tc>
          <w:tcPr>
            <w:tcW w:w="5000" w:type="pct"/>
            <w:tcBorders>
              <w:top w:val="nil"/>
              <w:left w:val="nil"/>
              <w:bottom w:val="single" w:sz="17" w:space="0" w:color="FFFFFF"/>
              <w:right w:val="nil"/>
            </w:tcBorders>
            <w:shd w:val="clear" w:color="auto" w:fill="CCCCCC"/>
          </w:tcPr>
          <w:p w14:paraId="7AD8FFDC"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Begründung der Entscheidung:  </w:t>
            </w:r>
          </w:p>
          <w:p w14:paraId="71DC97D3"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c>
      </w:tr>
      <w:tr w:rsidR="002C07CB" w:rsidRPr="00F83272" w14:paraId="2138C411" w14:textId="77777777" w:rsidTr="00901EB4">
        <w:trPr>
          <w:trHeight w:val="1080"/>
        </w:trPr>
        <w:tc>
          <w:tcPr>
            <w:tcW w:w="5000" w:type="pct"/>
            <w:tcBorders>
              <w:top w:val="single" w:sz="17" w:space="0" w:color="FFFFFF"/>
              <w:left w:val="nil"/>
              <w:bottom w:val="nil"/>
              <w:right w:val="nil"/>
            </w:tcBorders>
            <w:shd w:val="clear" w:color="auto" w:fill="F2F2F2"/>
          </w:tcPr>
          <w:p w14:paraId="3C40DA2C" w14:textId="77777777" w:rsidR="00901EB4" w:rsidRDefault="00901EB4" w:rsidP="00901EB4">
            <w:pPr>
              <w:tabs>
                <w:tab w:val="right" w:leader="dot" w:pos="8931"/>
              </w:tabs>
              <w:spacing w:line="240" w:lineRule="atLeast"/>
              <w:rPr>
                <w:rFonts w:ascii="Times New Roman" w:hAnsi="Times New Roman"/>
                <w:color w:val="000000"/>
                <w:sz w:val="24"/>
              </w:rPr>
            </w:pPr>
            <w:r>
              <w:rPr>
                <w:rFonts w:ascii="Times New Roman" w:hAnsi="Times New Roman"/>
                <w:color w:val="000000"/>
                <w:sz w:val="24"/>
              </w:rPr>
              <w:tab/>
            </w:r>
          </w:p>
          <w:p w14:paraId="099B6E03" w14:textId="77777777" w:rsidR="00901EB4" w:rsidRDefault="00901EB4" w:rsidP="00901EB4">
            <w:pPr>
              <w:tabs>
                <w:tab w:val="right" w:leader="dot" w:pos="8931"/>
              </w:tabs>
              <w:spacing w:line="240" w:lineRule="atLeast"/>
              <w:rPr>
                <w:rFonts w:ascii="Times New Roman" w:hAnsi="Times New Roman"/>
                <w:color w:val="000000"/>
                <w:sz w:val="24"/>
              </w:rPr>
            </w:pPr>
            <w:r>
              <w:rPr>
                <w:rFonts w:ascii="Times New Roman" w:hAnsi="Times New Roman"/>
                <w:color w:val="000000"/>
                <w:sz w:val="24"/>
              </w:rPr>
              <w:tab/>
            </w:r>
          </w:p>
          <w:p w14:paraId="0359A5C2" w14:textId="424DBB82" w:rsidR="002C07CB" w:rsidRPr="00F83272" w:rsidRDefault="00901EB4" w:rsidP="00901EB4">
            <w:pPr>
              <w:tabs>
                <w:tab w:val="right" w:leader="dot" w:pos="8931"/>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ab/>
            </w:r>
          </w:p>
        </w:tc>
      </w:tr>
    </w:tbl>
    <w:p w14:paraId="19C689AF" w14:textId="77777777" w:rsidR="002C07CB" w:rsidRPr="00F83272" w:rsidRDefault="002C07CB" w:rsidP="00901EB4">
      <w:pPr>
        <w:tabs>
          <w:tab w:val="right" w:leader="dot" w:pos="8931"/>
        </w:tabs>
        <w:spacing w:after="0"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bl>
      <w:tblPr>
        <w:tblStyle w:val="TableGrid"/>
        <w:tblW w:w="5000" w:type="pct"/>
        <w:tblInd w:w="0" w:type="dxa"/>
        <w:tblCellMar>
          <w:top w:w="7" w:type="dxa"/>
          <w:left w:w="108" w:type="dxa"/>
          <w:right w:w="68" w:type="dxa"/>
        </w:tblCellMar>
        <w:tblLook w:val="04A0" w:firstRow="1" w:lastRow="0" w:firstColumn="1" w:lastColumn="0" w:noHBand="0" w:noVBand="1"/>
      </w:tblPr>
      <w:tblGrid>
        <w:gridCol w:w="9072"/>
      </w:tblGrid>
      <w:tr w:rsidR="002C07CB" w:rsidRPr="00F83272" w14:paraId="477E41DA" w14:textId="77777777" w:rsidTr="0056426D">
        <w:trPr>
          <w:trHeight w:val="552"/>
        </w:trPr>
        <w:tc>
          <w:tcPr>
            <w:tcW w:w="5000" w:type="pct"/>
            <w:tcBorders>
              <w:top w:val="nil"/>
              <w:left w:val="nil"/>
              <w:bottom w:val="single" w:sz="17" w:space="0" w:color="FFFFFF"/>
              <w:right w:val="nil"/>
            </w:tcBorders>
            <w:shd w:val="clear" w:color="auto" w:fill="CCCCCC"/>
          </w:tcPr>
          <w:p w14:paraId="709CB951" w14:textId="77777777" w:rsidR="002C07CB" w:rsidRPr="00F83272" w:rsidRDefault="002C07CB" w:rsidP="00901EB4">
            <w:pPr>
              <w:tabs>
                <w:tab w:val="right" w:leader="dot" w:pos="8931"/>
              </w:tabs>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Eventuelle Empfehlungen: </w:t>
            </w:r>
          </w:p>
        </w:tc>
      </w:tr>
      <w:tr w:rsidR="002C07CB" w:rsidRPr="00F83272" w14:paraId="7510012A" w14:textId="77777777" w:rsidTr="0056426D">
        <w:trPr>
          <w:trHeight w:val="1162"/>
        </w:trPr>
        <w:tc>
          <w:tcPr>
            <w:tcW w:w="5000" w:type="pct"/>
            <w:tcBorders>
              <w:top w:val="single" w:sz="17" w:space="0" w:color="FFFFFF"/>
              <w:left w:val="nil"/>
              <w:bottom w:val="nil"/>
              <w:right w:val="nil"/>
            </w:tcBorders>
            <w:shd w:val="clear" w:color="auto" w:fill="F2F2F2"/>
          </w:tcPr>
          <w:p w14:paraId="090B2B62" w14:textId="77777777" w:rsidR="00901EB4" w:rsidRDefault="00901EB4" w:rsidP="00901EB4">
            <w:pPr>
              <w:tabs>
                <w:tab w:val="right" w:leader="dot" w:pos="8931"/>
              </w:tabs>
              <w:spacing w:line="240" w:lineRule="atLeast"/>
              <w:rPr>
                <w:rFonts w:ascii="Times New Roman" w:hAnsi="Times New Roman"/>
                <w:color w:val="000000"/>
                <w:sz w:val="24"/>
              </w:rPr>
            </w:pPr>
            <w:r>
              <w:rPr>
                <w:rFonts w:ascii="Times New Roman" w:hAnsi="Times New Roman"/>
                <w:color w:val="000000"/>
                <w:sz w:val="24"/>
              </w:rPr>
              <w:tab/>
            </w:r>
          </w:p>
          <w:p w14:paraId="0D3CEAFF" w14:textId="72A2E626" w:rsidR="002C07CB" w:rsidRPr="00F83272" w:rsidRDefault="00901EB4" w:rsidP="00901EB4">
            <w:pPr>
              <w:tabs>
                <w:tab w:val="right" w:leader="dot" w:pos="8931"/>
              </w:tabs>
              <w:spacing w:line="240" w:lineRule="atLeast"/>
              <w:rPr>
                <w:rFonts w:ascii="Times New Roman" w:eastAsia="Calibri" w:hAnsi="Times New Roman" w:cs="Times New Roman"/>
                <w:color w:val="000000"/>
                <w:sz w:val="24"/>
                <w:szCs w:val="24"/>
              </w:rPr>
            </w:pPr>
            <w:r>
              <w:rPr>
                <w:rFonts w:ascii="Times New Roman" w:hAnsi="Times New Roman"/>
                <w:color w:val="000000"/>
                <w:sz w:val="24"/>
              </w:rPr>
              <w:tab/>
            </w:r>
            <w:r>
              <w:rPr>
                <w:rFonts w:ascii="Times New Roman" w:hAnsi="Times New Roman"/>
                <w:color w:val="000000"/>
                <w:sz w:val="24"/>
              </w:rPr>
              <w:tab/>
            </w:r>
            <w:r w:rsidR="002C07CB">
              <w:rPr>
                <w:rFonts w:ascii="Times New Roman" w:hAnsi="Times New Roman"/>
                <w:color w:val="000000"/>
                <w:sz w:val="24"/>
              </w:rPr>
              <w:t xml:space="preserve"> </w:t>
            </w:r>
          </w:p>
        </w:tc>
      </w:tr>
    </w:tbl>
    <w:p w14:paraId="0209A1DF" w14:textId="77777777" w:rsidR="002C07CB" w:rsidRPr="00F83272" w:rsidRDefault="002C07CB" w:rsidP="002C07CB">
      <w:pPr>
        <w:spacing w:after="0"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bl>
      <w:tblPr>
        <w:tblStyle w:val="TableGrid"/>
        <w:tblW w:w="5000" w:type="pct"/>
        <w:tblInd w:w="0" w:type="dxa"/>
        <w:tblCellMar>
          <w:top w:w="7" w:type="dxa"/>
          <w:left w:w="70" w:type="dxa"/>
          <w:right w:w="115" w:type="dxa"/>
        </w:tblCellMar>
        <w:tblLook w:val="04A0" w:firstRow="1" w:lastRow="0" w:firstColumn="1" w:lastColumn="0" w:noHBand="0" w:noVBand="1"/>
      </w:tblPr>
      <w:tblGrid>
        <w:gridCol w:w="9072"/>
      </w:tblGrid>
      <w:tr w:rsidR="002C07CB" w:rsidRPr="00F83272" w14:paraId="26A16905" w14:textId="77777777" w:rsidTr="0056426D">
        <w:trPr>
          <w:trHeight w:val="706"/>
        </w:trPr>
        <w:tc>
          <w:tcPr>
            <w:tcW w:w="5000" w:type="pct"/>
            <w:tcBorders>
              <w:top w:val="nil"/>
              <w:left w:val="nil"/>
              <w:bottom w:val="single" w:sz="17" w:space="0" w:color="FFFFFF"/>
              <w:right w:val="nil"/>
            </w:tcBorders>
            <w:shd w:val="clear" w:color="auto" w:fill="CCCCCC"/>
          </w:tcPr>
          <w:p w14:paraId="469393FF"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Modalitäten der sozialen Energieberatung  </w:t>
            </w:r>
          </w:p>
        </w:tc>
      </w:tr>
      <w:tr w:rsidR="002C07CB" w:rsidRPr="00F83272" w14:paraId="6B92F8B6" w14:textId="77777777" w:rsidTr="00901EB4">
        <w:trPr>
          <w:trHeight w:val="2018"/>
        </w:trPr>
        <w:tc>
          <w:tcPr>
            <w:tcW w:w="5000" w:type="pct"/>
            <w:tcBorders>
              <w:top w:val="single" w:sz="17" w:space="0" w:color="FFFFFF"/>
              <w:left w:val="nil"/>
              <w:bottom w:val="nil"/>
              <w:right w:val="nil"/>
            </w:tcBorders>
            <w:shd w:val="clear" w:color="auto" w:fill="F2F2F2"/>
          </w:tcPr>
          <w:p w14:paraId="1946A4F5" w14:textId="77777777" w:rsidR="002C07CB" w:rsidRPr="00F83272" w:rsidRDefault="002C07CB" w:rsidP="00901EB4">
            <w:pPr>
              <w:numPr>
                <w:ilvl w:val="0"/>
                <w:numId w:val="5"/>
              </w:numPr>
              <w:tabs>
                <w:tab w:val="left" w:pos="300"/>
                <w:tab w:val="right" w:leader="dot" w:pos="8700"/>
              </w:tabs>
              <w:spacing w:line="240" w:lineRule="atLeast"/>
              <w:ind w:left="0"/>
              <w:rPr>
                <w:rFonts w:ascii="Times New Roman" w:eastAsia="Calibri" w:hAnsi="Times New Roman" w:cs="Times New Roman"/>
                <w:color w:val="000000"/>
                <w:sz w:val="24"/>
                <w:szCs w:val="24"/>
              </w:rPr>
            </w:pPr>
            <w:r>
              <w:rPr>
                <w:rFonts w:ascii="Times New Roman" w:hAnsi="Times New Roman"/>
                <w:color w:val="000000"/>
                <w:sz w:val="24"/>
              </w:rPr>
              <w:t>Der Kunde hat bereits eine soziale Energieberatung in Anspruch genommen</w:t>
            </w:r>
            <w:r w:rsidRPr="00F83272">
              <w:rPr>
                <w:rFonts w:ascii="Times New Roman" w:hAnsi="Times New Roman"/>
                <w:b/>
                <w:color w:val="000000"/>
                <w:sz w:val="24"/>
                <w:szCs w:val="24"/>
              </w:rPr>
              <w:t xml:space="preserve"> </w:t>
            </w:r>
          </w:p>
          <w:p w14:paraId="46331110" w14:textId="39648200" w:rsidR="002C07CB" w:rsidRDefault="00901EB4" w:rsidP="00901EB4">
            <w:pPr>
              <w:tabs>
                <w:tab w:val="right" w:leader="dot" w:pos="8700"/>
              </w:tab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b/>
            </w:r>
          </w:p>
          <w:p w14:paraId="18765657" w14:textId="0EDB1263" w:rsidR="00901EB4" w:rsidRPr="00F83272" w:rsidRDefault="00901EB4" w:rsidP="00901EB4">
            <w:pPr>
              <w:tabs>
                <w:tab w:val="right" w:leader="dot" w:pos="8700"/>
              </w:tabs>
              <w:spacing w:line="240" w:lineRule="atLeast"/>
              <w:rPr>
                <w:rFonts w:ascii="Times New Roman" w:eastAsia="Calibri" w:hAnsi="Times New Roman" w:cs="Times New Roman"/>
                <w:color w:val="000000"/>
                <w:sz w:val="24"/>
                <w:szCs w:val="24"/>
              </w:rPr>
            </w:pPr>
            <w:r>
              <w:rPr>
                <w:rFonts w:ascii="Times New Roman" w:hAnsi="Times New Roman" w:cs="Times New Roman"/>
                <w:color w:val="000000"/>
                <w:sz w:val="24"/>
                <w:szCs w:val="24"/>
              </w:rPr>
              <w:tab/>
            </w:r>
          </w:p>
          <w:p w14:paraId="32BABF55" w14:textId="77777777" w:rsidR="002C07CB" w:rsidRPr="00901EB4" w:rsidRDefault="002C07CB" w:rsidP="00901EB4">
            <w:pPr>
              <w:numPr>
                <w:ilvl w:val="0"/>
                <w:numId w:val="5"/>
              </w:numPr>
              <w:tabs>
                <w:tab w:val="left" w:pos="300"/>
                <w:tab w:val="right" w:leader="dot" w:pos="8700"/>
              </w:tabs>
              <w:spacing w:line="240" w:lineRule="atLeast"/>
              <w:ind w:left="0"/>
              <w:rPr>
                <w:rFonts w:ascii="Times New Roman" w:eastAsia="Calibri" w:hAnsi="Times New Roman" w:cs="Times New Roman"/>
                <w:color w:val="000000"/>
                <w:sz w:val="24"/>
                <w:szCs w:val="24"/>
              </w:rPr>
            </w:pPr>
            <w:r>
              <w:rPr>
                <w:rFonts w:ascii="Times New Roman" w:hAnsi="Times New Roman"/>
                <w:color w:val="000000"/>
                <w:sz w:val="24"/>
              </w:rPr>
              <w:t xml:space="preserve">Der Kunde hat keine soziale Energieberatung in Anspruch genommen. Das ÖSHZ informiert den Kunden bei dieser Sitzung der lokalen Energiekommission darüber, dass er eine soziale Energieberatung beantragen kann. </w:t>
            </w:r>
          </w:p>
          <w:p w14:paraId="750A31A0" w14:textId="58E7FAA0" w:rsidR="002C07CB" w:rsidRPr="00F83272" w:rsidRDefault="00901EB4" w:rsidP="00901EB4">
            <w:pPr>
              <w:tabs>
                <w:tab w:val="right" w:leader="dot" w:pos="8700"/>
              </w:tabs>
              <w:spacing w:line="240" w:lineRule="atLeast"/>
              <w:rPr>
                <w:rFonts w:ascii="Times New Roman" w:eastAsia="Calibri"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231EB1AD"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c>
      </w:tr>
    </w:tbl>
    <w:p w14:paraId="005C472C" w14:textId="77777777" w:rsidR="002C07CB" w:rsidRPr="00F83272" w:rsidRDefault="002C07CB" w:rsidP="002C07CB">
      <w:pPr>
        <w:spacing w:after="0"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bl>
      <w:tblPr>
        <w:tblStyle w:val="TableGrid"/>
        <w:tblW w:w="5000" w:type="pct"/>
        <w:tblInd w:w="0" w:type="dxa"/>
        <w:tblCellMar>
          <w:top w:w="7" w:type="dxa"/>
          <w:left w:w="108" w:type="dxa"/>
          <w:right w:w="115" w:type="dxa"/>
        </w:tblCellMar>
        <w:tblLook w:val="04A0" w:firstRow="1" w:lastRow="0" w:firstColumn="1" w:lastColumn="0" w:noHBand="0" w:noVBand="1"/>
      </w:tblPr>
      <w:tblGrid>
        <w:gridCol w:w="9072"/>
      </w:tblGrid>
      <w:tr w:rsidR="002C07CB" w:rsidRPr="00F83272" w14:paraId="78B136B6" w14:textId="77777777" w:rsidTr="0056426D">
        <w:trPr>
          <w:trHeight w:val="528"/>
        </w:trPr>
        <w:tc>
          <w:tcPr>
            <w:tcW w:w="5000" w:type="pct"/>
            <w:tcBorders>
              <w:top w:val="nil"/>
              <w:left w:val="nil"/>
              <w:bottom w:val="single" w:sz="17" w:space="0" w:color="FFFFFF"/>
              <w:right w:val="nil"/>
            </w:tcBorders>
            <w:shd w:val="clear" w:color="auto" w:fill="CCCCCC"/>
          </w:tcPr>
          <w:p w14:paraId="6F230992"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Unterschrift der Kommissionsmitglieder </w:t>
            </w:r>
          </w:p>
          <w:p w14:paraId="2E3314C9"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b/>
                <w:color w:val="000000"/>
                <w:sz w:val="24"/>
              </w:rPr>
              <w:t xml:space="preserve"> </w:t>
            </w:r>
          </w:p>
        </w:tc>
      </w:tr>
      <w:tr w:rsidR="002C07CB" w:rsidRPr="00F83272" w14:paraId="4AE96E59" w14:textId="77777777" w:rsidTr="0056426D">
        <w:trPr>
          <w:trHeight w:val="1056"/>
        </w:trPr>
        <w:tc>
          <w:tcPr>
            <w:tcW w:w="5000" w:type="pct"/>
            <w:tcBorders>
              <w:top w:val="single" w:sz="17" w:space="0" w:color="FFFFFF"/>
              <w:left w:val="nil"/>
              <w:bottom w:val="single" w:sz="17" w:space="0" w:color="FFFFFF"/>
              <w:right w:val="nil"/>
            </w:tcBorders>
            <w:shd w:val="clear" w:color="auto" w:fill="F2F2F2"/>
          </w:tcPr>
          <w:p w14:paraId="418CE033"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Unterschrift des Präsidenten, vom Sozialhilferat ernannter Vertreter </w:t>
            </w:r>
          </w:p>
          <w:p w14:paraId="5481D693"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14119B46"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027E860E"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c>
      </w:tr>
      <w:tr w:rsidR="002C07CB" w:rsidRPr="00F83272" w14:paraId="55122AB5" w14:textId="77777777" w:rsidTr="0056426D">
        <w:trPr>
          <w:trHeight w:val="1056"/>
        </w:trPr>
        <w:tc>
          <w:tcPr>
            <w:tcW w:w="5000" w:type="pct"/>
            <w:tcBorders>
              <w:top w:val="single" w:sz="17" w:space="0" w:color="FFFFFF"/>
              <w:left w:val="nil"/>
              <w:bottom w:val="single" w:sz="17" w:space="0" w:color="FFFFFF"/>
              <w:right w:val="nil"/>
            </w:tcBorders>
            <w:shd w:val="clear" w:color="auto" w:fill="EDEDED"/>
          </w:tcPr>
          <w:p w14:paraId="783B2D10"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Unterschrift der Person, die im ÖSHZ für die soziale Energieberatung zuständig ist </w:t>
            </w:r>
          </w:p>
          <w:p w14:paraId="113CC2C4"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630887BB"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594C096B"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c>
      </w:tr>
      <w:tr w:rsidR="002C07CB" w:rsidRPr="00F83272" w14:paraId="1868084E" w14:textId="77777777" w:rsidTr="0056426D">
        <w:trPr>
          <w:trHeight w:val="1426"/>
        </w:trPr>
        <w:tc>
          <w:tcPr>
            <w:tcW w:w="5000" w:type="pct"/>
            <w:tcBorders>
              <w:top w:val="single" w:sz="17" w:space="0" w:color="FFFFFF"/>
              <w:left w:val="nil"/>
              <w:bottom w:val="single" w:sz="17" w:space="0" w:color="FFFFFF"/>
              <w:right w:val="nil"/>
            </w:tcBorders>
            <w:shd w:val="clear" w:color="auto" w:fill="EDEDED"/>
          </w:tcPr>
          <w:p w14:paraId="34FD3D9E"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lastRenderedPageBreak/>
              <w:t xml:space="preserve">Unterschrift des Vertreters des sozialen Versorgers </w:t>
            </w:r>
          </w:p>
          <w:p w14:paraId="7231A465"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757CBA43"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i/>
                <w:color w:val="000000"/>
                <w:sz w:val="24"/>
              </w:rPr>
              <w:t xml:space="preserve">Die betreffende Person bestätigt, dass sie eine Kopie dieser Entscheidung erhalten hat, was als Benachrichtigung gilt  </w:t>
            </w:r>
          </w:p>
          <w:p w14:paraId="4D029B0B"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i/>
                <w:color w:val="000000"/>
                <w:sz w:val="24"/>
              </w:rPr>
              <w:t xml:space="preserve"> </w:t>
            </w:r>
          </w:p>
          <w:p w14:paraId="7802D4D4"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i/>
                <w:color w:val="000000"/>
                <w:sz w:val="24"/>
              </w:rPr>
              <w:t xml:space="preserve"> </w:t>
            </w:r>
          </w:p>
          <w:p w14:paraId="1FABAF12"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c>
      </w:tr>
      <w:tr w:rsidR="002C07CB" w:rsidRPr="00F83272" w14:paraId="000C2B8E" w14:textId="77777777" w:rsidTr="0056426D">
        <w:trPr>
          <w:trHeight w:val="1680"/>
        </w:trPr>
        <w:tc>
          <w:tcPr>
            <w:tcW w:w="5000" w:type="pct"/>
            <w:tcBorders>
              <w:top w:val="single" w:sz="17" w:space="0" w:color="FFFFFF"/>
              <w:left w:val="nil"/>
              <w:bottom w:val="nil"/>
              <w:right w:val="nil"/>
            </w:tcBorders>
            <w:shd w:val="clear" w:color="auto" w:fill="EDEDED"/>
          </w:tcPr>
          <w:p w14:paraId="6A1345BE"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Unterschrift der Kundin/des Kunden oder der Person, die sie/ihn vertritt</w:t>
            </w:r>
            <w:r w:rsidRPr="00F83272">
              <w:rPr>
                <w:rFonts w:ascii="Times New Roman" w:hAnsi="Times New Roman"/>
                <w:color w:val="000000"/>
                <w:sz w:val="24"/>
                <w:szCs w:val="24"/>
                <w:vertAlign w:val="superscript"/>
              </w:rPr>
              <w:footnoteReference w:id="2"/>
            </w:r>
            <w:r>
              <w:rPr>
                <w:rFonts w:ascii="Times New Roman" w:hAnsi="Times New Roman"/>
                <w:color w:val="000000"/>
                <w:sz w:val="24"/>
              </w:rPr>
              <w:t xml:space="preserve"> </w:t>
            </w:r>
          </w:p>
          <w:p w14:paraId="006766B7"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19DC220C"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i/>
                <w:color w:val="000000"/>
                <w:sz w:val="24"/>
              </w:rPr>
              <w:t xml:space="preserve">Die betroffene Person bestätigt, dass sie eine Kopie dieser Entscheidung erhalten hat, was als Benachrichtigung gilt (Nichtzutreffendes bitte streichen) </w:t>
            </w:r>
          </w:p>
          <w:p w14:paraId="2D12D63E"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46B1CCFD"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2E11E85E" w14:textId="77777777" w:rsidR="002C07CB" w:rsidRPr="00F83272" w:rsidRDefault="002C07CB" w:rsidP="0056426D">
            <w:pPr>
              <w:spacing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tc>
      </w:tr>
    </w:tbl>
    <w:p w14:paraId="6DEF8C0C" w14:textId="77777777" w:rsidR="002C07CB" w:rsidRPr="00F83272" w:rsidRDefault="002C07CB" w:rsidP="002C07CB">
      <w:pPr>
        <w:spacing w:after="0" w:line="240" w:lineRule="atLeast"/>
        <w:rPr>
          <w:rFonts w:ascii="Times New Roman" w:eastAsia="Calibri" w:hAnsi="Times New Roman" w:cs="Times New Roman"/>
          <w:color w:val="000000"/>
          <w:sz w:val="24"/>
          <w:szCs w:val="24"/>
        </w:rPr>
      </w:pPr>
      <w:r>
        <w:rPr>
          <w:rFonts w:ascii="Times New Roman" w:hAnsi="Times New Roman"/>
          <w:color w:val="000000"/>
          <w:sz w:val="24"/>
        </w:rPr>
        <w:t xml:space="preserve"> </w:t>
      </w:r>
    </w:p>
    <w:p w14:paraId="19DCA1AC" w14:textId="77777777" w:rsidR="002C07CB" w:rsidRPr="00F83272" w:rsidRDefault="002C07CB" w:rsidP="002C07CB">
      <w:pPr>
        <w:spacing w:after="0" w:line="240" w:lineRule="atLeast"/>
        <w:rPr>
          <w:rFonts w:ascii="Times New Roman" w:eastAsia="Arial" w:hAnsi="Times New Roman" w:cs="Times New Roman"/>
          <w:color w:val="000000"/>
          <w:sz w:val="24"/>
          <w:szCs w:val="24"/>
        </w:rPr>
      </w:pPr>
      <w:r>
        <w:rPr>
          <w:rFonts w:ascii="Times New Roman" w:hAnsi="Times New Roman"/>
          <w:color w:val="000000"/>
          <w:sz w:val="24"/>
        </w:rPr>
        <w:t xml:space="preserve"> Die Sitzung dieser lokalen Energiekommission erfolgt gemäß:</w:t>
      </w:r>
    </w:p>
    <w:p w14:paraId="40330798" w14:textId="77777777" w:rsidR="002C07CB" w:rsidRPr="00901EB4" w:rsidRDefault="002C07CB" w:rsidP="00901EB4">
      <w:pPr>
        <w:pStyle w:val="Paragraphedeliste"/>
        <w:numPr>
          <w:ilvl w:val="0"/>
          <w:numId w:val="7"/>
        </w:numPr>
        <w:spacing w:after="0" w:line="240" w:lineRule="atLeast"/>
        <w:ind w:left="426"/>
        <w:rPr>
          <w:rFonts w:ascii="Times New Roman" w:eastAsia="Arial" w:hAnsi="Times New Roman" w:cs="Times New Roman"/>
          <w:color w:val="000000"/>
          <w:sz w:val="24"/>
          <w:szCs w:val="24"/>
        </w:rPr>
      </w:pPr>
      <w:r w:rsidRPr="00901EB4">
        <w:rPr>
          <w:rFonts w:ascii="Times New Roman" w:hAnsi="Times New Roman"/>
          <w:color w:val="000000"/>
          <w:sz w:val="24"/>
        </w:rPr>
        <w:t xml:space="preserve">Artikel 31quater, Absatz 2, 1° des Dekrets vom 19. Dezember 2002 über die Organisation des regionalen Gasmarktes; </w:t>
      </w:r>
    </w:p>
    <w:p w14:paraId="00B73055" w14:textId="77777777" w:rsidR="002C07CB" w:rsidRPr="00901EB4" w:rsidRDefault="002C07CB" w:rsidP="00901EB4">
      <w:pPr>
        <w:pStyle w:val="Paragraphedeliste"/>
        <w:numPr>
          <w:ilvl w:val="0"/>
          <w:numId w:val="7"/>
        </w:numPr>
        <w:spacing w:after="0" w:line="240" w:lineRule="atLeast"/>
        <w:ind w:left="426"/>
        <w:rPr>
          <w:rFonts w:ascii="Times New Roman" w:eastAsia="Calibri" w:hAnsi="Times New Roman" w:cs="Times New Roman"/>
          <w:color w:val="000000"/>
          <w:sz w:val="24"/>
          <w:szCs w:val="24"/>
        </w:rPr>
      </w:pPr>
      <w:r w:rsidRPr="00901EB4">
        <w:rPr>
          <w:rFonts w:ascii="Times New Roman" w:hAnsi="Times New Roman"/>
          <w:color w:val="000000"/>
          <w:sz w:val="24"/>
        </w:rPr>
        <w:t>Artikel 6</w:t>
      </w:r>
      <w:r w:rsidRPr="00901EB4">
        <w:rPr>
          <w:rFonts w:ascii="Times New Roman" w:hAnsi="Times New Roman"/>
          <w:i/>
          <w:color w:val="000000"/>
          <w:sz w:val="24"/>
          <w:szCs w:val="24"/>
        </w:rPr>
        <w:t>bis</w:t>
      </w:r>
      <w:r w:rsidRPr="00901EB4">
        <w:rPr>
          <w:rFonts w:ascii="Times New Roman" w:hAnsi="Times New Roman"/>
          <w:color w:val="000000"/>
          <w:sz w:val="24"/>
        </w:rPr>
        <w:t xml:space="preserve">, Abs. 1, 1° des Erlasses der Wallonischen Regierung vom 17. Juli 2003 über die lokale Energiekommission (AGW CLE). </w:t>
      </w:r>
    </w:p>
    <w:p w14:paraId="0EC5E5C1" w14:textId="2273117B" w:rsidR="002C07CB" w:rsidRPr="00901EB4" w:rsidRDefault="002C07CB" w:rsidP="00901EB4">
      <w:pPr>
        <w:pStyle w:val="Paragraphedeliste"/>
        <w:numPr>
          <w:ilvl w:val="0"/>
          <w:numId w:val="7"/>
        </w:numPr>
        <w:spacing w:after="0" w:line="240" w:lineRule="atLeast"/>
        <w:ind w:left="426"/>
        <w:rPr>
          <w:rFonts w:ascii="Times New Roman" w:eastAsia="Calibri" w:hAnsi="Times New Roman" w:cs="Times New Roman"/>
          <w:color w:val="000000"/>
          <w:sz w:val="24"/>
          <w:szCs w:val="24"/>
        </w:rPr>
      </w:pPr>
      <w:r w:rsidRPr="00901EB4">
        <w:rPr>
          <w:rFonts w:ascii="Times New Roman" w:hAnsi="Times New Roman"/>
          <w:color w:val="000000"/>
          <w:sz w:val="24"/>
        </w:rPr>
        <w:t>Artikel 40 des Erlasses der Wallonischen Regierung vom 30. März 2006 über die gemeinwirtschaftlichen Verpflichtungen auf dem Gasmarkt (AGW OSP GAZ)</w:t>
      </w:r>
      <w:r w:rsidR="00901EB4" w:rsidRPr="00901EB4">
        <w:rPr>
          <w:rFonts w:ascii="Times New Roman" w:hAnsi="Times New Roman"/>
          <w:color w:val="000000"/>
          <w:sz w:val="24"/>
        </w:rPr>
        <w:t>.</w:t>
      </w:r>
    </w:p>
    <w:p w14:paraId="0751BE21" w14:textId="77777777" w:rsidR="00901EB4" w:rsidRPr="00901EB4" w:rsidRDefault="00901EB4" w:rsidP="00901EB4">
      <w:pPr>
        <w:spacing w:after="0" w:line="240" w:lineRule="atLeast"/>
        <w:rPr>
          <w:rFonts w:ascii="Times New Roman" w:eastAsia="Calibri" w:hAnsi="Times New Roman" w:cs="Times New Roman"/>
          <w:color w:val="000000"/>
          <w:sz w:val="24"/>
          <w:szCs w:val="24"/>
        </w:rPr>
      </w:pPr>
    </w:p>
    <w:p w14:paraId="590BCB6B" w14:textId="77777777" w:rsidR="002C07CB" w:rsidRPr="00F83272" w:rsidRDefault="002C07CB" w:rsidP="002C07CB">
      <w:pPr>
        <w:spacing w:after="0" w:line="240" w:lineRule="atLeast"/>
        <w:rPr>
          <w:rFonts w:ascii="Times New Roman" w:eastAsia="Calibri" w:hAnsi="Times New Roman" w:cs="Times New Roman"/>
          <w:color w:val="000000"/>
          <w:sz w:val="24"/>
          <w:szCs w:val="24"/>
        </w:rPr>
      </w:pPr>
      <w:r>
        <w:rPr>
          <w:rFonts w:ascii="Times New Roman" w:hAnsi="Times New Roman"/>
          <w:i/>
          <w:color w:val="000000"/>
          <w:sz w:val="24"/>
        </w:rPr>
        <w:t xml:space="preserve">Im Falle einer Anfechtung dieser Entscheidung gemäß Artikel 31quater, Absatz 6 des Dekrets vom 19. Dezember 2002 über die Organisation des regionalen Gasmarktes, kann gegen diese Entscheidung beim Friedensrichter des Anschlussortes des betroffenen Kunden Klage erhoben werden. </w:t>
      </w:r>
    </w:p>
    <w:p w14:paraId="3E94C2A7" w14:textId="77777777" w:rsidR="00F01C42" w:rsidRDefault="00F01C42"/>
    <w:sectPr w:rsidR="00F01C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F85A" w14:textId="77777777" w:rsidR="002C07CB" w:rsidRDefault="002C07CB" w:rsidP="002C07CB">
      <w:pPr>
        <w:spacing w:after="0" w:line="240" w:lineRule="auto"/>
      </w:pPr>
      <w:r>
        <w:separator/>
      </w:r>
    </w:p>
  </w:endnote>
  <w:endnote w:type="continuationSeparator" w:id="0">
    <w:p w14:paraId="38BF0645" w14:textId="77777777" w:rsidR="002C07CB" w:rsidRDefault="002C07CB" w:rsidP="002C0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6CF1" w14:textId="77777777" w:rsidR="002C07CB" w:rsidRDefault="002C07CB" w:rsidP="002C07CB">
      <w:pPr>
        <w:spacing w:after="0" w:line="240" w:lineRule="auto"/>
      </w:pPr>
      <w:r>
        <w:separator/>
      </w:r>
    </w:p>
  </w:footnote>
  <w:footnote w:type="continuationSeparator" w:id="0">
    <w:p w14:paraId="2A51DD28" w14:textId="77777777" w:rsidR="002C07CB" w:rsidRDefault="002C07CB" w:rsidP="002C07CB">
      <w:pPr>
        <w:spacing w:after="0" w:line="240" w:lineRule="auto"/>
      </w:pPr>
      <w:r>
        <w:continuationSeparator/>
      </w:r>
    </w:p>
  </w:footnote>
  <w:footnote w:id="1">
    <w:p w14:paraId="3487B6F4" w14:textId="77777777" w:rsidR="002C07CB" w:rsidRDefault="002C07CB" w:rsidP="002C07CB">
      <w:pPr>
        <w:pStyle w:val="Notedebasdepage"/>
        <w:jc w:val="both"/>
      </w:pPr>
      <w:r>
        <w:rPr>
          <w:rStyle w:val="Appelnotedebasdep"/>
        </w:rPr>
        <w:footnoteRef/>
      </w:r>
      <w:r>
        <w:t xml:space="preserve"> Die Winterhilfe besteht in der Übernahme von 70 % der Kosten für die Gasversorgung während der Winterperiode über die Beteiligung des Energiefonds der Wallonischen Region. Der Beteiligungsantrag wird vom sozialen Versorger bei der Verwaltung eingereicht. Diese Kostenübernahme erfolgt auf den Gesamtbetrag, der dem tatsächlichen Verbrauch des Kunden entspricht und der am Ende der Winterperiode genau bestimmt wird. (Wenn der Kunde über einen Budgetzähler verfügt, wird sein Verbrauch ermittelt, nachdem der Kunde seine Karte in den Budgetzähler und dann in eine Aufladestation eingeführt hat. Wenn der Kunde über einen kommunizierenden Zähler mit aktivierter Vorauszahlungsfunktion verfügt, wird der soziale Versorger am Ende der Winterperiode den Zählerstand des Kunden aus der Ferne ablesen, um seinen Verbrauch zu ermitteln). Im Falle einer Entscheidung des Ministers, die Dauer des Winterzeitraums über den 31. März </w:t>
      </w:r>
      <w:proofErr w:type="gramStart"/>
      <w:r>
        <w:t>hinaus zu verlängern</w:t>
      </w:r>
      <w:proofErr w:type="gramEnd"/>
      <w:r>
        <w:t>, wird die von der CLE beschlossene Gewährung der Winterhilfe automatisch bis zum Ende dieses Zeitraums fortgesetzt.</w:t>
      </w:r>
    </w:p>
  </w:footnote>
  <w:footnote w:id="2">
    <w:p w14:paraId="55828029" w14:textId="77777777" w:rsidR="002C07CB" w:rsidRDefault="002C07CB" w:rsidP="002C07CB">
      <w:pPr>
        <w:pStyle w:val="footnotedescription"/>
        <w:spacing w:line="259" w:lineRule="auto"/>
        <w:ind w:left="283" w:right="3" w:hanging="283"/>
      </w:pPr>
      <w:r>
        <w:rPr>
          <w:rStyle w:val="footnotemark"/>
        </w:rPr>
        <w:footnoteRef/>
      </w:r>
      <w:r>
        <w:t xml:space="preserve"> Die betroffene Person bestätigt, dass sie den Zweck der Verarbeitung der mitgeteilten Daten verstanden hat und gibt ihre Zustimmung zur Verwendung der Daten durch die Mitglieder der lokalen Energiekommission und im strikten Rahmen dieses Zwecks. Gemäß den Bestimmungen der Verordnung (EU) 2016/679 zum Schutz natürlicher Personen bei der Verarbeitung personenbezogener Daten und zum freien Datenverkehr hat die betroffene Person jederzeit das Recht, der Verarbeitung zu widersprechen und die Änderung oder Löschung ihrer personenbezogenen Daten zu verlangen.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6E64"/>
    <w:multiLevelType w:val="hybridMultilevel"/>
    <w:tmpl w:val="87AE9516"/>
    <w:lvl w:ilvl="0" w:tplc="E2B6DF70">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B4685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445B0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8CB87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AEE7B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D2805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ACFB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A22B4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54EA8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41A1665"/>
    <w:multiLevelType w:val="hybridMultilevel"/>
    <w:tmpl w:val="8B36273C"/>
    <w:lvl w:ilvl="0" w:tplc="80886BDA">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4845D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6BC3B1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0488E2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D45C5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F30892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E788D5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B6D54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BEFC3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283F59"/>
    <w:multiLevelType w:val="hybridMultilevel"/>
    <w:tmpl w:val="0E6CC860"/>
    <w:lvl w:ilvl="0" w:tplc="9F3C4992">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87E326E">
      <w:start w:val="1"/>
      <w:numFmt w:val="bullet"/>
      <w:lvlText w:val="o"/>
      <w:lvlJc w:val="left"/>
      <w:pPr>
        <w:ind w:left="1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724DCCA">
      <w:start w:val="1"/>
      <w:numFmt w:val="bullet"/>
      <w:lvlText w:val="▪"/>
      <w:lvlJc w:val="left"/>
      <w:pPr>
        <w:ind w:left="1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D8E50E0">
      <w:start w:val="1"/>
      <w:numFmt w:val="bullet"/>
      <w:lvlText w:val="•"/>
      <w:lvlJc w:val="left"/>
      <w:pPr>
        <w:ind w:left="2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0B21EA8">
      <w:start w:val="1"/>
      <w:numFmt w:val="bullet"/>
      <w:lvlText w:val="o"/>
      <w:lvlJc w:val="left"/>
      <w:pPr>
        <w:ind w:left="3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44B454">
      <w:start w:val="1"/>
      <w:numFmt w:val="bullet"/>
      <w:lvlText w:val="▪"/>
      <w:lvlJc w:val="left"/>
      <w:pPr>
        <w:ind w:left="40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6BC6E4E">
      <w:start w:val="1"/>
      <w:numFmt w:val="bullet"/>
      <w:lvlText w:val="•"/>
      <w:lvlJc w:val="left"/>
      <w:pPr>
        <w:ind w:left="47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B80378">
      <w:start w:val="1"/>
      <w:numFmt w:val="bullet"/>
      <w:lvlText w:val="o"/>
      <w:lvlJc w:val="left"/>
      <w:pPr>
        <w:ind w:left="54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2E29B4">
      <w:start w:val="1"/>
      <w:numFmt w:val="bullet"/>
      <w:lvlText w:val="▪"/>
      <w:lvlJc w:val="left"/>
      <w:pPr>
        <w:ind w:left="6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B309B3"/>
    <w:multiLevelType w:val="hybridMultilevel"/>
    <w:tmpl w:val="9F8A158A"/>
    <w:lvl w:ilvl="0" w:tplc="C4348ACA">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CEC985A">
      <w:start w:val="1"/>
      <w:numFmt w:val="bullet"/>
      <w:lvlText w:val="o"/>
      <w:lvlJc w:val="left"/>
      <w:pPr>
        <w:ind w:left="1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F706768">
      <w:start w:val="1"/>
      <w:numFmt w:val="bullet"/>
      <w:lvlText w:val="▪"/>
      <w:lvlJc w:val="left"/>
      <w:pPr>
        <w:ind w:left="1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8E8A38">
      <w:start w:val="1"/>
      <w:numFmt w:val="bullet"/>
      <w:lvlText w:val="•"/>
      <w:lvlJc w:val="left"/>
      <w:pPr>
        <w:ind w:left="2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A893A8">
      <w:start w:val="1"/>
      <w:numFmt w:val="bullet"/>
      <w:lvlText w:val="o"/>
      <w:lvlJc w:val="left"/>
      <w:pPr>
        <w:ind w:left="33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2CD9D4">
      <w:start w:val="1"/>
      <w:numFmt w:val="bullet"/>
      <w:lvlText w:val="▪"/>
      <w:lvlJc w:val="left"/>
      <w:pPr>
        <w:ind w:left="40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2A65DCC">
      <w:start w:val="1"/>
      <w:numFmt w:val="bullet"/>
      <w:lvlText w:val="•"/>
      <w:lvlJc w:val="left"/>
      <w:pPr>
        <w:ind w:left="47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022A44">
      <w:start w:val="1"/>
      <w:numFmt w:val="bullet"/>
      <w:lvlText w:val="o"/>
      <w:lvlJc w:val="left"/>
      <w:pPr>
        <w:ind w:left="54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0D28F0A">
      <w:start w:val="1"/>
      <w:numFmt w:val="bullet"/>
      <w:lvlText w:val="▪"/>
      <w:lvlJc w:val="left"/>
      <w:pPr>
        <w:ind w:left="61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2C39FE"/>
    <w:multiLevelType w:val="hybridMultilevel"/>
    <w:tmpl w:val="E87687E6"/>
    <w:lvl w:ilvl="0" w:tplc="EA2637C4">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AE61D72">
      <w:start w:val="1"/>
      <w:numFmt w:val="bullet"/>
      <w:lvlText w:val="o"/>
      <w:lvlJc w:val="left"/>
      <w:pPr>
        <w:ind w:left="1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AF8C8A4">
      <w:start w:val="1"/>
      <w:numFmt w:val="bullet"/>
      <w:lvlText w:val="▪"/>
      <w:lvlJc w:val="left"/>
      <w:pPr>
        <w:ind w:left="1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8282C2">
      <w:start w:val="1"/>
      <w:numFmt w:val="bullet"/>
      <w:lvlText w:val="•"/>
      <w:lvlJc w:val="left"/>
      <w:pPr>
        <w:ind w:left="2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EDCB9D2">
      <w:start w:val="1"/>
      <w:numFmt w:val="bullet"/>
      <w:lvlText w:val="o"/>
      <w:lvlJc w:val="left"/>
      <w:pPr>
        <w:ind w:left="3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8E4DA26">
      <w:start w:val="1"/>
      <w:numFmt w:val="bullet"/>
      <w:lvlText w:val="▪"/>
      <w:lvlJc w:val="left"/>
      <w:pPr>
        <w:ind w:left="40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F4E8E36">
      <w:start w:val="1"/>
      <w:numFmt w:val="bullet"/>
      <w:lvlText w:val="•"/>
      <w:lvlJc w:val="left"/>
      <w:pPr>
        <w:ind w:left="47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EC00A20">
      <w:start w:val="1"/>
      <w:numFmt w:val="bullet"/>
      <w:lvlText w:val="o"/>
      <w:lvlJc w:val="left"/>
      <w:pPr>
        <w:ind w:left="54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3EE33B2">
      <w:start w:val="1"/>
      <w:numFmt w:val="bullet"/>
      <w:lvlText w:val="▪"/>
      <w:lvlJc w:val="left"/>
      <w:pPr>
        <w:ind w:left="6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F34AF4"/>
    <w:multiLevelType w:val="hybridMultilevel"/>
    <w:tmpl w:val="4874096E"/>
    <w:lvl w:ilvl="0" w:tplc="2CB80A8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96AE544">
      <w:start w:val="1"/>
      <w:numFmt w:val="bullet"/>
      <w:lvlText w:val="o"/>
      <w:lvlJc w:val="left"/>
      <w:pPr>
        <w:ind w:left="1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AC42BFA">
      <w:start w:val="1"/>
      <w:numFmt w:val="bullet"/>
      <w:lvlText w:val="▪"/>
      <w:lvlJc w:val="left"/>
      <w:pPr>
        <w:ind w:left="1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9A0E3C6">
      <w:start w:val="1"/>
      <w:numFmt w:val="bullet"/>
      <w:lvlText w:val="•"/>
      <w:lvlJc w:val="left"/>
      <w:pPr>
        <w:ind w:left="2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96CE43E">
      <w:start w:val="1"/>
      <w:numFmt w:val="bullet"/>
      <w:lvlText w:val="o"/>
      <w:lvlJc w:val="left"/>
      <w:pPr>
        <w:ind w:left="33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D0108E">
      <w:start w:val="1"/>
      <w:numFmt w:val="bullet"/>
      <w:lvlText w:val="▪"/>
      <w:lvlJc w:val="left"/>
      <w:pPr>
        <w:ind w:left="4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D527B94">
      <w:start w:val="1"/>
      <w:numFmt w:val="bullet"/>
      <w:lvlText w:val="•"/>
      <w:lvlJc w:val="left"/>
      <w:pPr>
        <w:ind w:left="47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DCFDDA">
      <w:start w:val="1"/>
      <w:numFmt w:val="bullet"/>
      <w:lvlText w:val="o"/>
      <w:lvlJc w:val="left"/>
      <w:pPr>
        <w:ind w:left="5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1449F86">
      <w:start w:val="1"/>
      <w:numFmt w:val="bullet"/>
      <w:lvlText w:val="▪"/>
      <w:lvlJc w:val="left"/>
      <w:pPr>
        <w:ind w:left="6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FB345B"/>
    <w:multiLevelType w:val="hybridMultilevel"/>
    <w:tmpl w:val="9F3AE4B6"/>
    <w:lvl w:ilvl="0" w:tplc="77DE23E0">
      <w:start w:val="1"/>
      <w:numFmt w:val="bullet"/>
      <w:lvlText w:val="-"/>
      <w:lvlJc w:val="left"/>
      <w:pPr>
        <w:ind w:left="720" w:hanging="360"/>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5489258">
    <w:abstractNumId w:val="1"/>
  </w:num>
  <w:num w:numId="2" w16cid:durableId="169954533">
    <w:abstractNumId w:val="2"/>
  </w:num>
  <w:num w:numId="3" w16cid:durableId="678196261">
    <w:abstractNumId w:val="4"/>
  </w:num>
  <w:num w:numId="4" w16cid:durableId="45106331">
    <w:abstractNumId w:val="3"/>
  </w:num>
  <w:num w:numId="5" w16cid:durableId="553782243">
    <w:abstractNumId w:val="5"/>
  </w:num>
  <w:num w:numId="6" w16cid:durableId="675769193">
    <w:abstractNumId w:val="0"/>
  </w:num>
  <w:num w:numId="7" w16cid:durableId="285893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CB"/>
    <w:rsid w:val="001953A3"/>
    <w:rsid w:val="002C07CB"/>
    <w:rsid w:val="002E1CF7"/>
    <w:rsid w:val="00901EB4"/>
    <w:rsid w:val="00A008B3"/>
    <w:rsid w:val="00F01C4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06C9"/>
  <w15:chartTrackingRefBased/>
  <w15:docId w15:val="{8BD7FBF4-D08D-47DB-A283-F497900B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7CB"/>
    <w:rPr>
      <w:kern w:val="0"/>
      <w:lang w:val="de-D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2C07CB"/>
    <w:pPr>
      <w:spacing w:after="0" w:line="263" w:lineRule="auto"/>
      <w:ind w:left="142" w:right="2" w:hanging="145"/>
      <w:jc w:val="both"/>
    </w:pPr>
    <w:rPr>
      <w:rFonts w:ascii="Arial" w:eastAsia="Arial" w:hAnsi="Arial" w:cs="Arial"/>
      <w:color w:val="000000"/>
      <w:kern w:val="0"/>
      <w:sz w:val="18"/>
      <w:lang w:val="de-DE" w:eastAsia="fr-BE"/>
      <w14:ligatures w14:val="none"/>
    </w:rPr>
  </w:style>
  <w:style w:type="character" w:customStyle="1" w:styleId="footnotedescriptionChar">
    <w:name w:val="footnote description Char"/>
    <w:link w:val="footnotedescription"/>
    <w:rsid w:val="002C07CB"/>
    <w:rPr>
      <w:rFonts w:ascii="Arial" w:eastAsia="Arial" w:hAnsi="Arial" w:cs="Arial"/>
      <w:color w:val="000000"/>
      <w:kern w:val="0"/>
      <w:sz w:val="18"/>
      <w:lang w:val="de-DE" w:eastAsia="fr-BE"/>
      <w14:ligatures w14:val="none"/>
    </w:rPr>
  </w:style>
  <w:style w:type="character" w:customStyle="1" w:styleId="footnotemark">
    <w:name w:val="footnote mark"/>
    <w:hidden/>
    <w:rsid w:val="002C07CB"/>
    <w:rPr>
      <w:rFonts w:ascii="Arial" w:eastAsia="Arial" w:hAnsi="Arial" w:cs="Arial"/>
      <w:color w:val="000000"/>
      <w:sz w:val="18"/>
      <w:vertAlign w:val="superscript"/>
    </w:rPr>
  </w:style>
  <w:style w:type="table" w:customStyle="1" w:styleId="TableGrid">
    <w:name w:val="TableGrid"/>
    <w:rsid w:val="002C07CB"/>
    <w:pPr>
      <w:spacing w:after="0" w:line="240" w:lineRule="auto"/>
    </w:pPr>
    <w:rPr>
      <w:rFonts w:eastAsiaTheme="minorEastAsia"/>
      <w:kern w:val="0"/>
      <w:lang w:val="de-DE" w:eastAsia="fr-BE"/>
      <w14:ligatures w14:val="none"/>
    </w:rPr>
    <w:tblPr>
      <w:tblCellMar>
        <w:top w:w="0" w:type="dxa"/>
        <w:left w:w="0" w:type="dxa"/>
        <w:bottom w:w="0" w:type="dxa"/>
        <w:right w:w="0" w:type="dxa"/>
      </w:tblCellMar>
    </w:tblPr>
  </w:style>
  <w:style w:type="paragraph" w:styleId="Paragraphedeliste">
    <w:name w:val="List Paragraph"/>
    <w:basedOn w:val="Normal"/>
    <w:uiPriority w:val="34"/>
    <w:qFormat/>
    <w:rsid w:val="002C07CB"/>
    <w:pPr>
      <w:ind w:left="720"/>
      <w:contextualSpacing/>
    </w:pPr>
  </w:style>
  <w:style w:type="paragraph" w:styleId="Notedebasdepage">
    <w:name w:val="footnote text"/>
    <w:basedOn w:val="Normal"/>
    <w:link w:val="NotedebasdepageCar"/>
    <w:uiPriority w:val="99"/>
    <w:semiHidden/>
    <w:unhideWhenUsed/>
    <w:rsid w:val="002C07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07CB"/>
    <w:rPr>
      <w:kern w:val="0"/>
      <w:sz w:val="20"/>
      <w:szCs w:val="20"/>
      <w:lang w:val="de-DE"/>
      <w14:ligatures w14:val="none"/>
    </w:rPr>
  </w:style>
  <w:style w:type="character" w:styleId="Appelnotedebasdep">
    <w:name w:val="footnote reference"/>
    <w:basedOn w:val="Policepardfaut"/>
    <w:uiPriority w:val="99"/>
    <w:semiHidden/>
    <w:unhideWhenUsed/>
    <w:rsid w:val="002C07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730</Words>
  <Characters>4017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Van Moer</dc:creator>
  <cp:keywords/>
  <dc:description/>
  <cp:lastModifiedBy>Manon Van Moer</cp:lastModifiedBy>
  <cp:revision>2</cp:revision>
  <dcterms:created xsi:type="dcterms:W3CDTF">2024-01-17T06:06:00Z</dcterms:created>
  <dcterms:modified xsi:type="dcterms:W3CDTF">2024-01-17T09:23:00Z</dcterms:modified>
</cp:coreProperties>
</file>