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EB39" w14:textId="77777777" w:rsidR="001011F9" w:rsidRPr="00F83272" w:rsidRDefault="001011F9" w:rsidP="001011F9">
      <w:pPr>
        <w:pBdr>
          <w:top w:val="single" w:sz="4" w:space="0" w:color="000000"/>
          <w:left w:val="single" w:sz="4" w:space="0" w:color="000000"/>
          <w:bottom w:val="single" w:sz="4" w:space="0" w:color="000000"/>
          <w:right w:val="single" w:sz="4" w:space="0" w:color="000000"/>
        </w:pBdr>
        <w:shd w:val="clear" w:color="auto" w:fill="F2F2F2"/>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Bericht über die Sitzung der lokalen Energiekommission Mindeststromversorgung oder wiederholte Nichtzahlung</w:t>
      </w:r>
    </w:p>
    <w:p w14:paraId="252DAFFE"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64C56549" w14:textId="1E4DEF69" w:rsidR="001011F9" w:rsidRPr="00F83272" w:rsidRDefault="001011F9" w:rsidP="00A36750">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Gemeinde</w:t>
      </w:r>
      <w:r w:rsidR="00A36750">
        <w:rPr>
          <w:rFonts w:ascii="Times New Roman" w:hAnsi="Times New Roman"/>
          <w:b/>
          <w:color w:val="000000"/>
          <w:sz w:val="24"/>
        </w:rPr>
        <w:tab/>
      </w:r>
    </w:p>
    <w:p w14:paraId="03CB7C56"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306DA86A"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Sitzung der lokalen Energiekommission in Bezug auf die Mindestversorgung mit Strom oder wiederkehrende Zahlungsausfälle. </w:t>
      </w:r>
    </w:p>
    <w:p w14:paraId="79E2B4AF"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093A9709" w14:textId="0DBC69A8" w:rsidR="001011F9" w:rsidRPr="00F83272" w:rsidRDefault="001011F9" w:rsidP="00A36750">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Bericht über die Sitzung am</w:t>
      </w:r>
      <w:r w:rsidR="00A36750">
        <w:rPr>
          <w:rFonts w:ascii="Times New Roman" w:hAnsi="Times New Roman"/>
          <w:b/>
          <w:color w:val="000000"/>
          <w:sz w:val="24"/>
        </w:rPr>
        <w:tab/>
      </w:r>
      <w:r>
        <w:rPr>
          <w:rFonts w:ascii="Times New Roman" w:hAnsi="Times New Roman"/>
          <w:b/>
          <w:color w:val="000000"/>
          <w:sz w:val="24"/>
        </w:rPr>
        <w:t xml:space="preserve">, veranstaltet: </w:t>
      </w:r>
    </w:p>
    <w:p w14:paraId="27C0F8AE"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3110FED5" w14:textId="77777777" w:rsidR="001011F9" w:rsidRPr="00F83272" w:rsidRDefault="001011F9" w:rsidP="001011F9">
      <w:pPr>
        <w:numPr>
          <w:ilvl w:val="0"/>
          <w:numId w:val="1"/>
        </w:numPr>
        <w:spacing w:after="0" w:line="240" w:lineRule="atLeast"/>
        <w:ind w:left="0"/>
        <w:rPr>
          <w:rFonts w:ascii="Times New Roman" w:eastAsia="Calibri" w:hAnsi="Times New Roman" w:cs="Times New Roman"/>
          <w:color w:val="000000"/>
          <w:sz w:val="24"/>
          <w:szCs w:val="24"/>
        </w:rPr>
      </w:pPr>
      <w:r>
        <w:rPr>
          <w:rFonts w:ascii="Times New Roman" w:hAnsi="Times New Roman"/>
          <w:b/>
          <w:color w:val="000000"/>
          <w:sz w:val="24"/>
        </w:rPr>
        <w:t xml:space="preserve">Innerhalb des ÖSHZ </w:t>
      </w:r>
    </w:p>
    <w:p w14:paraId="740D0020"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31CAC828" w14:textId="77777777" w:rsidR="001011F9" w:rsidRPr="00F83272" w:rsidRDefault="001011F9" w:rsidP="001011F9">
      <w:pPr>
        <w:numPr>
          <w:ilvl w:val="0"/>
          <w:numId w:val="1"/>
        </w:numPr>
        <w:spacing w:after="0" w:line="240" w:lineRule="atLeast"/>
        <w:ind w:left="0"/>
        <w:rPr>
          <w:rFonts w:ascii="Times New Roman" w:eastAsia="Calibri" w:hAnsi="Times New Roman" w:cs="Times New Roman"/>
          <w:color w:val="000000"/>
          <w:sz w:val="24"/>
          <w:szCs w:val="24"/>
        </w:rPr>
      </w:pPr>
      <w:r>
        <w:rPr>
          <w:rFonts w:ascii="Times New Roman" w:hAnsi="Times New Roman"/>
          <w:b/>
          <w:color w:val="000000"/>
          <w:sz w:val="24"/>
        </w:rPr>
        <w:t xml:space="preserve">Per Telefonkonferenz </w:t>
      </w:r>
    </w:p>
    <w:p w14:paraId="4B6D7C2D"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1011F9" w:rsidRPr="00F83272" w14:paraId="65366A19" w14:textId="77777777" w:rsidTr="0056426D">
        <w:trPr>
          <w:trHeight w:val="526"/>
        </w:trPr>
        <w:tc>
          <w:tcPr>
            <w:tcW w:w="5000" w:type="pct"/>
            <w:tcBorders>
              <w:top w:val="nil"/>
              <w:left w:val="nil"/>
              <w:bottom w:val="nil"/>
              <w:right w:val="nil"/>
            </w:tcBorders>
            <w:shd w:val="clear" w:color="auto" w:fill="CCCCCC"/>
          </w:tcPr>
          <w:p w14:paraId="4241956D"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Zusammensetzung der Kommission </w:t>
            </w:r>
          </w:p>
          <w:p w14:paraId="690E5096"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1011F9" w:rsidRPr="00F83272" w14:paraId="7AA2B905" w14:textId="77777777" w:rsidTr="0056426D">
        <w:trPr>
          <w:trHeight w:val="783"/>
        </w:trPr>
        <w:tc>
          <w:tcPr>
            <w:tcW w:w="5000" w:type="pct"/>
            <w:tcBorders>
              <w:top w:val="nil"/>
              <w:left w:val="nil"/>
              <w:bottom w:val="nil"/>
              <w:right w:val="nil"/>
            </w:tcBorders>
            <w:shd w:val="clear" w:color="auto" w:fill="F2F2F2"/>
          </w:tcPr>
          <w:p w14:paraId="73913897" w14:textId="0E40469F"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Frau oder Herr</w:t>
            </w:r>
            <w:r w:rsidR="00A36750">
              <w:rPr>
                <w:rFonts w:ascii="Times New Roman" w:hAnsi="Times New Roman"/>
                <w:color w:val="000000"/>
                <w:sz w:val="24"/>
              </w:rPr>
              <w:tab/>
              <w:t>,</w:t>
            </w:r>
            <w:r>
              <w:rPr>
                <w:rFonts w:ascii="Times New Roman" w:hAnsi="Times New Roman"/>
                <w:color w:val="000000"/>
                <w:sz w:val="24"/>
              </w:rPr>
              <w:t xml:space="preserve">  </w:t>
            </w:r>
          </w:p>
          <w:p w14:paraId="2534EE32"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Vorsitzender und vom Sozialhilferat ernannter Vertreter </w:t>
            </w:r>
          </w:p>
        </w:tc>
      </w:tr>
      <w:tr w:rsidR="001011F9" w:rsidRPr="00F83272" w14:paraId="27AD1097" w14:textId="77777777" w:rsidTr="0056426D">
        <w:trPr>
          <w:trHeight w:val="782"/>
        </w:trPr>
        <w:tc>
          <w:tcPr>
            <w:tcW w:w="5000" w:type="pct"/>
            <w:tcBorders>
              <w:top w:val="nil"/>
              <w:left w:val="nil"/>
              <w:bottom w:val="single" w:sz="17" w:space="0" w:color="FFFFFF"/>
              <w:right w:val="nil"/>
            </w:tcBorders>
            <w:shd w:val="clear" w:color="auto" w:fill="F2F2F2"/>
          </w:tcPr>
          <w:p w14:paraId="4FA0F23F" w14:textId="452A6D0F"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Frau oder Herr </w:t>
            </w:r>
            <w:r w:rsidR="00A36750">
              <w:rPr>
                <w:rFonts w:ascii="Times New Roman" w:hAnsi="Times New Roman"/>
                <w:color w:val="000000"/>
                <w:sz w:val="24"/>
              </w:rPr>
              <w:tab/>
            </w:r>
            <w:r>
              <w:rPr>
                <w:rFonts w:ascii="Times New Roman" w:hAnsi="Times New Roman"/>
                <w:color w:val="000000"/>
                <w:sz w:val="24"/>
              </w:rPr>
              <w:t xml:space="preserve">,  </w:t>
            </w:r>
          </w:p>
          <w:p w14:paraId="6C7A376C"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Vertreter, der die soziale Energieberatung im ÖSHZ sicherstellt </w:t>
            </w:r>
          </w:p>
        </w:tc>
      </w:tr>
      <w:tr w:rsidR="001011F9" w:rsidRPr="00F83272" w14:paraId="11D09A47" w14:textId="77777777" w:rsidTr="0056426D">
        <w:trPr>
          <w:trHeight w:val="782"/>
        </w:trPr>
        <w:tc>
          <w:tcPr>
            <w:tcW w:w="5000" w:type="pct"/>
            <w:tcBorders>
              <w:top w:val="single" w:sz="17" w:space="0" w:color="FFFFFF"/>
              <w:left w:val="nil"/>
              <w:bottom w:val="nil"/>
              <w:right w:val="nil"/>
            </w:tcBorders>
            <w:shd w:val="clear" w:color="auto" w:fill="F2F2F2"/>
          </w:tcPr>
          <w:p w14:paraId="0333FB46" w14:textId="7C3B6752" w:rsidR="00A36750" w:rsidRDefault="001011F9" w:rsidP="00A36750">
            <w:pPr>
              <w:tabs>
                <w:tab w:val="right" w:leader="dot" w:pos="9072"/>
              </w:tabs>
              <w:spacing w:line="240" w:lineRule="atLeast"/>
              <w:rPr>
                <w:rFonts w:ascii="Times New Roman" w:hAnsi="Times New Roman"/>
                <w:color w:val="000000"/>
                <w:sz w:val="24"/>
              </w:rPr>
            </w:pPr>
            <w:r>
              <w:rPr>
                <w:rFonts w:ascii="Times New Roman" w:hAnsi="Times New Roman"/>
                <w:color w:val="000000"/>
                <w:sz w:val="24"/>
              </w:rPr>
              <w:t>Frau oder Herr</w:t>
            </w:r>
            <w:r w:rsidR="00A36750">
              <w:rPr>
                <w:rFonts w:ascii="Times New Roman" w:hAnsi="Times New Roman"/>
                <w:color w:val="000000"/>
                <w:sz w:val="24"/>
              </w:rPr>
              <w:tab/>
            </w:r>
            <w:r>
              <w:rPr>
                <w:rFonts w:ascii="Times New Roman" w:hAnsi="Times New Roman"/>
                <w:color w:val="000000"/>
                <w:sz w:val="24"/>
              </w:rPr>
              <w:t xml:space="preserve">, </w:t>
            </w:r>
          </w:p>
          <w:p w14:paraId="35622921" w14:textId="1310B672"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die/der den sozialen Versorger repräsentiert, mit dem der Kunde verbunden ist. </w:t>
            </w:r>
          </w:p>
        </w:tc>
      </w:tr>
    </w:tbl>
    <w:p w14:paraId="0ABB4D9E" w14:textId="77777777" w:rsidR="001011F9" w:rsidRPr="00F83272" w:rsidRDefault="001011F9" w:rsidP="00A36750">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108" w:type="dxa"/>
          <w:right w:w="47" w:type="dxa"/>
        </w:tblCellMar>
        <w:tblLook w:val="04A0" w:firstRow="1" w:lastRow="0" w:firstColumn="1" w:lastColumn="0" w:noHBand="0" w:noVBand="1"/>
      </w:tblPr>
      <w:tblGrid>
        <w:gridCol w:w="9072"/>
      </w:tblGrid>
      <w:tr w:rsidR="001011F9" w:rsidRPr="00F83272" w14:paraId="3C3CBDB5" w14:textId="77777777" w:rsidTr="0056426D">
        <w:trPr>
          <w:trHeight w:val="528"/>
        </w:trPr>
        <w:tc>
          <w:tcPr>
            <w:tcW w:w="5000" w:type="pct"/>
            <w:tcBorders>
              <w:top w:val="nil"/>
              <w:left w:val="nil"/>
              <w:bottom w:val="single" w:sz="17" w:space="0" w:color="FFFFFF"/>
              <w:right w:val="nil"/>
            </w:tcBorders>
            <w:shd w:val="clear" w:color="auto" w:fill="CCCCCC"/>
          </w:tcPr>
          <w:p w14:paraId="4E9D663D"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Das Sekretariat der Kommission wird übernommen von  </w:t>
            </w:r>
          </w:p>
          <w:p w14:paraId="076802B6"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1011F9" w:rsidRPr="00F83272" w14:paraId="5331C8F1" w14:textId="77777777" w:rsidTr="0056426D">
        <w:trPr>
          <w:trHeight w:val="528"/>
        </w:trPr>
        <w:tc>
          <w:tcPr>
            <w:tcW w:w="5000" w:type="pct"/>
            <w:tcBorders>
              <w:top w:val="single" w:sz="17" w:space="0" w:color="FFFFFF"/>
              <w:left w:val="nil"/>
              <w:bottom w:val="nil"/>
              <w:right w:val="nil"/>
            </w:tcBorders>
            <w:shd w:val="clear" w:color="auto" w:fill="F2F2F2"/>
          </w:tcPr>
          <w:p w14:paraId="70083937" w14:textId="77777777" w:rsidR="001011F9" w:rsidRDefault="00A36750" w:rsidP="00A36750">
            <w:pPr>
              <w:tabs>
                <w:tab w:val="right" w:leader="dot" w:pos="9072"/>
              </w:tabs>
              <w:spacing w:line="240" w:lineRule="atLeast"/>
              <w:rPr>
                <w:rFonts w:ascii="Times New Roman" w:hAnsi="Times New Roman"/>
                <w:color w:val="000000"/>
                <w:sz w:val="24"/>
              </w:rPr>
            </w:pPr>
            <w:r>
              <w:rPr>
                <w:rFonts w:ascii="Times New Roman" w:hAnsi="Times New Roman"/>
                <w:color w:val="000000"/>
                <w:sz w:val="24"/>
              </w:rPr>
              <w:tab/>
            </w:r>
          </w:p>
          <w:p w14:paraId="0F9E9E76" w14:textId="27894F68" w:rsidR="00A36750" w:rsidRPr="00F83272" w:rsidRDefault="00A36750" w:rsidP="00A36750">
            <w:pPr>
              <w:tabs>
                <w:tab w:val="right" w:leader="dot" w:pos="9072"/>
              </w:tabs>
              <w:spacing w:line="240" w:lineRule="atLeast"/>
              <w:rPr>
                <w:rFonts w:ascii="Times New Roman" w:eastAsia="Calibri" w:hAnsi="Times New Roman" w:cs="Times New Roman"/>
                <w:color w:val="000000"/>
                <w:sz w:val="24"/>
                <w:szCs w:val="24"/>
              </w:rPr>
            </w:pPr>
          </w:p>
        </w:tc>
      </w:tr>
    </w:tbl>
    <w:p w14:paraId="37F6B41C" w14:textId="77777777" w:rsidR="001011F9" w:rsidRPr="00F83272" w:rsidRDefault="001011F9" w:rsidP="00A36750">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left w:w="67" w:type="dxa"/>
          <w:right w:w="48" w:type="dxa"/>
        </w:tblCellMar>
        <w:tblLook w:val="04A0" w:firstRow="1" w:lastRow="0" w:firstColumn="1" w:lastColumn="0" w:noHBand="0" w:noVBand="1"/>
      </w:tblPr>
      <w:tblGrid>
        <w:gridCol w:w="9072"/>
      </w:tblGrid>
      <w:tr w:rsidR="001011F9" w:rsidRPr="00F83272" w14:paraId="42B9E3AC" w14:textId="77777777" w:rsidTr="0056426D">
        <w:trPr>
          <w:trHeight w:val="528"/>
        </w:trPr>
        <w:tc>
          <w:tcPr>
            <w:tcW w:w="5000" w:type="pct"/>
            <w:tcBorders>
              <w:top w:val="nil"/>
              <w:left w:val="nil"/>
              <w:bottom w:val="single" w:sz="17" w:space="0" w:color="FFFFFF"/>
              <w:right w:val="nil"/>
            </w:tcBorders>
            <w:shd w:val="clear" w:color="auto" w:fill="CCCCCC"/>
          </w:tcPr>
          <w:p w14:paraId="0E685D35"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Betroffener Kunde </w:t>
            </w:r>
          </w:p>
          <w:p w14:paraId="54CC7539"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1011F9" w:rsidRPr="00F83272" w14:paraId="4F144244" w14:textId="77777777" w:rsidTr="0056426D">
        <w:trPr>
          <w:trHeight w:val="672"/>
        </w:trPr>
        <w:tc>
          <w:tcPr>
            <w:tcW w:w="5000" w:type="pct"/>
            <w:tcBorders>
              <w:top w:val="single" w:sz="17" w:space="0" w:color="FFFFFF"/>
              <w:left w:val="nil"/>
              <w:bottom w:val="single" w:sz="17" w:space="0" w:color="FFFFFF"/>
              <w:right w:val="nil"/>
            </w:tcBorders>
            <w:shd w:val="clear" w:color="auto" w:fill="F2F2F2"/>
          </w:tcPr>
          <w:p w14:paraId="706020C3"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Name und Vorname:  </w:t>
            </w:r>
          </w:p>
          <w:p w14:paraId="32D5CC88" w14:textId="0793A542"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A36750">
              <w:rPr>
                <w:rFonts w:ascii="Times New Roman" w:hAnsi="Times New Roman"/>
                <w:color w:val="000000"/>
                <w:sz w:val="24"/>
              </w:rPr>
              <w:tab/>
            </w:r>
          </w:p>
        </w:tc>
      </w:tr>
      <w:tr w:rsidR="001011F9" w:rsidRPr="00F83272" w14:paraId="54BB9226" w14:textId="77777777" w:rsidTr="0056426D">
        <w:trPr>
          <w:trHeight w:val="1394"/>
        </w:trPr>
        <w:tc>
          <w:tcPr>
            <w:tcW w:w="5000" w:type="pct"/>
            <w:tcBorders>
              <w:top w:val="single" w:sz="17" w:space="0" w:color="FFFFFF"/>
              <w:left w:val="nil"/>
              <w:bottom w:val="nil"/>
              <w:right w:val="nil"/>
            </w:tcBorders>
            <w:shd w:val="clear" w:color="auto" w:fill="F2F2F2"/>
          </w:tcPr>
          <w:p w14:paraId="573F01C5"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Postanschrift:  </w:t>
            </w:r>
          </w:p>
          <w:p w14:paraId="2733BEF4" w14:textId="1D78AFE9" w:rsidR="001011F9" w:rsidRDefault="00A36750" w:rsidP="00A36750">
            <w:pPr>
              <w:tabs>
                <w:tab w:val="right" w:leader="dot" w:pos="9072"/>
              </w:tabs>
              <w:spacing w:line="240" w:lineRule="atLeast"/>
              <w:rPr>
                <w:rFonts w:ascii="Times New Roman" w:hAnsi="Times New Roman"/>
                <w:color w:val="000000"/>
                <w:sz w:val="24"/>
              </w:rPr>
            </w:pPr>
            <w:r>
              <w:rPr>
                <w:rFonts w:ascii="Times New Roman" w:hAnsi="Times New Roman"/>
                <w:color w:val="000000"/>
                <w:sz w:val="24"/>
              </w:rPr>
              <w:tab/>
            </w:r>
          </w:p>
          <w:p w14:paraId="5359036A" w14:textId="18E4D2D3" w:rsidR="00A36750" w:rsidRPr="00F83272" w:rsidRDefault="00A36750"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p>
          <w:p w14:paraId="07316F0F"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Festnetztelefon, Mobiltelefon und E-Mail-Adresse:  </w:t>
            </w:r>
          </w:p>
          <w:p w14:paraId="0E7E52D1" w14:textId="26DA70FF" w:rsidR="001011F9" w:rsidRDefault="00A36750" w:rsidP="00A36750">
            <w:pPr>
              <w:tabs>
                <w:tab w:val="right" w:leader="dot" w:pos="9072"/>
              </w:tabs>
              <w:spacing w:line="240" w:lineRule="atLeast"/>
              <w:rPr>
                <w:rFonts w:ascii="Times New Roman" w:hAnsi="Times New Roman"/>
                <w:color w:val="000000"/>
                <w:sz w:val="24"/>
                <w:u w:val="single" w:color="FFFFFF"/>
              </w:rPr>
            </w:pPr>
            <w:r>
              <w:rPr>
                <w:rFonts w:ascii="Times New Roman" w:hAnsi="Times New Roman"/>
                <w:color w:val="000000"/>
                <w:sz w:val="24"/>
                <w:u w:val="single" w:color="FFFFFF"/>
              </w:rPr>
              <w:tab/>
            </w:r>
          </w:p>
          <w:p w14:paraId="391B260E" w14:textId="618FBADB" w:rsidR="00A36750" w:rsidRPr="00F83272" w:rsidRDefault="00A36750" w:rsidP="00A36750">
            <w:pPr>
              <w:tabs>
                <w:tab w:val="right" w:leader="dot" w:pos="9072"/>
              </w:tabs>
              <w:spacing w:line="240" w:lineRule="atLeast"/>
              <w:rPr>
                <w:rFonts w:ascii="Times New Roman" w:eastAsia="Arial" w:hAnsi="Times New Roman" w:cs="Times New Roman"/>
                <w:color w:val="000000"/>
                <w:sz w:val="24"/>
                <w:szCs w:val="24"/>
                <w:u w:val="single" w:color="FFFFFF"/>
              </w:rPr>
            </w:pPr>
            <w:r>
              <w:rPr>
                <w:rFonts w:ascii="Times New Roman" w:hAnsi="Times New Roman" w:cs="Times New Roman"/>
                <w:color w:val="000000"/>
                <w:sz w:val="24"/>
                <w:szCs w:val="24"/>
                <w:u w:val="single" w:color="FFFFFF"/>
              </w:rPr>
              <w:tab/>
            </w:r>
          </w:p>
          <w:p w14:paraId="1F3BD087" w14:textId="77777777" w:rsidR="001011F9" w:rsidRPr="00F83272" w:rsidRDefault="001011F9" w:rsidP="00A36750">
            <w:pPr>
              <w:tabs>
                <w:tab w:val="right" w:leader="dot" w:pos="9072"/>
              </w:tabs>
              <w:spacing w:line="240" w:lineRule="atLeast"/>
              <w:rPr>
                <w:rFonts w:ascii="Times New Roman" w:eastAsia="Calibri" w:hAnsi="Times New Roman" w:cs="Times New Roman"/>
                <w:sz w:val="24"/>
                <w:szCs w:val="24"/>
              </w:rPr>
            </w:pPr>
          </w:p>
        </w:tc>
      </w:tr>
      <w:tr w:rsidR="001011F9" w:rsidRPr="00F83272" w14:paraId="23BE73A8" w14:textId="77777777" w:rsidTr="0056426D">
        <w:trPr>
          <w:trHeight w:val="516"/>
        </w:trPr>
        <w:tc>
          <w:tcPr>
            <w:tcW w:w="5000" w:type="pct"/>
            <w:tcBorders>
              <w:top w:val="nil"/>
              <w:left w:val="nil"/>
              <w:bottom w:val="single" w:sz="17" w:space="0" w:color="FFFFFF"/>
              <w:right w:val="nil"/>
            </w:tcBorders>
            <w:shd w:val="clear" w:color="auto" w:fill="F2F2F2"/>
            <w:vAlign w:val="center"/>
          </w:tcPr>
          <w:p w14:paraId="3AE2A41B" w14:textId="508C064C"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Kundennummer: </w:t>
            </w:r>
            <w:r w:rsidR="00A36750">
              <w:rPr>
                <w:rFonts w:ascii="Times New Roman" w:hAnsi="Times New Roman"/>
                <w:color w:val="000000"/>
                <w:sz w:val="24"/>
              </w:rPr>
              <w:tab/>
            </w:r>
            <w:r>
              <w:rPr>
                <w:rFonts w:ascii="Times New Roman" w:hAnsi="Times New Roman"/>
                <w:color w:val="000000"/>
                <w:sz w:val="24"/>
              </w:rPr>
              <w:t xml:space="preserve"> </w:t>
            </w:r>
          </w:p>
        </w:tc>
      </w:tr>
    </w:tbl>
    <w:p w14:paraId="62CE6D13" w14:textId="77777777" w:rsidR="00A36750" w:rsidRDefault="00A36750">
      <w:r>
        <w:br w:type="page"/>
      </w:r>
    </w:p>
    <w:tbl>
      <w:tblPr>
        <w:tblStyle w:val="TableGrid"/>
        <w:tblW w:w="5000" w:type="pct"/>
        <w:tblInd w:w="0" w:type="dxa"/>
        <w:tblCellMar>
          <w:left w:w="67" w:type="dxa"/>
          <w:right w:w="48" w:type="dxa"/>
        </w:tblCellMar>
        <w:tblLook w:val="04A0" w:firstRow="1" w:lastRow="0" w:firstColumn="1" w:lastColumn="0" w:noHBand="0" w:noVBand="1"/>
      </w:tblPr>
      <w:tblGrid>
        <w:gridCol w:w="7082"/>
        <w:gridCol w:w="1990"/>
      </w:tblGrid>
      <w:tr w:rsidR="001011F9" w:rsidRPr="00F83272" w14:paraId="110A86F6" w14:textId="77777777" w:rsidTr="0056426D">
        <w:trPr>
          <w:trHeight w:val="566"/>
        </w:trPr>
        <w:tc>
          <w:tcPr>
            <w:tcW w:w="5000" w:type="pct"/>
            <w:gridSpan w:val="2"/>
            <w:tcBorders>
              <w:top w:val="single" w:sz="17" w:space="0" w:color="FFFFFF"/>
              <w:left w:val="nil"/>
              <w:bottom w:val="single" w:sz="17" w:space="0" w:color="FFFFFF"/>
              <w:right w:val="nil"/>
            </w:tcBorders>
            <w:shd w:val="clear" w:color="auto" w:fill="F2F2F2"/>
            <w:vAlign w:val="center"/>
          </w:tcPr>
          <w:p w14:paraId="5C67B152" w14:textId="252DA2E2"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lastRenderedPageBreak/>
              <w:t xml:space="preserve"> </w:t>
            </w:r>
            <w:proofErr w:type="gramStart"/>
            <w:r>
              <w:rPr>
                <w:rFonts w:ascii="Times New Roman" w:hAnsi="Times New Roman"/>
                <w:color w:val="000000"/>
                <w:sz w:val="24"/>
              </w:rPr>
              <w:t>Anwesend</w:t>
            </w:r>
            <w:proofErr w:type="gramEnd"/>
            <w:r>
              <w:rPr>
                <w:rFonts w:ascii="Times New Roman" w:hAnsi="Times New Roman"/>
                <w:color w:val="000000"/>
                <w:sz w:val="24"/>
              </w:rPr>
              <w:t xml:space="preserve"> </w:t>
            </w:r>
          </w:p>
        </w:tc>
      </w:tr>
      <w:tr w:rsidR="001011F9" w:rsidRPr="00F83272" w14:paraId="43B459ED" w14:textId="77777777" w:rsidTr="0056426D">
        <w:trPr>
          <w:trHeight w:val="915"/>
        </w:trPr>
        <w:tc>
          <w:tcPr>
            <w:tcW w:w="5000" w:type="pct"/>
            <w:gridSpan w:val="2"/>
            <w:tcBorders>
              <w:top w:val="single" w:sz="17" w:space="0" w:color="FFFFFF"/>
              <w:left w:val="nil"/>
              <w:bottom w:val="single" w:sz="17" w:space="0" w:color="FFFFFF"/>
              <w:right w:val="nil"/>
            </w:tcBorders>
            <w:shd w:val="clear" w:color="auto" w:fill="F2F2F2"/>
            <w:vAlign w:val="center"/>
          </w:tcPr>
          <w:p w14:paraId="5BE83B9F" w14:textId="28ECC1AC"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Anwesend</w:t>
            </w:r>
            <w:proofErr w:type="gramEnd"/>
            <w:r>
              <w:rPr>
                <w:rFonts w:ascii="Times New Roman" w:hAnsi="Times New Roman"/>
                <w:color w:val="000000"/>
                <w:sz w:val="24"/>
              </w:rPr>
              <w:t xml:space="preserve"> und unterstützt von: </w:t>
            </w:r>
            <w:r w:rsidR="00A36750">
              <w:rPr>
                <w:rFonts w:ascii="Times New Roman" w:hAnsi="Times New Roman"/>
                <w:color w:val="000000"/>
                <w:sz w:val="24"/>
              </w:rPr>
              <w:tab/>
            </w:r>
          </w:p>
          <w:p w14:paraId="77441BB3" w14:textId="77777777" w:rsidR="001011F9" w:rsidRPr="00F83272" w:rsidRDefault="001011F9" w:rsidP="00A36750">
            <w:pPr>
              <w:tabs>
                <w:tab w:val="right" w:leader="dot" w:pos="9072"/>
              </w:tabs>
              <w:spacing w:line="240" w:lineRule="atLeast"/>
              <w:rPr>
                <w:rFonts w:ascii="Times New Roman" w:eastAsia="Arial" w:hAnsi="Times New Roman" w:cs="Times New Roman"/>
                <w:color w:val="000000"/>
                <w:sz w:val="24"/>
                <w:szCs w:val="24"/>
              </w:rPr>
            </w:pPr>
            <w:r>
              <w:rPr>
                <w:rFonts w:ascii="Times New Roman" w:hAnsi="Times New Roman"/>
                <w:color w:val="000000"/>
                <w:sz w:val="24"/>
              </w:rPr>
              <w:t xml:space="preserve">(andere Person als der Sozialassistent, der die Beratung übernimmt)  </w:t>
            </w:r>
          </w:p>
          <w:p w14:paraId="043A17EC" w14:textId="77777777" w:rsidR="001011F9" w:rsidRPr="00F83272" w:rsidRDefault="001011F9" w:rsidP="00A36750">
            <w:pPr>
              <w:tabs>
                <w:tab w:val="right" w:leader="dot" w:pos="9072"/>
              </w:tabs>
              <w:spacing w:line="240" w:lineRule="atLeast"/>
              <w:rPr>
                <w:rFonts w:ascii="Times New Roman" w:eastAsia="Calibri" w:hAnsi="Times New Roman" w:cs="Times New Roman"/>
                <w:sz w:val="24"/>
                <w:szCs w:val="24"/>
              </w:rPr>
            </w:pPr>
          </w:p>
        </w:tc>
      </w:tr>
      <w:tr w:rsidR="001011F9" w:rsidRPr="00F83272" w14:paraId="31031742" w14:textId="77777777" w:rsidTr="0056426D">
        <w:trPr>
          <w:trHeight w:val="797"/>
        </w:trPr>
        <w:tc>
          <w:tcPr>
            <w:tcW w:w="5000" w:type="pct"/>
            <w:gridSpan w:val="2"/>
            <w:tcBorders>
              <w:top w:val="single" w:sz="17" w:space="0" w:color="FFFFFF"/>
              <w:left w:val="nil"/>
              <w:bottom w:val="single" w:sz="17" w:space="0" w:color="FFFFFF"/>
              <w:right w:val="nil"/>
            </w:tcBorders>
            <w:shd w:val="clear" w:color="auto" w:fill="F2F2F2"/>
            <w:vAlign w:val="center"/>
          </w:tcPr>
          <w:p w14:paraId="78EAC4D7" w14:textId="1DF759B3"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Abwesend</w:t>
            </w:r>
            <w:proofErr w:type="gramEnd"/>
            <w:r>
              <w:rPr>
                <w:rFonts w:ascii="Times New Roman" w:hAnsi="Times New Roman"/>
                <w:color w:val="000000"/>
                <w:sz w:val="24"/>
              </w:rPr>
              <w:t xml:space="preserve">, aber vertreten durch: </w:t>
            </w:r>
            <w:r w:rsidR="00A36750">
              <w:rPr>
                <w:rFonts w:ascii="Times New Roman" w:hAnsi="Times New Roman"/>
                <w:color w:val="000000"/>
                <w:sz w:val="24"/>
              </w:rPr>
              <w:tab/>
            </w:r>
          </w:p>
          <w:p w14:paraId="618E73F3" w14:textId="77777777" w:rsidR="001011F9" w:rsidRPr="00F83272" w:rsidRDefault="001011F9" w:rsidP="00A36750">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(andere Person als der Sozialassistent, der die Beratung </w:t>
            </w:r>
            <w:proofErr w:type="gramStart"/>
            <w:r>
              <w:rPr>
                <w:rFonts w:ascii="Times New Roman" w:hAnsi="Times New Roman"/>
                <w:color w:val="000000"/>
                <w:sz w:val="24"/>
              </w:rPr>
              <w:t>übernimmt</w:t>
            </w:r>
            <w:proofErr w:type="gramEnd"/>
            <w:r>
              <w:rPr>
                <w:rFonts w:ascii="Times New Roman" w:hAnsi="Times New Roman"/>
                <w:color w:val="000000"/>
                <w:sz w:val="24"/>
              </w:rPr>
              <w:t xml:space="preserve"> + </w:t>
            </w:r>
            <w:r w:rsidRPr="00F83272">
              <w:rPr>
                <w:rFonts w:ascii="Times New Roman" w:hAnsi="Times New Roman"/>
                <w:i/>
                <w:color w:val="000000"/>
                <w:sz w:val="24"/>
                <w:szCs w:val="24"/>
              </w:rPr>
              <w:t>Nachweis beifügen)</w:t>
            </w:r>
            <w:r>
              <w:rPr>
                <w:rFonts w:ascii="Times New Roman" w:hAnsi="Times New Roman"/>
                <w:color w:val="000000"/>
                <w:sz w:val="24"/>
              </w:rPr>
              <w:t xml:space="preserve"> </w:t>
            </w:r>
          </w:p>
        </w:tc>
      </w:tr>
      <w:tr w:rsidR="001011F9" w:rsidRPr="00F83272" w14:paraId="3A5E6FB7" w14:textId="77777777" w:rsidTr="0056426D">
        <w:trPr>
          <w:trHeight w:val="564"/>
        </w:trPr>
        <w:tc>
          <w:tcPr>
            <w:tcW w:w="5000" w:type="pct"/>
            <w:gridSpan w:val="2"/>
            <w:tcBorders>
              <w:top w:val="single" w:sz="17" w:space="0" w:color="FFFFFF"/>
              <w:left w:val="nil"/>
              <w:bottom w:val="single" w:sz="17" w:space="0" w:color="FFFFFF"/>
              <w:right w:val="nil"/>
            </w:tcBorders>
            <w:shd w:val="clear" w:color="auto" w:fill="F2F2F2"/>
            <w:vAlign w:val="center"/>
          </w:tcPr>
          <w:p w14:paraId="5E9FFA9E"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Entschuldigt </w:t>
            </w:r>
            <w:r w:rsidRPr="00F83272">
              <w:rPr>
                <w:rFonts w:ascii="Times New Roman" w:hAnsi="Times New Roman"/>
                <w:i/>
                <w:color w:val="000000"/>
                <w:sz w:val="24"/>
                <w:szCs w:val="24"/>
              </w:rPr>
              <w:t>(Nachweis beifügen)</w:t>
            </w:r>
            <w:r>
              <w:rPr>
                <w:rFonts w:ascii="Times New Roman" w:hAnsi="Times New Roman"/>
                <w:color w:val="000000"/>
                <w:sz w:val="24"/>
              </w:rPr>
              <w:t xml:space="preserve"> </w:t>
            </w:r>
          </w:p>
        </w:tc>
      </w:tr>
      <w:tr w:rsidR="001011F9" w:rsidRPr="00F83272" w14:paraId="51D1BDF7" w14:textId="77777777" w:rsidTr="0056426D">
        <w:trPr>
          <w:trHeight w:val="545"/>
        </w:trPr>
        <w:tc>
          <w:tcPr>
            <w:tcW w:w="5000" w:type="pct"/>
            <w:gridSpan w:val="2"/>
            <w:tcBorders>
              <w:top w:val="single" w:sz="17" w:space="0" w:color="FFFFFF"/>
              <w:left w:val="nil"/>
              <w:bottom w:val="nil"/>
              <w:right w:val="nil"/>
            </w:tcBorders>
            <w:shd w:val="clear" w:color="auto" w:fill="F2F2F2"/>
            <w:vAlign w:val="center"/>
          </w:tcPr>
          <w:p w14:paraId="53F0A409"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Abwesend</w:t>
            </w:r>
            <w:proofErr w:type="gramEnd"/>
            <w:r>
              <w:rPr>
                <w:rFonts w:ascii="Times New Roman" w:hAnsi="Times New Roman"/>
                <w:color w:val="000000"/>
                <w:sz w:val="24"/>
              </w:rPr>
              <w:t xml:space="preserve"> </w:t>
            </w:r>
          </w:p>
        </w:tc>
      </w:tr>
      <w:tr w:rsidR="001011F9" w:rsidRPr="00F83272" w14:paraId="3C905D7C" w14:textId="77777777" w:rsidTr="00A36750">
        <w:trPr>
          <w:trHeight w:val="529"/>
        </w:trPr>
        <w:tc>
          <w:tcPr>
            <w:tcW w:w="3903" w:type="pct"/>
            <w:tcBorders>
              <w:top w:val="nil"/>
              <w:left w:val="nil"/>
              <w:bottom w:val="single" w:sz="17" w:space="0" w:color="FFFFFF"/>
              <w:right w:val="nil"/>
            </w:tcBorders>
            <w:shd w:val="clear" w:color="auto" w:fill="CCCCCC"/>
          </w:tcPr>
          <w:p w14:paraId="76719E9E"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Zusammenfassung der Situation </w:t>
            </w:r>
          </w:p>
          <w:p w14:paraId="7FDF1732"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c>
          <w:tcPr>
            <w:tcW w:w="1097" w:type="pct"/>
            <w:tcBorders>
              <w:top w:val="nil"/>
              <w:left w:val="nil"/>
              <w:bottom w:val="single" w:sz="2" w:space="0" w:color="F2F2F2"/>
              <w:right w:val="nil"/>
            </w:tcBorders>
            <w:shd w:val="clear" w:color="auto" w:fill="CCCCCC"/>
          </w:tcPr>
          <w:p w14:paraId="2C89C67C" w14:textId="77777777" w:rsidR="001011F9" w:rsidRPr="00F83272" w:rsidRDefault="001011F9" w:rsidP="0056426D">
            <w:pPr>
              <w:spacing w:line="240" w:lineRule="atLeast"/>
              <w:rPr>
                <w:rFonts w:ascii="Times New Roman" w:eastAsia="Calibri" w:hAnsi="Times New Roman" w:cs="Times New Roman"/>
                <w:color w:val="000000"/>
                <w:sz w:val="24"/>
                <w:szCs w:val="24"/>
              </w:rPr>
            </w:pPr>
          </w:p>
        </w:tc>
      </w:tr>
      <w:tr w:rsidR="001011F9" w:rsidRPr="00F83272" w14:paraId="327633FA" w14:textId="77777777" w:rsidTr="00A36750">
        <w:trPr>
          <w:trHeight w:val="795"/>
        </w:trPr>
        <w:tc>
          <w:tcPr>
            <w:tcW w:w="3903" w:type="pct"/>
            <w:tcBorders>
              <w:top w:val="single" w:sz="17" w:space="0" w:color="FFFFFF"/>
              <w:left w:val="nil"/>
              <w:bottom w:val="single" w:sz="17" w:space="0" w:color="FFFFFF"/>
              <w:right w:val="single" w:sz="17" w:space="0" w:color="FFFFFF"/>
            </w:tcBorders>
            <w:shd w:val="clear" w:color="auto" w:fill="F2F2F2"/>
          </w:tcPr>
          <w:p w14:paraId="095F411B"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Das ÖSHZ hat alle Anstrengungen unternommen, um mit dem betroffenen Kunden Kontakt aufzunehmen. </w:t>
            </w:r>
          </w:p>
        </w:tc>
        <w:tc>
          <w:tcPr>
            <w:tcW w:w="1097" w:type="pct"/>
            <w:tcBorders>
              <w:top w:val="single" w:sz="2" w:space="0" w:color="F2F2F2"/>
              <w:left w:val="single" w:sz="17" w:space="0" w:color="FFFFFF"/>
              <w:bottom w:val="single" w:sz="2" w:space="0" w:color="F2F2F2"/>
              <w:right w:val="nil"/>
            </w:tcBorders>
            <w:shd w:val="clear" w:color="auto" w:fill="F2F2F2"/>
          </w:tcPr>
          <w:p w14:paraId="2651613B" w14:textId="77777777" w:rsidR="001011F9" w:rsidRPr="00F83272" w:rsidRDefault="001011F9" w:rsidP="001011F9">
            <w:pPr>
              <w:numPr>
                <w:ilvl w:val="0"/>
                <w:numId w:val="3"/>
              </w:numPr>
              <w:spacing w:line="240" w:lineRule="atLeast"/>
              <w:ind w:left="0" w:hanging="360"/>
              <w:rPr>
                <w:rFonts w:ascii="Times New Roman" w:eastAsia="Calibri" w:hAnsi="Times New Roman" w:cs="Times New Roman"/>
                <w:color w:val="000000"/>
                <w:sz w:val="24"/>
                <w:szCs w:val="24"/>
              </w:rPr>
            </w:pPr>
            <w:r>
              <w:rPr>
                <w:rFonts w:ascii="Times New Roman" w:hAnsi="Times New Roman"/>
                <w:color w:val="000000"/>
                <w:sz w:val="24"/>
              </w:rPr>
              <w:t xml:space="preserve">Ja </w:t>
            </w:r>
          </w:p>
          <w:p w14:paraId="1B0BE5A9" w14:textId="77777777" w:rsidR="001011F9" w:rsidRPr="00F83272" w:rsidRDefault="001011F9" w:rsidP="001011F9">
            <w:pPr>
              <w:numPr>
                <w:ilvl w:val="0"/>
                <w:numId w:val="3"/>
              </w:numPr>
              <w:spacing w:line="240" w:lineRule="atLeast"/>
              <w:ind w:left="0" w:hanging="360"/>
              <w:rPr>
                <w:rFonts w:ascii="Times New Roman" w:eastAsia="Calibri" w:hAnsi="Times New Roman" w:cs="Times New Roman"/>
                <w:color w:val="000000"/>
                <w:sz w:val="24"/>
                <w:szCs w:val="24"/>
              </w:rPr>
            </w:pPr>
            <w:r>
              <w:rPr>
                <w:rFonts w:ascii="Times New Roman" w:hAnsi="Times New Roman"/>
                <w:color w:val="000000"/>
                <w:sz w:val="24"/>
              </w:rPr>
              <w:t xml:space="preserve">Nein </w:t>
            </w:r>
          </w:p>
        </w:tc>
      </w:tr>
      <w:tr w:rsidR="001011F9" w:rsidRPr="00F83272" w14:paraId="5E09C570" w14:textId="77777777" w:rsidTr="00A36750">
        <w:trPr>
          <w:trHeight w:val="1034"/>
        </w:trPr>
        <w:tc>
          <w:tcPr>
            <w:tcW w:w="3903" w:type="pct"/>
            <w:tcBorders>
              <w:top w:val="single" w:sz="17" w:space="0" w:color="FFFFFF"/>
              <w:left w:val="nil"/>
              <w:bottom w:val="nil"/>
              <w:right w:val="single" w:sz="17" w:space="0" w:color="FFFFFF"/>
            </w:tcBorders>
            <w:shd w:val="clear" w:color="auto" w:fill="F2F2F2"/>
          </w:tcPr>
          <w:p w14:paraId="7BB4BE68"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Der Beleg, aus dem hervorgeht, dass das Verfahren bei Nichtzahlung und/oder Nichtaufladung vom sozialen Versorger vollständig angewandt wurde (Rechnung und Mahnung bezüglich der garantierten Mindestversorgung).</w:t>
            </w:r>
            <w:r w:rsidRPr="00F83272">
              <w:rPr>
                <w:rFonts w:ascii="Times New Roman" w:hAnsi="Times New Roman"/>
                <w:b/>
                <w:color w:val="000000"/>
                <w:sz w:val="24"/>
                <w:szCs w:val="24"/>
              </w:rPr>
              <w:t xml:space="preserve"> </w:t>
            </w:r>
          </w:p>
        </w:tc>
        <w:tc>
          <w:tcPr>
            <w:tcW w:w="1097" w:type="pct"/>
            <w:tcBorders>
              <w:top w:val="single" w:sz="2" w:space="0" w:color="F2F2F2"/>
              <w:left w:val="single" w:sz="17" w:space="0" w:color="FFFFFF"/>
              <w:bottom w:val="single" w:sz="2" w:space="0" w:color="F2F2F2"/>
              <w:right w:val="nil"/>
            </w:tcBorders>
            <w:shd w:val="clear" w:color="auto" w:fill="F2F2F2"/>
          </w:tcPr>
          <w:p w14:paraId="5FF98BA6" w14:textId="77777777" w:rsidR="001011F9" w:rsidRPr="00F83272" w:rsidRDefault="001011F9" w:rsidP="001011F9">
            <w:pPr>
              <w:numPr>
                <w:ilvl w:val="0"/>
                <w:numId w:val="4"/>
              </w:numPr>
              <w:spacing w:line="240" w:lineRule="atLeast"/>
              <w:ind w:left="0" w:hanging="360"/>
              <w:rPr>
                <w:rFonts w:ascii="Times New Roman" w:eastAsia="Calibri" w:hAnsi="Times New Roman" w:cs="Times New Roman"/>
                <w:color w:val="000000"/>
                <w:sz w:val="24"/>
                <w:szCs w:val="24"/>
              </w:rPr>
            </w:pPr>
            <w:r>
              <w:rPr>
                <w:rFonts w:ascii="Times New Roman" w:hAnsi="Times New Roman"/>
                <w:color w:val="000000"/>
                <w:sz w:val="24"/>
              </w:rPr>
              <w:t xml:space="preserve">Ja </w:t>
            </w:r>
          </w:p>
          <w:p w14:paraId="036F407E" w14:textId="77777777" w:rsidR="001011F9" w:rsidRPr="00F83272" w:rsidRDefault="001011F9" w:rsidP="001011F9">
            <w:pPr>
              <w:numPr>
                <w:ilvl w:val="0"/>
                <w:numId w:val="4"/>
              </w:numPr>
              <w:spacing w:line="240" w:lineRule="atLeast"/>
              <w:ind w:left="0" w:hanging="360"/>
              <w:rPr>
                <w:rFonts w:ascii="Times New Roman" w:eastAsia="Calibri" w:hAnsi="Times New Roman" w:cs="Times New Roman"/>
                <w:color w:val="000000"/>
                <w:sz w:val="24"/>
                <w:szCs w:val="24"/>
              </w:rPr>
            </w:pPr>
            <w:r>
              <w:rPr>
                <w:rFonts w:ascii="Times New Roman" w:hAnsi="Times New Roman"/>
                <w:color w:val="000000"/>
                <w:sz w:val="24"/>
              </w:rPr>
              <w:t>Nein</w:t>
            </w:r>
            <w:r w:rsidRPr="00F83272">
              <w:rPr>
                <w:rFonts w:ascii="Times New Roman" w:hAnsi="Times New Roman"/>
                <w:b/>
                <w:color w:val="000000"/>
                <w:sz w:val="24"/>
                <w:szCs w:val="24"/>
              </w:rPr>
              <w:t xml:space="preserve"> </w:t>
            </w:r>
          </w:p>
        </w:tc>
      </w:tr>
      <w:tr w:rsidR="001011F9" w:rsidRPr="00F83272" w14:paraId="66D24B10" w14:textId="77777777" w:rsidTr="00A36750">
        <w:trPr>
          <w:trHeight w:val="749"/>
        </w:trPr>
        <w:tc>
          <w:tcPr>
            <w:tcW w:w="3903" w:type="pct"/>
            <w:tcBorders>
              <w:top w:val="nil"/>
              <w:left w:val="nil"/>
              <w:bottom w:val="single" w:sz="17" w:space="0" w:color="FFFFFF"/>
              <w:right w:val="single" w:sz="17" w:space="0" w:color="FFFFFF"/>
            </w:tcBorders>
            <w:shd w:val="clear" w:color="auto" w:fill="F2F2F2"/>
          </w:tcPr>
          <w:p w14:paraId="37E84536"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Der Kunde verfügt über einen Zähler, bei dem die Funktion „Vorauszahlung“ </w:t>
            </w:r>
            <w:proofErr w:type="gramStart"/>
            <w:r>
              <w:rPr>
                <w:rFonts w:ascii="Times New Roman" w:hAnsi="Times New Roman"/>
                <w:color w:val="000000"/>
                <w:sz w:val="24"/>
              </w:rPr>
              <w:t>seit dem</w:t>
            </w:r>
            <w:proofErr w:type="gramEnd"/>
            <w:r w:rsidRPr="00F83272">
              <w:rPr>
                <w:rFonts w:ascii="Times New Roman" w:hAnsi="Times New Roman"/>
                <w:b/>
                <w:color w:val="000000"/>
                <w:sz w:val="24"/>
                <w:szCs w:val="24"/>
              </w:rPr>
              <w:t xml:space="preserve"> </w:t>
            </w:r>
          </w:p>
        </w:tc>
        <w:tc>
          <w:tcPr>
            <w:tcW w:w="1097" w:type="pct"/>
            <w:tcBorders>
              <w:top w:val="single" w:sz="2" w:space="0" w:color="F2F2F2"/>
              <w:left w:val="single" w:sz="17" w:space="0" w:color="FFFFFF"/>
              <w:bottom w:val="single" w:sz="2" w:space="0" w:color="F2F2F2"/>
              <w:right w:val="nil"/>
            </w:tcBorders>
            <w:shd w:val="clear" w:color="auto" w:fill="F2F2F2"/>
          </w:tcPr>
          <w:p w14:paraId="35A098A4" w14:textId="3F28F63A" w:rsidR="00A36750" w:rsidRDefault="00A36750" w:rsidP="00A36750">
            <w:pPr>
              <w:tabs>
                <w:tab w:val="right" w:leader="dot" w:pos="495"/>
                <w:tab w:val="right" w:leader="dot" w:pos="1080"/>
                <w:tab w:val="right" w:leader="dot" w:pos="1650"/>
              </w:tabs>
              <w:spacing w:line="240" w:lineRule="atLeast"/>
              <w:rPr>
                <w:rFonts w:ascii="Times New Roman" w:hAnsi="Times New Roman"/>
                <w:color w:val="000000"/>
                <w:sz w:val="24"/>
              </w:rPr>
            </w:pPr>
            <w:r>
              <w:rPr>
                <w:rFonts w:ascii="Times New Roman" w:hAnsi="Times New Roman"/>
                <w:color w:val="000000"/>
                <w:sz w:val="24"/>
              </w:rPr>
              <w:tab/>
            </w:r>
            <w:r w:rsidR="001011F9">
              <w:rPr>
                <w:rFonts w:ascii="Times New Roman" w:hAnsi="Times New Roman"/>
                <w:color w:val="000000"/>
                <w:sz w:val="24"/>
              </w:rPr>
              <w:t>/</w:t>
            </w:r>
            <w:r>
              <w:rPr>
                <w:rFonts w:ascii="Times New Roman" w:hAnsi="Times New Roman"/>
                <w:color w:val="000000"/>
                <w:sz w:val="24"/>
              </w:rPr>
              <w:tab/>
            </w:r>
            <w:r w:rsidR="001011F9">
              <w:rPr>
                <w:rFonts w:ascii="Times New Roman" w:hAnsi="Times New Roman"/>
                <w:color w:val="000000"/>
                <w:sz w:val="24"/>
              </w:rPr>
              <w:t>/</w:t>
            </w:r>
            <w:r>
              <w:rPr>
                <w:rFonts w:ascii="Times New Roman" w:hAnsi="Times New Roman"/>
                <w:color w:val="000000"/>
                <w:sz w:val="24"/>
              </w:rPr>
              <w:tab/>
            </w:r>
          </w:p>
          <w:p w14:paraId="64B3F531" w14:textId="5717583A" w:rsidR="001011F9" w:rsidRPr="00F83272" w:rsidRDefault="001011F9" w:rsidP="00A36750">
            <w:pPr>
              <w:tabs>
                <w:tab w:val="right" w:leader="dot" w:pos="495"/>
                <w:tab w:val="right" w:leader="dot" w:pos="1080"/>
                <w:tab w:val="right" w:leader="dot" w:pos="1650"/>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aktiviert ist </w:t>
            </w:r>
          </w:p>
        </w:tc>
      </w:tr>
      <w:tr w:rsidR="001011F9" w:rsidRPr="00F83272" w14:paraId="30327AE8" w14:textId="77777777" w:rsidTr="00A36750">
        <w:trPr>
          <w:trHeight w:val="468"/>
        </w:trPr>
        <w:tc>
          <w:tcPr>
            <w:tcW w:w="3903" w:type="pct"/>
            <w:tcBorders>
              <w:top w:val="single" w:sz="17" w:space="0" w:color="FFFFFF"/>
              <w:left w:val="nil"/>
              <w:bottom w:val="single" w:sz="17" w:space="0" w:color="FFFFFF"/>
              <w:right w:val="single" w:sz="17" w:space="0" w:color="FFFFFF"/>
            </w:tcBorders>
            <w:shd w:val="clear" w:color="auto" w:fill="F2F2F2"/>
          </w:tcPr>
          <w:p w14:paraId="2C96A517"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Datum der Aktivierung des Leistungsbegrenzers </w:t>
            </w:r>
          </w:p>
        </w:tc>
        <w:tc>
          <w:tcPr>
            <w:tcW w:w="1097" w:type="pct"/>
            <w:tcBorders>
              <w:top w:val="single" w:sz="2" w:space="0" w:color="F2F2F2"/>
              <w:left w:val="single" w:sz="17" w:space="0" w:color="FFFFFF"/>
              <w:bottom w:val="single" w:sz="2" w:space="0" w:color="F2F2F2"/>
              <w:right w:val="nil"/>
            </w:tcBorders>
            <w:shd w:val="clear" w:color="auto" w:fill="F2F2F2"/>
          </w:tcPr>
          <w:p w14:paraId="2A483BFF" w14:textId="1594B7BB" w:rsidR="001011F9" w:rsidRPr="00F83272" w:rsidRDefault="00A36750" w:rsidP="00A36750">
            <w:pPr>
              <w:tabs>
                <w:tab w:val="right" w:leader="dot" w:pos="495"/>
                <w:tab w:val="right" w:leader="dot" w:pos="1080"/>
                <w:tab w:val="right" w:leader="dot" w:pos="1650"/>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r w:rsidR="001011F9">
              <w:rPr>
                <w:rFonts w:ascii="Times New Roman" w:hAnsi="Times New Roman"/>
                <w:color w:val="000000"/>
                <w:sz w:val="24"/>
              </w:rPr>
              <w:t>/</w:t>
            </w:r>
            <w:r>
              <w:rPr>
                <w:rFonts w:ascii="Times New Roman" w:hAnsi="Times New Roman"/>
                <w:color w:val="000000"/>
                <w:sz w:val="24"/>
              </w:rPr>
              <w:tab/>
            </w:r>
            <w:r w:rsidR="001011F9">
              <w:rPr>
                <w:rFonts w:ascii="Times New Roman" w:hAnsi="Times New Roman"/>
                <w:color w:val="000000"/>
                <w:sz w:val="24"/>
              </w:rPr>
              <w:t>/</w:t>
            </w:r>
            <w:r>
              <w:rPr>
                <w:rFonts w:ascii="Times New Roman" w:hAnsi="Times New Roman"/>
                <w:color w:val="000000"/>
                <w:sz w:val="24"/>
              </w:rPr>
              <w:tab/>
            </w:r>
            <w:r w:rsidR="001011F9">
              <w:rPr>
                <w:rFonts w:ascii="Times New Roman" w:hAnsi="Times New Roman"/>
                <w:color w:val="000000"/>
                <w:sz w:val="24"/>
              </w:rPr>
              <w:t xml:space="preserve"> </w:t>
            </w:r>
          </w:p>
        </w:tc>
      </w:tr>
      <w:tr w:rsidR="001011F9" w:rsidRPr="00F83272" w14:paraId="70479FA8" w14:textId="77777777" w:rsidTr="00A36750">
        <w:trPr>
          <w:trHeight w:val="804"/>
        </w:trPr>
        <w:tc>
          <w:tcPr>
            <w:tcW w:w="3903" w:type="pct"/>
            <w:tcBorders>
              <w:top w:val="single" w:sz="17" w:space="0" w:color="FFFFFF"/>
              <w:left w:val="nil"/>
              <w:bottom w:val="nil"/>
              <w:right w:val="single" w:sz="17" w:space="0" w:color="FFFFFF"/>
            </w:tcBorders>
            <w:shd w:val="clear" w:color="auto" w:fill="F2F2F2"/>
          </w:tcPr>
          <w:p w14:paraId="1BA1E4E2"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(Geschätzte) Dauer der garantierten Mindestversorgung </w:t>
            </w:r>
            <w:r w:rsidRPr="00F83272">
              <w:rPr>
                <w:rFonts w:ascii="Times New Roman" w:hAnsi="Times New Roman"/>
                <w:b/>
                <w:color w:val="000000"/>
                <w:sz w:val="24"/>
                <w:szCs w:val="24"/>
              </w:rPr>
              <w:t xml:space="preserve"> </w:t>
            </w:r>
          </w:p>
        </w:tc>
        <w:tc>
          <w:tcPr>
            <w:tcW w:w="1097" w:type="pct"/>
            <w:tcBorders>
              <w:top w:val="single" w:sz="2" w:space="0" w:color="F2F2F2"/>
              <w:left w:val="single" w:sz="17" w:space="0" w:color="FFFFFF"/>
              <w:bottom w:val="single" w:sz="2" w:space="0" w:color="F2F2F2"/>
              <w:right w:val="nil"/>
            </w:tcBorders>
            <w:shd w:val="clear" w:color="auto" w:fill="F2F2F2"/>
          </w:tcPr>
          <w:p w14:paraId="2CD67A55" w14:textId="77777777" w:rsidR="001011F9" w:rsidRPr="00F83272" w:rsidRDefault="001011F9" w:rsidP="00A36750">
            <w:pPr>
              <w:tabs>
                <w:tab w:val="left" w:pos="109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3B1FEC9D" w14:textId="39E0FA70" w:rsidR="001011F9" w:rsidRPr="00F83272" w:rsidRDefault="00A36750" w:rsidP="00A36750">
            <w:pPr>
              <w:tabs>
                <w:tab w:val="right" w:leader="dot" w:pos="1634"/>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t xml:space="preserve"> </w:t>
            </w:r>
            <w:r w:rsidR="001011F9">
              <w:rPr>
                <w:rFonts w:ascii="Times New Roman" w:hAnsi="Times New Roman"/>
                <w:color w:val="000000"/>
                <w:sz w:val="24"/>
              </w:rPr>
              <w:t xml:space="preserve">Monate </w:t>
            </w:r>
          </w:p>
          <w:p w14:paraId="52C525CA" w14:textId="77777777" w:rsidR="001011F9" w:rsidRPr="00F83272" w:rsidRDefault="001011F9" w:rsidP="00A36750">
            <w:pPr>
              <w:tabs>
                <w:tab w:val="left" w:pos="1095"/>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1011F9" w:rsidRPr="00F83272" w14:paraId="440D2C7B" w14:textId="77777777" w:rsidTr="00A36750">
        <w:trPr>
          <w:trHeight w:val="1690"/>
        </w:trPr>
        <w:tc>
          <w:tcPr>
            <w:tcW w:w="3903" w:type="pct"/>
            <w:tcBorders>
              <w:top w:val="nil"/>
              <w:left w:val="nil"/>
              <w:bottom w:val="single" w:sz="17" w:space="0" w:color="FFFFFF"/>
              <w:right w:val="single" w:sz="17" w:space="0" w:color="FFFFFF"/>
            </w:tcBorders>
            <w:shd w:val="clear" w:color="auto" w:fill="F2F2F2"/>
          </w:tcPr>
          <w:p w14:paraId="06C4D1BE"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Status des Verbrauchs mit Leistungsbegrenzer: </w:t>
            </w:r>
          </w:p>
          <w:p w14:paraId="47AF141B" w14:textId="77777777" w:rsidR="001011F9" w:rsidRPr="00F83272" w:rsidRDefault="001011F9" w:rsidP="001011F9">
            <w:pPr>
              <w:numPr>
                <w:ilvl w:val="0"/>
                <w:numId w:val="5"/>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Abgelesener Verbrauch  </w:t>
            </w:r>
          </w:p>
          <w:p w14:paraId="22A31E7C"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66D54A3E" w14:textId="77777777" w:rsidR="001011F9" w:rsidRPr="00F83272" w:rsidRDefault="001011F9" w:rsidP="001011F9">
            <w:pPr>
              <w:numPr>
                <w:ilvl w:val="0"/>
                <w:numId w:val="5"/>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Geschätzte Verbräuche (nur für den Fall, dass der Netzbetreiber keinen Zugang zum Haushaltszähler des betreffenden Kunden hat) </w:t>
            </w:r>
          </w:p>
        </w:tc>
        <w:tc>
          <w:tcPr>
            <w:tcW w:w="1097" w:type="pct"/>
            <w:tcBorders>
              <w:top w:val="single" w:sz="2" w:space="0" w:color="F2F2F2"/>
              <w:left w:val="single" w:sz="17" w:space="0" w:color="FFFFFF"/>
              <w:bottom w:val="single" w:sz="2" w:space="0" w:color="F2F2F2"/>
              <w:right w:val="nil"/>
            </w:tcBorders>
            <w:shd w:val="clear" w:color="auto" w:fill="F2F2F2"/>
          </w:tcPr>
          <w:p w14:paraId="1F8E2C81" w14:textId="77777777" w:rsidR="001011F9" w:rsidRPr="00F83272" w:rsidRDefault="001011F9" w:rsidP="00A36750">
            <w:pPr>
              <w:tabs>
                <w:tab w:val="left" w:pos="109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C4E0DA2" w14:textId="2BD15FEA" w:rsidR="001011F9" w:rsidRPr="00F83272" w:rsidRDefault="001011F9" w:rsidP="00A36750">
            <w:pPr>
              <w:tabs>
                <w:tab w:val="right" w:leader="dot" w:pos="1648"/>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A36750">
              <w:rPr>
                <w:rFonts w:ascii="Times New Roman" w:hAnsi="Times New Roman"/>
                <w:color w:val="000000"/>
                <w:sz w:val="24"/>
              </w:rPr>
              <w:tab/>
              <w:t xml:space="preserve"> </w:t>
            </w:r>
            <w:r>
              <w:rPr>
                <w:rFonts w:ascii="Times New Roman" w:hAnsi="Times New Roman"/>
                <w:color w:val="000000"/>
                <w:sz w:val="24"/>
              </w:rPr>
              <w:t xml:space="preserve">kWh </w:t>
            </w:r>
          </w:p>
          <w:p w14:paraId="496DBF3E" w14:textId="77777777" w:rsidR="001011F9" w:rsidRPr="00F83272" w:rsidRDefault="001011F9" w:rsidP="00A36750">
            <w:pPr>
              <w:tabs>
                <w:tab w:val="left" w:pos="109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24E7AA1" w14:textId="1D787EB0" w:rsidR="001011F9" w:rsidRPr="00F83272" w:rsidRDefault="001011F9" w:rsidP="00A36750">
            <w:pPr>
              <w:tabs>
                <w:tab w:val="right" w:leader="dot" w:pos="109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A36750">
              <w:rPr>
                <w:rFonts w:ascii="Times New Roman" w:hAnsi="Times New Roman"/>
                <w:color w:val="000000"/>
                <w:sz w:val="24"/>
              </w:rPr>
              <w:tab/>
            </w:r>
            <w:r w:rsidR="00A36750">
              <w:rPr>
                <w:rFonts w:ascii="Times New Roman" w:hAnsi="Times New Roman"/>
                <w:color w:val="000000"/>
                <w:sz w:val="24"/>
              </w:rPr>
              <w:tab/>
            </w:r>
            <w:r>
              <w:rPr>
                <w:rFonts w:ascii="Times New Roman" w:hAnsi="Times New Roman"/>
                <w:color w:val="000000"/>
                <w:sz w:val="24"/>
              </w:rPr>
              <w:t xml:space="preserve">geschätzte kWh </w:t>
            </w:r>
          </w:p>
          <w:p w14:paraId="67C32271" w14:textId="77777777" w:rsidR="001011F9" w:rsidRPr="00F83272" w:rsidRDefault="001011F9" w:rsidP="00A36750">
            <w:pPr>
              <w:tabs>
                <w:tab w:val="left" w:pos="109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05C52403" w14:textId="77777777" w:rsidTr="00A36750">
        <w:trPr>
          <w:trHeight w:val="395"/>
        </w:trPr>
        <w:tc>
          <w:tcPr>
            <w:tcW w:w="3903" w:type="pct"/>
            <w:tcBorders>
              <w:top w:val="single" w:sz="17" w:space="0" w:color="FFFFFF"/>
              <w:left w:val="nil"/>
              <w:bottom w:val="nil"/>
              <w:right w:val="single" w:sz="17" w:space="0" w:color="FFFFFF"/>
            </w:tcBorders>
            <w:shd w:val="clear" w:color="auto" w:fill="F2F2F2"/>
          </w:tcPr>
          <w:p w14:paraId="487045F2"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Schulden im Zusammenhang mit der garantierten Mindestversorgung (tatsächlich oder geschätzt) </w:t>
            </w:r>
          </w:p>
        </w:tc>
        <w:tc>
          <w:tcPr>
            <w:tcW w:w="1097" w:type="pct"/>
            <w:tcBorders>
              <w:top w:val="single" w:sz="2" w:space="0" w:color="F2F2F2"/>
              <w:left w:val="single" w:sz="17" w:space="0" w:color="FFFFFF"/>
              <w:bottom w:val="nil"/>
              <w:right w:val="nil"/>
            </w:tcBorders>
            <w:shd w:val="clear" w:color="auto" w:fill="F2F2F2"/>
            <w:vAlign w:val="bottom"/>
          </w:tcPr>
          <w:p w14:paraId="163837E6" w14:textId="146CF63C" w:rsidR="001011F9" w:rsidRPr="00F83272" w:rsidRDefault="001011F9" w:rsidP="00BB5ECA">
            <w:pPr>
              <w:tabs>
                <w:tab w:val="right" w:leader="dot" w:pos="1634"/>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1F1C99">
              <w:rPr>
                <w:rFonts w:ascii="Times New Roman" w:hAnsi="Times New Roman"/>
                <w:color w:val="000000"/>
                <w:sz w:val="24"/>
              </w:rPr>
              <w:tab/>
            </w:r>
            <w:r>
              <w:rPr>
                <w:rFonts w:ascii="Times New Roman" w:hAnsi="Times New Roman"/>
                <w:color w:val="000000"/>
                <w:sz w:val="24"/>
              </w:rPr>
              <w:t xml:space="preserve">€ </w:t>
            </w:r>
          </w:p>
        </w:tc>
      </w:tr>
    </w:tbl>
    <w:p w14:paraId="77033611"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513E261B"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108" w:type="dxa"/>
          <w:right w:w="192" w:type="dxa"/>
        </w:tblCellMar>
        <w:tblLook w:val="04A0" w:firstRow="1" w:lastRow="0" w:firstColumn="1" w:lastColumn="0" w:noHBand="0" w:noVBand="1"/>
      </w:tblPr>
      <w:tblGrid>
        <w:gridCol w:w="7094"/>
        <w:gridCol w:w="1978"/>
      </w:tblGrid>
      <w:tr w:rsidR="001011F9" w:rsidRPr="00F83272" w14:paraId="188A9B57" w14:textId="77777777" w:rsidTr="0056426D">
        <w:trPr>
          <w:trHeight w:val="529"/>
        </w:trPr>
        <w:tc>
          <w:tcPr>
            <w:tcW w:w="3910" w:type="pct"/>
            <w:tcBorders>
              <w:top w:val="nil"/>
              <w:left w:val="nil"/>
              <w:bottom w:val="single" w:sz="17" w:space="0" w:color="FFFFFF"/>
              <w:right w:val="nil"/>
            </w:tcBorders>
            <w:shd w:val="clear" w:color="auto" w:fill="CCCCCC"/>
          </w:tcPr>
          <w:p w14:paraId="5848C46E"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Aufschlüsselung der Schulden </w:t>
            </w:r>
          </w:p>
          <w:p w14:paraId="7AA49C01"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c>
          <w:tcPr>
            <w:tcW w:w="1090" w:type="pct"/>
            <w:tcBorders>
              <w:top w:val="nil"/>
              <w:left w:val="nil"/>
              <w:bottom w:val="single" w:sz="2" w:space="0" w:color="F2F2F2"/>
              <w:right w:val="nil"/>
            </w:tcBorders>
            <w:shd w:val="clear" w:color="auto" w:fill="CCCCCC"/>
          </w:tcPr>
          <w:p w14:paraId="1801CFB9" w14:textId="77777777" w:rsidR="001011F9" w:rsidRPr="00F83272" w:rsidRDefault="001011F9" w:rsidP="0056426D">
            <w:pPr>
              <w:spacing w:line="240" w:lineRule="atLeast"/>
              <w:rPr>
                <w:rFonts w:ascii="Times New Roman" w:eastAsia="Calibri" w:hAnsi="Times New Roman" w:cs="Times New Roman"/>
                <w:color w:val="000000"/>
                <w:sz w:val="24"/>
                <w:szCs w:val="24"/>
              </w:rPr>
            </w:pPr>
          </w:p>
        </w:tc>
      </w:tr>
      <w:tr w:rsidR="001011F9" w:rsidRPr="00F83272" w14:paraId="2F95E642" w14:textId="77777777" w:rsidTr="0056426D">
        <w:trPr>
          <w:trHeight w:val="418"/>
        </w:trPr>
        <w:tc>
          <w:tcPr>
            <w:tcW w:w="3910" w:type="pct"/>
            <w:tcBorders>
              <w:top w:val="single" w:sz="17" w:space="0" w:color="FFFFFF"/>
              <w:left w:val="nil"/>
              <w:bottom w:val="single" w:sz="17" w:space="0" w:color="FFFFFF"/>
              <w:right w:val="single" w:sz="17" w:space="0" w:color="FFFFFF"/>
            </w:tcBorders>
            <w:shd w:val="clear" w:color="auto" w:fill="F2F2F2"/>
          </w:tcPr>
          <w:p w14:paraId="187615C0"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Schulden in Bezug auf die garantierte Mindestversorgung mit Strom </w:t>
            </w:r>
          </w:p>
        </w:tc>
        <w:tc>
          <w:tcPr>
            <w:tcW w:w="1090" w:type="pct"/>
            <w:tcBorders>
              <w:top w:val="single" w:sz="2" w:space="0" w:color="F2F2F2"/>
              <w:left w:val="single" w:sz="17" w:space="0" w:color="FFFFFF"/>
              <w:bottom w:val="single" w:sz="2" w:space="0" w:color="F2F2F2"/>
              <w:right w:val="nil"/>
            </w:tcBorders>
            <w:shd w:val="clear" w:color="auto" w:fill="F2F2F2"/>
            <w:vAlign w:val="bottom"/>
          </w:tcPr>
          <w:p w14:paraId="052D229F" w14:textId="069EC80B" w:rsidR="001011F9" w:rsidRPr="00F83272" w:rsidRDefault="001011F9" w:rsidP="00BB5ECA">
            <w:pPr>
              <w:tabs>
                <w:tab w:val="right" w:leader="dot" w:pos="119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BB5ECA">
              <w:rPr>
                <w:rFonts w:ascii="Times New Roman" w:hAnsi="Times New Roman"/>
                <w:color w:val="000000"/>
                <w:sz w:val="24"/>
              </w:rPr>
              <w:tab/>
            </w:r>
            <w:r>
              <w:rPr>
                <w:rFonts w:ascii="Times New Roman" w:hAnsi="Times New Roman"/>
                <w:color w:val="000000"/>
                <w:sz w:val="24"/>
              </w:rPr>
              <w:t>€</w:t>
            </w:r>
            <w:r w:rsidRPr="00F83272">
              <w:rPr>
                <w:rFonts w:ascii="Times New Roman" w:hAnsi="Times New Roman"/>
                <w:b/>
                <w:color w:val="000000"/>
                <w:sz w:val="24"/>
                <w:szCs w:val="24"/>
              </w:rPr>
              <w:t xml:space="preserve"> </w:t>
            </w:r>
          </w:p>
        </w:tc>
      </w:tr>
      <w:tr w:rsidR="001011F9" w:rsidRPr="00F83272" w14:paraId="5DDD4B71" w14:textId="77777777" w:rsidTr="0056426D">
        <w:trPr>
          <w:trHeight w:val="782"/>
        </w:trPr>
        <w:tc>
          <w:tcPr>
            <w:tcW w:w="3910" w:type="pct"/>
            <w:tcBorders>
              <w:top w:val="single" w:sz="17" w:space="0" w:color="FFFFFF"/>
              <w:left w:val="nil"/>
              <w:bottom w:val="nil"/>
              <w:right w:val="single" w:sz="17" w:space="0" w:color="FFFFFF"/>
            </w:tcBorders>
            <w:shd w:val="clear" w:color="auto" w:fill="F2F2F2"/>
          </w:tcPr>
          <w:p w14:paraId="24AF4A2B"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Sonstige Kosten (bitte angeben) </w:t>
            </w:r>
          </w:p>
          <w:p w14:paraId="16A5586F" w14:textId="77777777" w:rsidR="00BB5ECA" w:rsidRDefault="00BB5ECA" w:rsidP="00BB5ECA">
            <w:pPr>
              <w:tabs>
                <w:tab w:val="right" w:leader="dot" w:pos="6780"/>
              </w:tabs>
              <w:spacing w:line="240" w:lineRule="atLeast"/>
              <w:rPr>
                <w:rFonts w:ascii="Times New Roman" w:hAnsi="Times New Roman"/>
                <w:color w:val="000000"/>
                <w:sz w:val="24"/>
              </w:rPr>
            </w:pPr>
            <w:r>
              <w:rPr>
                <w:rFonts w:ascii="Times New Roman" w:hAnsi="Times New Roman"/>
                <w:color w:val="000000"/>
                <w:sz w:val="24"/>
              </w:rPr>
              <w:tab/>
            </w:r>
          </w:p>
          <w:p w14:paraId="3A524761" w14:textId="603E5272" w:rsidR="001011F9" w:rsidRPr="00F83272" w:rsidRDefault="00BB5ECA" w:rsidP="00BB5ECA">
            <w:pPr>
              <w:tabs>
                <w:tab w:val="right" w:leader="dot" w:pos="6780"/>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r w:rsidR="001011F9">
              <w:rPr>
                <w:rFonts w:ascii="Times New Roman" w:hAnsi="Times New Roman"/>
                <w:color w:val="000000"/>
                <w:sz w:val="24"/>
              </w:rPr>
              <w:t xml:space="preserve"> </w:t>
            </w:r>
          </w:p>
        </w:tc>
        <w:tc>
          <w:tcPr>
            <w:tcW w:w="1090" w:type="pct"/>
            <w:tcBorders>
              <w:top w:val="single" w:sz="2" w:space="0" w:color="F2F2F2"/>
              <w:left w:val="single" w:sz="17" w:space="0" w:color="FFFFFF"/>
              <w:bottom w:val="nil"/>
              <w:right w:val="nil"/>
            </w:tcBorders>
            <w:shd w:val="clear" w:color="auto" w:fill="F2F2F2"/>
          </w:tcPr>
          <w:p w14:paraId="01891A4D" w14:textId="77777777" w:rsidR="001011F9" w:rsidRPr="00F83272" w:rsidRDefault="001011F9" w:rsidP="00BB5ECA">
            <w:pPr>
              <w:tabs>
                <w:tab w:val="right" w:leader="dot" w:pos="119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03C2A915" w14:textId="4D5EE5E5" w:rsidR="001011F9" w:rsidRPr="00F83272" w:rsidRDefault="001011F9" w:rsidP="00BB5ECA">
            <w:pPr>
              <w:tabs>
                <w:tab w:val="right" w:leader="dot" w:pos="119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BB5ECA">
              <w:rPr>
                <w:rFonts w:ascii="Times New Roman" w:hAnsi="Times New Roman"/>
                <w:color w:val="000000"/>
                <w:sz w:val="24"/>
              </w:rPr>
              <w:tab/>
            </w:r>
            <w:r>
              <w:rPr>
                <w:rFonts w:ascii="Times New Roman" w:hAnsi="Times New Roman"/>
                <w:color w:val="000000"/>
                <w:sz w:val="24"/>
              </w:rPr>
              <w:t>€</w:t>
            </w:r>
            <w:r w:rsidRPr="00F83272">
              <w:rPr>
                <w:rFonts w:ascii="Times New Roman" w:hAnsi="Times New Roman"/>
                <w:b/>
                <w:color w:val="000000"/>
                <w:sz w:val="24"/>
                <w:szCs w:val="24"/>
              </w:rPr>
              <w:t xml:space="preserve"> </w:t>
            </w:r>
          </w:p>
        </w:tc>
      </w:tr>
    </w:tbl>
    <w:p w14:paraId="0DA417F6"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6B37EDCA"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67" w:type="dxa"/>
          <w:right w:w="49" w:type="dxa"/>
        </w:tblCellMar>
        <w:tblLook w:val="04A0" w:firstRow="1" w:lastRow="0" w:firstColumn="1" w:lastColumn="0" w:noHBand="0" w:noVBand="1"/>
      </w:tblPr>
      <w:tblGrid>
        <w:gridCol w:w="9072"/>
      </w:tblGrid>
      <w:tr w:rsidR="001011F9" w:rsidRPr="00F83272" w14:paraId="2F29F2A0" w14:textId="77777777" w:rsidTr="0056426D">
        <w:trPr>
          <w:trHeight w:val="718"/>
        </w:trPr>
        <w:tc>
          <w:tcPr>
            <w:tcW w:w="5000" w:type="pct"/>
            <w:tcBorders>
              <w:top w:val="nil"/>
              <w:left w:val="nil"/>
              <w:bottom w:val="single" w:sz="17" w:space="0" w:color="FFFFFF"/>
              <w:right w:val="nil"/>
            </w:tcBorders>
            <w:shd w:val="clear" w:color="auto" w:fill="CCCCCC"/>
          </w:tcPr>
          <w:p w14:paraId="5BAA4BC7"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b/>
                <w:color w:val="000000"/>
                <w:sz w:val="24"/>
              </w:rPr>
              <w:lastRenderedPageBreak/>
              <w:t xml:space="preserve">Aufgrund der ihr vorliegenden Informationen und nach Beratung beschließt die lokale Energiekommission: </w:t>
            </w:r>
          </w:p>
        </w:tc>
      </w:tr>
      <w:tr w:rsidR="001011F9" w:rsidRPr="00F83272" w14:paraId="7C35A1A2" w14:textId="77777777" w:rsidTr="0056426D">
        <w:trPr>
          <w:trHeight w:val="436"/>
        </w:trPr>
        <w:tc>
          <w:tcPr>
            <w:tcW w:w="5000" w:type="pct"/>
            <w:tcBorders>
              <w:top w:val="single" w:sz="17" w:space="0" w:color="FFFFFF"/>
              <w:left w:val="nil"/>
              <w:bottom w:val="single" w:sz="2" w:space="0" w:color="F2F2F2"/>
              <w:right w:val="nil"/>
            </w:tcBorders>
            <w:shd w:val="clear" w:color="auto" w:fill="F2F2F2"/>
          </w:tcPr>
          <w:p w14:paraId="774DBC16"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 die garantierte Mindestversorgung aufrechtzuerhalten  </w:t>
            </w:r>
          </w:p>
        </w:tc>
      </w:tr>
      <w:tr w:rsidR="001011F9" w:rsidRPr="00F83272" w14:paraId="08896316" w14:textId="77777777" w:rsidTr="0056426D">
        <w:trPr>
          <w:trHeight w:val="4115"/>
        </w:trPr>
        <w:tc>
          <w:tcPr>
            <w:tcW w:w="5000" w:type="pct"/>
            <w:tcBorders>
              <w:top w:val="single" w:sz="2" w:space="0" w:color="F2F2F2"/>
              <w:left w:val="nil"/>
              <w:bottom w:val="nil"/>
              <w:right w:val="nil"/>
            </w:tcBorders>
            <w:shd w:val="clear" w:color="auto" w:fill="F2F2F2"/>
          </w:tcPr>
          <w:p w14:paraId="3086B79E"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 die garantierte Mindestversorgung einzustellen. Diese Einstellung erfolgt außerhalb der Winterzeit und frühestens fünf Tage nach dem Datum, an dem die Stellungnahme der Kommission mitgeteilt wurde. Der Kunde kann jedoch Strom mit voller Leistung beziehen, wenn er seine Energie im Voraus bezahlt. Wenn der Kunde über einen kommunikationsfähigen Zähler verfügt, nimmt der Verteilernetzbetreiber die Einstellung der garantierten Mindestversorgung per Fernzugriff vor. </w:t>
            </w:r>
          </w:p>
          <w:p w14:paraId="3B3EF44D"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792F07E2"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Die Liste mit den Standorten der Prepaid-Terminals kann kostenlos angefordert werden: </w:t>
            </w:r>
          </w:p>
          <w:p w14:paraId="1C4E681C" w14:textId="142DE5B2" w:rsidR="001011F9" w:rsidRPr="00F83272" w:rsidRDefault="001011F9" w:rsidP="00BB5ECA">
            <w:pPr>
              <w:numPr>
                <w:ilvl w:val="0"/>
                <w:numId w:val="6"/>
              </w:numPr>
              <w:tabs>
                <w:tab w:val="left" w:pos="360"/>
                <w:tab w:val="right" w:leader="dot" w:pos="8871"/>
              </w:tabs>
              <w:spacing w:line="240" w:lineRule="atLeast"/>
              <w:ind w:left="0"/>
              <w:jc w:val="both"/>
              <w:rPr>
                <w:rFonts w:ascii="Times New Roman" w:eastAsia="Calibri" w:hAnsi="Times New Roman" w:cs="Times New Roman"/>
                <w:color w:val="000000"/>
                <w:sz w:val="24"/>
                <w:szCs w:val="24"/>
              </w:rPr>
            </w:pPr>
            <w:r>
              <w:rPr>
                <w:rFonts w:ascii="Times New Roman" w:hAnsi="Times New Roman"/>
                <w:color w:val="000000"/>
                <w:sz w:val="24"/>
              </w:rPr>
              <w:t xml:space="preserve">über folgende Website: </w:t>
            </w:r>
            <w:r w:rsidR="00BB5ECA">
              <w:rPr>
                <w:rFonts w:ascii="Times New Roman" w:hAnsi="Times New Roman"/>
                <w:color w:val="000000"/>
                <w:sz w:val="24"/>
              </w:rPr>
              <w:tab/>
            </w:r>
          </w:p>
          <w:p w14:paraId="06FCA928" w14:textId="6851E5E0" w:rsidR="001011F9" w:rsidRPr="00F83272" w:rsidRDefault="001011F9" w:rsidP="00BB5ECA">
            <w:pPr>
              <w:numPr>
                <w:ilvl w:val="0"/>
                <w:numId w:val="6"/>
              </w:numPr>
              <w:tabs>
                <w:tab w:val="left" w:pos="360"/>
                <w:tab w:val="right" w:leader="dot" w:pos="8871"/>
              </w:tabs>
              <w:spacing w:line="240" w:lineRule="atLeast"/>
              <w:ind w:left="0"/>
              <w:jc w:val="both"/>
              <w:rPr>
                <w:rFonts w:ascii="Times New Roman" w:eastAsia="Calibri" w:hAnsi="Times New Roman" w:cs="Times New Roman"/>
                <w:color w:val="000000"/>
                <w:sz w:val="24"/>
                <w:szCs w:val="24"/>
              </w:rPr>
            </w:pPr>
            <w:r>
              <w:rPr>
                <w:rFonts w:ascii="Times New Roman" w:hAnsi="Times New Roman"/>
                <w:color w:val="000000"/>
                <w:sz w:val="24"/>
              </w:rPr>
              <w:t xml:space="preserve">über folgende Telefonnummer: </w:t>
            </w:r>
            <w:r w:rsidR="00BB5ECA">
              <w:rPr>
                <w:rFonts w:ascii="Times New Roman" w:hAnsi="Times New Roman"/>
                <w:color w:val="000000"/>
                <w:sz w:val="24"/>
              </w:rPr>
              <w:tab/>
            </w:r>
          </w:p>
          <w:p w14:paraId="25F212BD" w14:textId="1D739F54" w:rsidR="001011F9" w:rsidRPr="00F83272" w:rsidRDefault="001011F9" w:rsidP="00BB5ECA">
            <w:pPr>
              <w:numPr>
                <w:ilvl w:val="0"/>
                <w:numId w:val="6"/>
              </w:numPr>
              <w:tabs>
                <w:tab w:val="left" w:pos="360"/>
                <w:tab w:val="right" w:leader="dot" w:pos="8871"/>
              </w:tabs>
              <w:spacing w:line="240" w:lineRule="atLeast"/>
              <w:ind w:left="0"/>
              <w:jc w:val="both"/>
              <w:rPr>
                <w:rFonts w:ascii="Times New Roman" w:eastAsia="Calibri" w:hAnsi="Times New Roman" w:cs="Times New Roman"/>
                <w:color w:val="000000"/>
                <w:sz w:val="24"/>
                <w:szCs w:val="24"/>
              </w:rPr>
            </w:pPr>
            <w:r>
              <w:rPr>
                <w:rFonts w:ascii="Times New Roman" w:hAnsi="Times New Roman"/>
                <w:color w:val="000000"/>
                <w:sz w:val="24"/>
              </w:rPr>
              <w:t>durch Versand einer E-Mail an folgende Adresse:</w:t>
            </w:r>
            <w:r w:rsidR="00BB5ECA">
              <w:rPr>
                <w:rFonts w:ascii="Times New Roman" w:hAnsi="Times New Roman"/>
                <w:color w:val="000000"/>
                <w:sz w:val="24"/>
              </w:rPr>
              <w:tab/>
            </w:r>
          </w:p>
          <w:p w14:paraId="52C5A0C5" w14:textId="77777777" w:rsidR="001011F9" w:rsidRPr="00F83272" w:rsidRDefault="001011F9" w:rsidP="00BB5ECA">
            <w:pPr>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51D20EFB" w14:textId="77777777" w:rsidR="001011F9" w:rsidRDefault="001011F9" w:rsidP="00BB5ECA">
            <w:pPr>
              <w:spacing w:line="240" w:lineRule="atLeast"/>
              <w:jc w:val="both"/>
              <w:rPr>
                <w:rFonts w:ascii="Times New Roman" w:hAnsi="Times New Roman"/>
                <w:color w:val="000000"/>
                <w:sz w:val="24"/>
              </w:rPr>
            </w:pPr>
            <w:r>
              <w:rPr>
                <w:rFonts w:ascii="Times New Roman" w:hAnsi="Times New Roman"/>
                <w:color w:val="000000"/>
                <w:sz w:val="24"/>
              </w:rPr>
              <w:t xml:space="preserve">Falls der Kunde dem Netzbetreiber jedoch keinen Zugang zum Zähler gewährt, um die Konfiguration zu ändern (um die Mindestversorgung einzustellen), wird der Netzbetreiber beim Friedensrichter einen Antrag auf Aussetzung (Unterbrechung) der Versorgung stellen. </w:t>
            </w:r>
          </w:p>
          <w:p w14:paraId="02B583AE" w14:textId="77777777" w:rsidR="00BB5ECA" w:rsidRPr="00F83272" w:rsidRDefault="00BB5ECA" w:rsidP="00BB5ECA">
            <w:pPr>
              <w:spacing w:line="240" w:lineRule="atLeast"/>
              <w:jc w:val="both"/>
              <w:rPr>
                <w:rFonts w:ascii="Times New Roman" w:eastAsia="Calibri" w:hAnsi="Times New Roman" w:cs="Times New Roman"/>
                <w:color w:val="000000"/>
                <w:sz w:val="24"/>
                <w:szCs w:val="24"/>
              </w:rPr>
            </w:pPr>
          </w:p>
        </w:tc>
      </w:tr>
      <w:tr w:rsidR="001011F9" w:rsidRPr="00F83272" w14:paraId="3B063AF6" w14:textId="77777777" w:rsidTr="00BB5ECA">
        <w:trPr>
          <w:trHeight w:val="593"/>
        </w:trPr>
        <w:tc>
          <w:tcPr>
            <w:tcW w:w="5000" w:type="pct"/>
            <w:tcBorders>
              <w:top w:val="nil"/>
              <w:left w:val="nil"/>
              <w:bottom w:val="single" w:sz="17" w:space="0" w:color="FFFFFF"/>
              <w:right w:val="nil"/>
            </w:tcBorders>
            <w:shd w:val="clear" w:color="auto" w:fill="F2F2F2"/>
          </w:tcPr>
          <w:p w14:paraId="4DF7EB2F" w14:textId="087017DD" w:rsidR="001011F9" w:rsidRPr="00F83272" w:rsidRDefault="001011F9" w:rsidP="00BB5ECA">
            <w:pPr>
              <w:tabs>
                <w:tab w:val="right" w:leader="dot" w:pos="3201"/>
                <w:tab w:val="right" w:leader="dot" w:pos="3768"/>
                <w:tab w:val="right" w:leader="dot" w:pos="4193"/>
              </w:tabs>
              <w:spacing w:line="240" w:lineRule="atLeast"/>
              <w:jc w:val="both"/>
              <w:rPr>
                <w:rFonts w:ascii="Times New Roman" w:eastAsia="Calibri" w:hAnsi="Times New Roman" w:cs="Times New Roman"/>
                <w:color w:val="000000"/>
                <w:sz w:val="24"/>
                <w:szCs w:val="24"/>
              </w:rPr>
            </w:pPr>
            <w:r>
              <w:rPr>
                <w:rFonts w:ascii="Times New Roman" w:hAnsi="Times New Roman"/>
                <w:color w:val="000000"/>
                <w:sz w:val="24"/>
              </w:rPr>
              <w:t xml:space="preserve"> einen neuen Termin am </w:t>
            </w:r>
            <w:r w:rsidR="00BB5ECA">
              <w:rPr>
                <w:rFonts w:ascii="Times New Roman" w:hAnsi="Times New Roman"/>
                <w:color w:val="000000"/>
                <w:sz w:val="24"/>
              </w:rPr>
              <w:tab/>
            </w:r>
            <w:r>
              <w:rPr>
                <w:rFonts w:ascii="Times New Roman" w:hAnsi="Times New Roman"/>
                <w:color w:val="000000"/>
                <w:sz w:val="24"/>
              </w:rPr>
              <w:t>/</w:t>
            </w:r>
            <w:r w:rsidR="00BB5ECA">
              <w:rPr>
                <w:rFonts w:ascii="Times New Roman" w:hAnsi="Times New Roman"/>
                <w:color w:val="000000"/>
                <w:sz w:val="24"/>
              </w:rPr>
              <w:tab/>
              <w:t>/</w:t>
            </w:r>
            <w:r w:rsidR="00BB5ECA">
              <w:rPr>
                <w:rFonts w:ascii="Times New Roman" w:hAnsi="Times New Roman"/>
                <w:color w:val="000000"/>
                <w:sz w:val="24"/>
              </w:rPr>
              <w:tab/>
            </w:r>
            <w:r w:rsidR="00BB5ECA">
              <w:rPr>
                <w:rFonts w:ascii="Times New Roman" w:hAnsi="Times New Roman"/>
                <w:color w:val="000000"/>
                <w:sz w:val="24"/>
              </w:rPr>
              <w:tab/>
              <w:t xml:space="preserve"> </w:t>
            </w:r>
            <w:r>
              <w:rPr>
                <w:rFonts w:ascii="Times New Roman" w:hAnsi="Times New Roman"/>
                <w:color w:val="000000"/>
                <w:sz w:val="24"/>
              </w:rPr>
              <w:t xml:space="preserve">anzuberaumen </w:t>
            </w:r>
          </w:p>
        </w:tc>
      </w:tr>
      <w:tr w:rsidR="001011F9" w:rsidRPr="00F83272" w14:paraId="1199C3BC" w14:textId="77777777" w:rsidTr="0056426D">
        <w:trPr>
          <w:trHeight w:val="1597"/>
        </w:trPr>
        <w:tc>
          <w:tcPr>
            <w:tcW w:w="5000" w:type="pct"/>
            <w:tcBorders>
              <w:top w:val="single" w:sz="17" w:space="0" w:color="FFFFFF"/>
              <w:left w:val="nil"/>
              <w:bottom w:val="single" w:sz="2" w:space="0" w:color="F2F2F2"/>
              <w:right w:val="nil"/>
            </w:tcBorders>
            <w:shd w:val="clear" w:color="auto" w:fill="F2F2F2"/>
          </w:tcPr>
          <w:p w14:paraId="7910B918" w14:textId="1CA8BC42" w:rsidR="001011F9" w:rsidRPr="00F83272" w:rsidRDefault="001011F9" w:rsidP="00BB5ECA">
            <w:pPr>
              <w:tabs>
                <w:tab w:val="left" w:leader="dot" w:pos="6603"/>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dem Kunden einen Schuldenerlass in Höhe von</w:t>
            </w:r>
            <w:r w:rsidR="00BB5ECA">
              <w:rPr>
                <w:rFonts w:ascii="Times New Roman" w:hAnsi="Times New Roman"/>
                <w:color w:val="000000"/>
                <w:sz w:val="24"/>
              </w:rPr>
              <w:tab/>
            </w:r>
            <w:r>
              <w:rPr>
                <w:rFonts w:ascii="Times New Roman" w:hAnsi="Times New Roman"/>
                <w:color w:val="000000"/>
                <w:sz w:val="24"/>
              </w:rPr>
              <w:t xml:space="preserve"> € in Bezug auf seine garantierte Mindestversorgung durch die Beteiligung des Energiefonds der Wallonischen Region zu gewähren. Der Beteiligungsantrag wird vom sozialen Versorger bei der Verwaltung eingereicht. Dem Kunden wird empfohlen, eine soziale Energieberatung durch das ÖSHZ in Anspruch zu nehmen. </w:t>
            </w:r>
          </w:p>
        </w:tc>
      </w:tr>
      <w:tr w:rsidR="001011F9" w:rsidRPr="00F83272" w14:paraId="4A45FE44" w14:textId="77777777" w:rsidTr="0056426D">
        <w:trPr>
          <w:trHeight w:val="3897"/>
        </w:trPr>
        <w:tc>
          <w:tcPr>
            <w:tcW w:w="5000" w:type="pct"/>
            <w:tcBorders>
              <w:top w:val="single" w:sz="2" w:space="0" w:color="F2F2F2"/>
              <w:left w:val="nil"/>
              <w:bottom w:val="single" w:sz="17" w:space="0" w:color="FFFFFF"/>
              <w:right w:val="nil"/>
            </w:tcBorders>
            <w:shd w:val="clear" w:color="auto" w:fill="F2F2F2"/>
          </w:tcPr>
          <w:p w14:paraId="52F6BA12" w14:textId="7993B9D8" w:rsidR="001011F9" w:rsidRPr="00F83272" w:rsidRDefault="001011F9" w:rsidP="00223FD4">
            <w:pPr>
              <w:tabs>
                <w:tab w:val="right" w:leader="dot" w:pos="844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dem Kunden einen Zahlungsplan für die Gesamtsumme von </w:t>
            </w:r>
            <w:r w:rsidR="00223FD4">
              <w:rPr>
                <w:rFonts w:ascii="Times New Roman" w:hAnsi="Times New Roman"/>
                <w:color w:val="000000"/>
                <w:sz w:val="24"/>
              </w:rPr>
              <w:tab/>
            </w:r>
            <w:r w:rsidR="00223FD4">
              <w:rPr>
                <w:rFonts w:ascii="Times New Roman" w:hAnsi="Times New Roman"/>
                <w:color w:val="000000"/>
                <w:sz w:val="24"/>
              </w:rPr>
              <w:tab/>
            </w:r>
            <w:r>
              <w:rPr>
                <w:rFonts w:ascii="Times New Roman" w:hAnsi="Times New Roman"/>
                <w:color w:val="000000"/>
                <w:sz w:val="24"/>
              </w:rPr>
              <w:t xml:space="preserve">€ zu gewähren, und zwar in Höhe von:  </w:t>
            </w:r>
          </w:p>
          <w:p w14:paraId="63DFCC87" w14:textId="77EB0709" w:rsidR="00223FD4" w:rsidRPr="00223FD4" w:rsidRDefault="00223FD4" w:rsidP="00223FD4">
            <w:pPr>
              <w:numPr>
                <w:ilvl w:val="0"/>
                <w:numId w:val="7"/>
              </w:numPr>
              <w:tabs>
                <w:tab w:val="left" w:pos="366"/>
                <w:tab w:val="right" w:leader="dot" w:pos="1365"/>
                <w:tab w:val="right" w:leader="dot" w:pos="3960"/>
                <w:tab w:val="right" w:leader="dot" w:pos="8685"/>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sidR="001011F9">
              <w:rPr>
                <w:rFonts w:ascii="Times New Roman" w:hAnsi="Times New Roman"/>
                <w:color w:val="000000"/>
                <w:sz w:val="24"/>
              </w:rPr>
              <w:t xml:space="preserve">€ in Form einer einmaligen Zahlung auf das Konto IBAN </w:t>
            </w:r>
            <w:r>
              <w:rPr>
                <w:rFonts w:ascii="Times New Roman" w:hAnsi="Times New Roman"/>
                <w:color w:val="000000"/>
                <w:sz w:val="24"/>
              </w:rPr>
              <w:tab/>
            </w:r>
          </w:p>
          <w:p w14:paraId="3AF937AF" w14:textId="77777777" w:rsidR="00223FD4" w:rsidRDefault="00223FD4" w:rsidP="00223FD4">
            <w:pPr>
              <w:tabs>
                <w:tab w:val="left" w:pos="366"/>
                <w:tab w:val="right" w:leader="dot" w:pos="1365"/>
                <w:tab w:val="right" w:leader="dot" w:pos="3960"/>
                <w:tab w:val="right" w:leader="dot" w:pos="8685"/>
              </w:tabs>
              <w:spacing w:line="240" w:lineRule="atLeast"/>
              <w:rPr>
                <w:rFonts w:ascii="Times New Roman" w:hAnsi="Times New Roman"/>
                <w:color w:val="000000"/>
                <w:sz w:val="24"/>
              </w:rPr>
            </w:pPr>
          </w:p>
          <w:p w14:paraId="179BDEE0" w14:textId="77777777" w:rsidR="00223FD4" w:rsidRDefault="001011F9" w:rsidP="00223FD4">
            <w:pPr>
              <w:tabs>
                <w:tab w:val="left" w:pos="366"/>
                <w:tab w:val="right" w:leader="dot" w:pos="1365"/>
                <w:tab w:val="right" w:leader="dot" w:pos="3960"/>
                <w:tab w:val="right" w:leader="dot" w:pos="8685"/>
              </w:tabs>
              <w:spacing w:line="240" w:lineRule="atLeast"/>
              <w:rPr>
                <w:rFonts w:ascii="Times New Roman" w:hAnsi="Times New Roman"/>
                <w:color w:val="000000"/>
                <w:sz w:val="24"/>
              </w:rPr>
            </w:pPr>
            <w:r>
              <w:rPr>
                <w:rFonts w:ascii="Times New Roman" w:hAnsi="Times New Roman"/>
                <w:color w:val="000000"/>
                <w:sz w:val="24"/>
              </w:rPr>
              <w:t>und/oder</w:t>
            </w:r>
          </w:p>
          <w:p w14:paraId="5E4D15E9" w14:textId="05DA026E" w:rsidR="001011F9" w:rsidRPr="00F83272" w:rsidRDefault="001011F9" w:rsidP="00223FD4">
            <w:pPr>
              <w:tabs>
                <w:tab w:val="left" w:pos="366"/>
                <w:tab w:val="right" w:leader="dot" w:pos="1365"/>
                <w:tab w:val="right" w:leader="dot" w:pos="3960"/>
                <w:tab w:val="right" w:leader="dot" w:pos="8685"/>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F73B6B3" w14:textId="1EEB463C" w:rsidR="00223FD4" w:rsidRPr="00223FD4" w:rsidRDefault="002E5AE6" w:rsidP="002E5AE6">
            <w:pPr>
              <w:numPr>
                <w:ilvl w:val="0"/>
                <w:numId w:val="7"/>
              </w:numPr>
              <w:tabs>
                <w:tab w:val="left" w:pos="366"/>
                <w:tab w:val="left" w:leader="dot" w:pos="1365"/>
                <w:tab w:val="left" w:leader="dot" w:pos="3484"/>
                <w:tab w:val="right" w:leader="dot" w:pos="8685"/>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ab/>
            </w:r>
            <w:r w:rsidR="001011F9">
              <w:rPr>
                <w:rFonts w:ascii="Times New Roman" w:hAnsi="Times New Roman"/>
                <w:color w:val="000000"/>
                <w:sz w:val="24"/>
              </w:rPr>
              <w:t>€ pro Monat für</w:t>
            </w:r>
            <w:r>
              <w:rPr>
                <w:rFonts w:ascii="Times New Roman" w:hAnsi="Times New Roman"/>
                <w:color w:val="000000"/>
                <w:sz w:val="24"/>
              </w:rPr>
              <w:tab/>
            </w:r>
            <w:r w:rsidR="001011F9">
              <w:rPr>
                <w:rFonts w:ascii="Times New Roman" w:hAnsi="Times New Roman"/>
                <w:color w:val="000000"/>
                <w:sz w:val="24"/>
              </w:rPr>
              <w:t xml:space="preserve">Monate auf das Konto IBAN </w:t>
            </w:r>
            <w:r>
              <w:rPr>
                <w:rFonts w:ascii="Times New Roman" w:hAnsi="Times New Roman"/>
                <w:color w:val="000000"/>
                <w:sz w:val="24"/>
              </w:rPr>
              <w:tab/>
            </w:r>
          </w:p>
          <w:p w14:paraId="4E4E6F86" w14:textId="05768908" w:rsidR="001011F9" w:rsidRPr="00F83272" w:rsidRDefault="001011F9" w:rsidP="002E5AE6">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zu überweisen. </w:t>
            </w:r>
          </w:p>
          <w:p w14:paraId="32194664" w14:textId="071DA1A9" w:rsidR="001011F9" w:rsidRPr="00F83272" w:rsidRDefault="001011F9" w:rsidP="002E5AE6">
            <w:pPr>
              <w:tabs>
                <w:tab w:val="left" w:leader="dot" w:pos="1783"/>
                <w:tab w:val="left" w:leader="dot" w:pos="2350"/>
                <w:tab w:val="left" w:leader="dot" w:pos="2917"/>
                <w:tab w:val="left" w:leader="dot" w:pos="5327"/>
                <w:tab w:val="left" w:leader="dot" w:pos="5894"/>
                <w:tab w:val="left" w:leader="dot" w:pos="6461"/>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Und zwar ab </w:t>
            </w:r>
            <w:r w:rsidR="002E5AE6">
              <w:rPr>
                <w:rFonts w:ascii="Times New Roman" w:hAnsi="Times New Roman"/>
                <w:color w:val="000000"/>
                <w:sz w:val="24"/>
              </w:rPr>
              <w:tab/>
            </w:r>
            <w:r>
              <w:rPr>
                <w:rFonts w:ascii="Times New Roman" w:hAnsi="Times New Roman"/>
                <w:color w:val="000000"/>
                <w:sz w:val="24"/>
              </w:rPr>
              <w:t>/</w:t>
            </w:r>
            <w:r w:rsidR="002E5AE6">
              <w:rPr>
                <w:rFonts w:ascii="Times New Roman" w:hAnsi="Times New Roman"/>
                <w:color w:val="000000"/>
                <w:sz w:val="24"/>
              </w:rPr>
              <w:tab/>
            </w:r>
            <w:r>
              <w:rPr>
                <w:rFonts w:ascii="Times New Roman" w:hAnsi="Times New Roman"/>
                <w:color w:val="000000"/>
                <w:sz w:val="24"/>
              </w:rPr>
              <w:t>/</w:t>
            </w:r>
            <w:r w:rsidR="002E5AE6">
              <w:rPr>
                <w:rFonts w:ascii="Times New Roman" w:hAnsi="Times New Roman"/>
                <w:color w:val="000000"/>
                <w:sz w:val="24"/>
              </w:rPr>
              <w:tab/>
            </w:r>
            <w:r>
              <w:rPr>
                <w:rFonts w:ascii="Times New Roman" w:hAnsi="Times New Roman"/>
                <w:color w:val="000000"/>
                <w:sz w:val="24"/>
              </w:rPr>
              <w:t xml:space="preserve"> und bis spätestens</w:t>
            </w:r>
            <w:r w:rsidR="002E5AE6">
              <w:rPr>
                <w:rFonts w:ascii="Times New Roman" w:hAnsi="Times New Roman"/>
                <w:color w:val="000000"/>
                <w:sz w:val="24"/>
              </w:rPr>
              <w:tab/>
            </w:r>
            <w:r>
              <w:rPr>
                <w:rFonts w:ascii="Times New Roman" w:hAnsi="Times New Roman"/>
                <w:color w:val="000000"/>
                <w:sz w:val="24"/>
              </w:rPr>
              <w:t>/</w:t>
            </w:r>
            <w:r w:rsidR="002E5AE6">
              <w:rPr>
                <w:rFonts w:ascii="Times New Roman" w:hAnsi="Times New Roman"/>
                <w:color w:val="000000"/>
                <w:sz w:val="24"/>
              </w:rPr>
              <w:tab/>
            </w:r>
            <w:r>
              <w:rPr>
                <w:rFonts w:ascii="Times New Roman" w:hAnsi="Times New Roman"/>
                <w:color w:val="000000"/>
                <w:sz w:val="24"/>
              </w:rPr>
              <w:t>/</w:t>
            </w:r>
            <w:r w:rsidR="002E5AE6">
              <w:rPr>
                <w:rFonts w:ascii="Times New Roman" w:hAnsi="Times New Roman"/>
                <w:color w:val="000000"/>
                <w:sz w:val="24"/>
              </w:rPr>
              <w:tab/>
              <w:t xml:space="preserve"> </w:t>
            </w:r>
            <w:r>
              <w:rPr>
                <w:rFonts w:ascii="Times New Roman" w:hAnsi="Times New Roman"/>
                <w:color w:val="000000"/>
                <w:sz w:val="24"/>
              </w:rPr>
              <w:t xml:space="preserve">jedes Monats. </w:t>
            </w:r>
          </w:p>
          <w:p w14:paraId="0EAE3496" w14:textId="77777777" w:rsidR="001011F9" w:rsidRPr="00F83272" w:rsidRDefault="001011F9" w:rsidP="002E5AE6">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4C241231"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Außerdem kann der Kunde eine soziale Energieberatung beantragen, die vom ÖSHZ durchgeführt wird. Wenn der Kunde jedoch den von der CLE gewährten Zahlungsplan nicht einhält, kann die garantierte Mindestversorgung mit Strom unterbrochen werden. </w:t>
            </w:r>
          </w:p>
          <w:p w14:paraId="1EDAC861"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510E49AB" w14:textId="77777777" w:rsidTr="0056426D">
        <w:trPr>
          <w:trHeight w:val="1150"/>
        </w:trPr>
        <w:tc>
          <w:tcPr>
            <w:tcW w:w="5000" w:type="pct"/>
            <w:tcBorders>
              <w:top w:val="single" w:sz="17" w:space="0" w:color="FFFFFF"/>
              <w:left w:val="nil"/>
              <w:bottom w:val="nil"/>
              <w:right w:val="nil"/>
            </w:tcBorders>
            <w:shd w:val="clear" w:color="auto" w:fill="F2F2F2"/>
          </w:tcPr>
          <w:p w14:paraId="7A38460D"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Sonstiges: </w:t>
            </w:r>
          </w:p>
          <w:p w14:paraId="5BE44846" w14:textId="2E88C04F" w:rsidR="002E5AE6" w:rsidRDefault="001011F9" w:rsidP="002E5AE6">
            <w:pPr>
              <w:tabs>
                <w:tab w:val="right" w:leader="dot" w:pos="8820"/>
              </w:tabs>
              <w:spacing w:line="240" w:lineRule="atLeast"/>
              <w:rPr>
                <w:rFonts w:ascii="Times New Roman" w:hAnsi="Times New Roman"/>
                <w:color w:val="000000"/>
                <w:sz w:val="24"/>
              </w:rPr>
            </w:pPr>
            <w:r>
              <w:rPr>
                <w:rFonts w:ascii="Times New Roman" w:hAnsi="Times New Roman"/>
                <w:color w:val="000000"/>
                <w:sz w:val="24"/>
              </w:rPr>
              <w:t xml:space="preserve"> </w:t>
            </w:r>
            <w:r w:rsidR="002E5AE6">
              <w:rPr>
                <w:rFonts w:ascii="Times New Roman" w:hAnsi="Times New Roman"/>
                <w:color w:val="000000"/>
                <w:sz w:val="24"/>
              </w:rPr>
              <w:tab/>
            </w:r>
          </w:p>
          <w:p w14:paraId="5819A0B0" w14:textId="6A36708D" w:rsidR="002E5AE6" w:rsidRPr="00F83272" w:rsidRDefault="002E5AE6" w:rsidP="002E5AE6">
            <w:pPr>
              <w:tabs>
                <w:tab w:val="right" w:leader="dot" w:pos="8820"/>
              </w:tabs>
              <w:spacing w:line="240" w:lineRule="atLeast"/>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p>
          <w:p w14:paraId="5FB58077" w14:textId="42F2232B" w:rsidR="001011F9" w:rsidRPr="00F83272" w:rsidRDefault="001011F9" w:rsidP="0056426D">
            <w:pPr>
              <w:spacing w:line="240" w:lineRule="atLeast"/>
              <w:rPr>
                <w:rFonts w:ascii="Times New Roman" w:eastAsia="Calibri" w:hAnsi="Times New Roman" w:cs="Times New Roman"/>
                <w:color w:val="000000"/>
                <w:sz w:val="24"/>
                <w:szCs w:val="24"/>
              </w:rPr>
            </w:pPr>
          </w:p>
        </w:tc>
      </w:tr>
    </w:tbl>
    <w:p w14:paraId="2C2D094D"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lastRenderedPageBreak/>
        <w:t xml:space="preserve"> </w:t>
      </w:r>
    </w:p>
    <w:p w14:paraId="2CDFB3E2" w14:textId="77777777" w:rsidR="002E5AE6" w:rsidRDefault="002E5AE6">
      <w:r>
        <w:br w:type="page"/>
      </w:r>
    </w:p>
    <w:tbl>
      <w:tblPr>
        <w:tblStyle w:val="TableGrid"/>
        <w:tblW w:w="5000" w:type="pct"/>
        <w:tblInd w:w="0" w:type="dxa"/>
        <w:tblCellMar>
          <w:top w:w="7" w:type="dxa"/>
          <w:left w:w="108" w:type="dxa"/>
          <w:right w:w="71" w:type="dxa"/>
        </w:tblCellMar>
        <w:tblLook w:val="04A0" w:firstRow="1" w:lastRow="0" w:firstColumn="1" w:lastColumn="0" w:noHBand="0" w:noVBand="1"/>
      </w:tblPr>
      <w:tblGrid>
        <w:gridCol w:w="9072"/>
      </w:tblGrid>
      <w:tr w:rsidR="001011F9" w:rsidRPr="00F83272" w14:paraId="4E23A263" w14:textId="77777777" w:rsidTr="0056426D">
        <w:trPr>
          <w:trHeight w:val="603"/>
        </w:trPr>
        <w:tc>
          <w:tcPr>
            <w:tcW w:w="5000" w:type="pct"/>
            <w:tcBorders>
              <w:top w:val="nil"/>
              <w:left w:val="nil"/>
              <w:bottom w:val="single" w:sz="17" w:space="0" w:color="FFFFFF"/>
              <w:right w:val="nil"/>
            </w:tcBorders>
            <w:shd w:val="clear" w:color="auto" w:fill="CCCCCC"/>
          </w:tcPr>
          <w:p w14:paraId="56CAA331" w14:textId="4588D1A6"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Begründung der Entscheidung:  </w:t>
            </w:r>
          </w:p>
          <w:p w14:paraId="36E36EEF"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625D6395" w14:textId="77777777" w:rsidTr="0056426D">
        <w:trPr>
          <w:trHeight w:val="1183"/>
        </w:trPr>
        <w:tc>
          <w:tcPr>
            <w:tcW w:w="5000" w:type="pct"/>
            <w:tcBorders>
              <w:top w:val="single" w:sz="17" w:space="0" w:color="FFFFFF"/>
              <w:left w:val="nil"/>
              <w:bottom w:val="single" w:sz="17" w:space="0" w:color="FFFFFF"/>
              <w:right w:val="nil"/>
            </w:tcBorders>
            <w:shd w:val="clear" w:color="auto" w:fill="F2F2F2"/>
          </w:tcPr>
          <w:p w14:paraId="36A01C61" w14:textId="77777777" w:rsidR="002E5AE6" w:rsidRDefault="002E5AE6" w:rsidP="002E5AE6">
            <w:pPr>
              <w:tabs>
                <w:tab w:val="right" w:leader="dot" w:pos="8789"/>
              </w:tabs>
              <w:spacing w:line="240" w:lineRule="atLeast"/>
              <w:rPr>
                <w:rFonts w:ascii="Times New Roman" w:hAnsi="Times New Roman"/>
                <w:color w:val="000000"/>
                <w:sz w:val="24"/>
              </w:rPr>
            </w:pPr>
            <w:r>
              <w:rPr>
                <w:rFonts w:ascii="Times New Roman" w:hAnsi="Times New Roman"/>
                <w:color w:val="000000"/>
                <w:sz w:val="24"/>
              </w:rPr>
              <w:tab/>
            </w:r>
          </w:p>
          <w:p w14:paraId="4A75D9B4" w14:textId="77777777" w:rsidR="002E5AE6" w:rsidRDefault="002E5AE6" w:rsidP="002E5AE6">
            <w:pPr>
              <w:tabs>
                <w:tab w:val="right" w:leader="dot" w:pos="8789"/>
              </w:tabs>
              <w:spacing w:line="240" w:lineRule="atLeast"/>
              <w:rPr>
                <w:rFonts w:ascii="Times New Roman" w:hAnsi="Times New Roman"/>
                <w:color w:val="000000"/>
                <w:sz w:val="24"/>
              </w:rPr>
            </w:pPr>
            <w:r>
              <w:rPr>
                <w:rFonts w:ascii="Times New Roman" w:hAnsi="Times New Roman"/>
                <w:color w:val="000000"/>
                <w:sz w:val="24"/>
              </w:rPr>
              <w:tab/>
            </w:r>
          </w:p>
          <w:p w14:paraId="1694B7D7" w14:textId="262DACBA" w:rsidR="001011F9" w:rsidRPr="00F83272" w:rsidRDefault="002E5AE6" w:rsidP="002E5AE6">
            <w:pPr>
              <w:tabs>
                <w:tab w:val="right" w:leader="dot" w:pos="878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r w:rsidR="001011F9">
              <w:rPr>
                <w:rFonts w:ascii="Times New Roman" w:hAnsi="Times New Roman"/>
                <w:color w:val="000000"/>
                <w:sz w:val="24"/>
              </w:rPr>
              <w:t xml:space="preserve"> </w:t>
            </w:r>
          </w:p>
        </w:tc>
      </w:tr>
      <w:tr w:rsidR="001011F9" w:rsidRPr="00F83272" w14:paraId="3D108D3C" w14:textId="77777777" w:rsidTr="0056426D">
        <w:trPr>
          <w:trHeight w:val="578"/>
        </w:trPr>
        <w:tc>
          <w:tcPr>
            <w:tcW w:w="5000" w:type="pct"/>
            <w:tcBorders>
              <w:top w:val="single" w:sz="17" w:space="0" w:color="FFFFFF"/>
              <w:left w:val="nil"/>
              <w:bottom w:val="single" w:sz="17" w:space="0" w:color="FFFFFF"/>
              <w:right w:val="nil"/>
            </w:tcBorders>
            <w:shd w:val="clear" w:color="auto" w:fill="CCCCCC"/>
          </w:tcPr>
          <w:p w14:paraId="33C238FA" w14:textId="77777777" w:rsidR="001011F9" w:rsidRPr="00F83272" w:rsidRDefault="001011F9" w:rsidP="002E5AE6">
            <w:pPr>
              <w:tabs>
                <w:tab w:val="right" w:leader="dot" w:pos="8789"/>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Eventuelle Empfehlungen: </w:t>
            </w:r>
          </w:p>
        </w:tc>
      </w:tr>
      <w:tr w:rsidR="001011F9" w:rsidRPr="00F83272" w14:paraId="0ED95A96" w14:textId="77777777" w:rsidTr="002E5AE6">
        <w:trPr>
          <w:trHeight w:val="462"/>
        </w:trPr>
        <w:tc>
          <w:tcPr>
            <w:tcW w:w="5000" w:type="pct"/>
            <w:tcBorders>
              <w:top w:val="single" w:sz="17" w:space="0" w:color="FFFFFF"/>
              <w:left w:val="nil"/>
              <w:bottom w:val="nil"/>
              <w:right w:val="nil"/>
            </w:tcBorders>
            <w:shd w:val="clear" w:color="auto" w:fill="F2F2F2"/>
          </w:tcPr>
          <w:p w14:paraId="500C13D0" w14:textId="77777777" w:rsidR="002E5AE6" w:rsidRDefault="002E5AE6" w:rsidP="002E5AE6">
            <w:pPr>
              <w:tabs>
                <w:tab w:val="right" w:leader="dot" w:pos="8789"/>
              </w:tabs>
              <w:spacing w:line="240" w:lineRule="atLeast"/>
              <w:rPr>
                <w:rFonts w:ascii="Times New Roman" w:hAnsi="Times New Roman"/>
                <w:color w:val="000000"/>
                <w:sz w:val="24"/>
              </w:rPr>
            </w:pPr>
            <w:r>
              <w:rPr>
                <w:rFonts w:ascii="Times New Roman" w:hAnsi="Times New Roman"/>
                <w:color w:val="000000"/>
                <w:sz w:val="24"/>
              </w:rPr>
              <w:tab/>
            </w:r>
          </w:p>
          <w:p w14:paraId="1CFE6B78" w14:textId="77777777" w:rsidR="002E5AE6" w:rsidRDefault="002E5AE6" w:rsidP="002E5AE6">
            <w:pPr>
              <w:tabs>
                <w:tab w:val="right" w:leader="dot" w:pos="8789"/>
              </w:tabs>
              <w:spacing w:line="240" w:lineRule="atLeast"/>
              <w:rPr>
                <w:rFonts w:ascii="Times New Roman" w:hAnsi="Times New Roman"/>
                <w:color w:val="000000"/>
                <w:sz w:val="24"/>
              </w:rPr>
            </w:pPr>
            <w:r>
              <w:rPr>
                <w:rFonts w:ascii="Times New Roman" w:hAnsi="Times New Roman"/>
                <w:color w:val="000000"/>
                <w:sz w:val="24"/>
              </w:rPr>
              <w:tab/>
            </w:r>
          </w:p>
          <w:p w14:paraId="2BFB70E5" w14:textId="77777777" w:rsidR="002E5AE6" w:rsidRDefault="002E5AE6" w:rsidP="002E5AE6">
            <w:pPr>
              <w:tabs>
                <w:tab w:val="right" w:leader="dot" w:pos="8789"/>
              </w:tabs>
              <w:spacing w:line="240" w:lineRule="atLeast"/>
              <w:rPr>
                <w:rFonts w:ascii="Times New Roman" w:hAnsi="Times New Roman"/>
                <w:color w:val="000000"/>
                <w:sz w:val="24"/>
              </w:rPr>
            </w:pPr>
            <w:r>
              <w:rPr>
                <w:rFonts w:ascii="Times New Roman" w:hAnsi="Times New Roman"/>
                <w:color w:val="000000"/>
                <w:sz w:val="24"/>
              </w:rPr>
              <w:tab/>
            </w:r>
          </w:p>
          <w:p w14:paraId="3F071C66" w14:textId="7470F1DC" w:rsidR="001011F9" w:rsidRPr="00F83272" w:rsidRDefault="001011F9" w:rsidP="002E5AE6">
            <w:pPr>
              <w:tabs>
                <w:tab w:val="right" w:leader="dot" w:pos="878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bl>
    <w:p w14:paraId="4374E4B0" w14:textId="77777777" w:rsidR="001011F9" w:rsidRPr="00F83272" w:rsidRDefault="001011F9" w:rsidP="002E5AE6">
      <w:pPr>
        <w:tabs>
          <w:tab w:val="right" w:leader="dot" w:pos="8789"/>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70" w:type="dxa"/>
          <w:right w:w="47" w:type="dxa"/>
        </w:tblCellMar>
        <w:tblLook w:val="04A0" w:firstRow="1" w:lastRow="0" w:firstColumn="1" w:lastColumn="0" w:noHBand="0" w:noVBand="1"/>
      </w:tblPr>
      <w:tblGrid>
        <w:gridCol w:w="9072"/>
      </w:tblGrid>
      <w:tr w:rsidR="001011F9" w:rsidRPr="00F83272" w14:paraId="2B4E8DB5" w14:textId="77777777" w:rsidTr="0056426D">
        <w:trPr>
          <w:trHeight w:val="706"/>
        </w:trPr>
        <w:tc>
          <w:tcPr>
            <w:tcW w:w="5000" w:type="pct"/>
            <w:tcBorders>
              <w:top w:val="nil"/>
              <w:left w:val="nil"/>
              <w:bottom w:val="single" w:sz="17" w:space="0" w:color="FFFFFF"/>
              <w:right w:val="nil"/>
            </w:tcBorders>
            <w:shd w:val="clear" w:color="auto" w:fill="CCCCCC"/>
          </w:tcPr>
          <w:p w14:paraId="7676169D" w14:textId="77777777" w:rsidR="001011F9" w:rsidRPr="00F83272" w:rsidRDefault="001011F9" w:rsidP="002E5AE6">
            <w:pPr>
              <w:tabs>
                <w:tab w:val="right" w:leader="dot" w:pos="8789"/>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Modalitäten der sozialen Energieberatung  </w:t>
            </w:r>
          </w:p>
        </w:tc>
      </w:tr>
      <w:tr w:rsidR="001011F9" w:rsidRPr="00F83272" w14:paraId="7D0C76AF" w14:textId="77777777" w:rsidTr="0056426D">
        <w:trPr>
          <w:trHeight w:val="2047"/>
        </w:trPr>
        <w:tc>
          <w:tcPr>
            <w:tcW w:w="5000" w:type="pct"/>
            <w:tcBorders>
              <w:top w:val="single" w:sz="17" w:space="0" w:color="FFFFFF"/>
              <w:left w:val="nil"/>
              <w:bottom w:val="nil"/>
              <w:right w:val="nil"/>
            </w:tcBorders>
            <w:shd w:val="clear" w:color="auto" w:fill="F2F2F2"/>
          </w:tcPr>
          <w:p w14:paraId="7F9F1837" w14:textId="77777777" w:rsidR="001011F9" w:rsidRPr="00F83272" w:rsidRDefault="001011F9" w:rsidP="002E5AE6">
            <w:pPr>
              <w:numPr>
                <w:ilvl w:val="0"/>
                <w:numId w:val="8"/>
              </w:numPr>
              <w:tabs>
                <w:tab w:val="left" w:pos="300"/>
                <w:tab w:val="right" w:leader="dot" w:pos="8789"/>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Der Kunde hat bereits eine soziale Energieberatung in Anspruch genommen</w:t>
            </w:r>
            <w:r w:rsidRPr="00F83272">
              <w:rPr>
                <w:rFonts w:ascii="Times New Roman" w:hAnsi="Times New Roman"/>
                <w:b/>
                <w:color w:val="000000"/>
                <w:sz w:val="24"/>
                <w:szCs w:val="24"/>
              </w:rPr>
              <w:t xml:space="preserve"> </w:t>
            </w:r>
          </w:p>
          <w:p w14:paraId="1570F06B" w14:textId="77777777" w:rsidR="001011F9" w:rsidRPr="00F83272" w:rsidRDefault="001011F9" w:rsidP="002E5AE6">
            <w:pPr>
              <w:tabs>
                <w:tab w:val="right" w:leader="dot" w:pos="8789"/>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8C3E4DB" w14:textId="5F41A85E" w:rsidR="001011F9" w:rsidRDefault="002E5AE6" w:rsidP="002E5AE6">
            <w:pPr>
              <w:tabs>
                <w:tab w:val="right" w:leader="dot" w:pos="8789"/>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p>
          <w:p w14:paraId="117FFA43" w14:textId="75B0A1A5" w:rsidR="002E5AE6" w:rsidRDefault="002E5AE6" w:rsidP="002E5AE6">
            <w:pPr>
              <w:tabs>
                <w:tab w:val="right" w:leader="dot" w:pos="8789"/>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p>
          <w:p w14:paraId="7F0836F2" w14:textId="77777777" w:rsidR="002E5AE6" w:rsidRPr="00F83272" w:rsidRDefault="002E5AE6" w:rsidP="002E5AE6">
            <w:pPr>
              <w:tabs>
                <w:tab w:val="right" w:leader="dot" w:pos="8789"/>
              </w:tabs>
              <w:spacing w:line="240" w:lineRule="atLeast"/>
              <w:rPr>
                <w:rFonts w:ascii="Times New Roman" w:eastAsia="Calibri" w:hAnsi="Times New Roman" w:cs="Times New Roman"/>
                <w:color w:val="000000"/>
                <w:sz w:val="24"/>
                <w:szCs w:val="24"/>
              </w:rPr>
            </w:pPr>
          </w:p>
          <w:p w14:paraId="7E2F70EF" w14:textId="77777777" w:rsidR="001011F9" w:rsidRPr="00F83272" w:rsidRDefault="001011F9" w:rsidP="002E5AE6">
            <w:pPr>
              <w:numPr>
                <w:ilvl w:val="0"/>
                <w:numId w:val="8"/>
              </w:numPr>
              <w:tabs>
                <w:tab w:val="left" w:pos="300"/>
                <w:tab w:val="right" w:leader="dot" w:pos="8789"/>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Der Kunde hat keine soziale Energieberatung in Anspruch genommen. In diesem Fall informiert ihn das ÖSHZ im Rahmen dieser Sitzung der lokalen Energiekommission darüber, dass er eine soziale Energieberatung beantragen kann.  </w:t>
            </w:r>
          </w:p>
        </w:tc>
      </w:tr>
    </w:tbl>
    <w:p w14:paraId="62320D23" w14:textId="77777777" w:rsidR="001011F9" w:rsidRPr="00F83272" w:rsidRDefault="001011F9" w:rsidP="002E5AE6">
      <w:pPr>
        <w:shd w:val="clear" w:color="auto" w:fill="F2F2F2"/>
        <w:tabs>
          <w:tab w:val="right" w:leader="dot" w:pos="8789"/>
        </w:tabs>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60244684" w14:textId="637F094C" w:rsidR="001011F9" w:rsidRDefault="001011F9" w:rsidP="002E5AE6">
      <w:pPr>
        <w:shd w:val="clear" w:color="auto" w:fill="F2F2F2"/>
        <w:tabs>
          <w:tab w:val="right" w:leader="dot" w:pos="8789"/>
        </w:tabs>
        <w:spacing w:after="0" w:line="240" w:lineRule="atLeast"/>
        <w:rPr>
          <w:rFonts w:ascii="Times New Roman" w:hAnsi="Times New Roman"/>
          <w:color w:val="000000"/>
          <w:sz w:val="24"/>
        </w:rPr>
      </w:pPr>
      <w:r>
        <w:rPr>
          <w:rFonts w:ascii="Times New Roman" w:hAnsi="Times New Roman"/>
          <w:color w:val="000000"/>
          <w:sz w:val="24"/>
        </w:rPr>
        <w:t xml:space="preserve"> </w:t>
      </w:r>
      <w:r w:rsidR="002E5AE6">
        <w:rPr>
          <w:rFonts w:ascii="Times New Roman" w:hAnsi="Times New Roman"/>
          <w:color w:val="000000"/>
          <w:sz w:val="24"/>
        </w:rPr>
        <w:tab/>
      </w:r>
    </w:p>
    <w:p w14:paraId="2C5A3C12" w14:textId="1CBF468C" w:rsidR="002E5AE6" w:rsidRPr="00F83272" w:rsidRDefault="002E5AE6" w:rsidP="002E5AE6">
      <w:pPr>
        <w:shd w:val="clear" w:color="auto" w:fill="F2F2F2"/>
        <w:tabs>
          <w:tab w:val="right" w:leader="dot" w:pos="8789"/>
        </w:tabs>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ab/>
      </w:r>
    </w:p>
    <w:p w14:paraId="6AB21795" w14:textId="77777777" w:rsidR="001011F9" w:rsidRPr="00F83272" w:rsidRDefault="001011F9" w:rsidP="001011F9">
      <w:pPr>
        <w:shd w:val="clear" w:color="auto" w:fill="F2F2F2"/>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4D3FA2F8"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D5BD6E4"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1011F9" w:rsidRPr="00F83272" w14:paraId="1852D636" w14:textId="77777777" w:rsidTr="0056426D">
        <w:trPr>
          <w:trHeight w:val="528"/>
        </w:trPr>
        <w:tc>
          <w:tcPr>
            <w:tcW w:w="5000" w:type="pct"/>
            <w:tcBorders>
              <w:top w:val="nil"/>
              <w:left w:val="nil"/>
              <w:bottom w:val="single" w:sz="17" w:space="0" w:color="FFFFFF"/>
              <w:right w:val="nil"/>
            </w:tcBorders>
            <w:shd w:val="clear" w:color="auto" w:fill="CCCCCC"/>
          </w:tcPr>
          <w:p w14:paraId="674FB7A7"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Unterschrift der Kommissionsmitglieder </w:t>
            </w:r>
          </w:p>
          <w:p w14:paraId="78455ECD"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1011F9" w:rsidRPr="00F83272" w14:paraId="1C522D59" w14:textId="77777777" w:rsidTr="0056426D">
        <w:trPr>
          <w:trHeight w:val="1057"/>
        </w:trPr>
        <w:tc>
          <w:tcPr>
            <w:tcW w:w="5000" w:type="pct"/>
            <w:tcBorders>
              <w:top w:val="single" w:sz="17" w:space="0" w:color="FFFFFF"/>
              <w:left w:val="nil"/>
              <w:bottom w:val="single" w:sz="2" w:space="0" w:color="EDEDED"/>
              <w:right w:val="nil"/>
            </w:tcBorders>
            <w:shd w:val="clear" w:color="auto" w:fill="F2F2F2"/>
          </w:tcPr>
          <w:p w14:paraId="3CF09349"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Unterschrift des Präsidenten, vom Sozialhilferat ernannter Vertreter </w:t>
            </w:r>
          </w:p>
          <w:p w14:paraId="744F1DCD"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A3729DA"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514D44B8"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56D8E634" w14:textId="77777777" w:rsidTr="0056426D">
        <w:trPr>
          <w:trHeight w:val="1034"/>
        </w:trPr>
        <w:tc>
          <w:tcPr>
            <w:tcW w:w="5000" w:type="pct"/>
            <w:tcBorders>
              <w:top w:val="single" w:sz="2" w:space="0" w:color="EDEDED"/>
              <w:left w:val="nil"/>
              <w:bottom w:val="nil"/>
              <w:right w:val="nil"/>
            </w:tcBorders>
            <w:shd w:val="clear" w:color="auto" w:fill="EDEDED"/>
          </w:tcPr>
          <w:p w14:paraId="17A27565"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lastRenderedPageBreak/>
              <w:t xml:space="preserve">Unterschrift der Person, die im ÖSHZ für die soziale Energieberatung zuständig ist </w:t>
            </w:r>
          </w:p>
          <w:p w14:paraId="4E7E50CC"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5EEE8949"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001593EF"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74FA8053" w14:textId="77777777" w:rsidTr="0056426D">
        <w:trPr>
          <w:trHeight w:val="1725"/>
        </w:trPr>
        <w:tc>
          <w:tcPr>
            <w:tcW w:w="5000" w:type="pct"/>
            <w:tcBorders>
              <w:top w:val="single" w:sz="2" w:space="0" w:color="EDEDED"/>
              <w:left w:val="nil"/>
              <w:bottom w:val="single" w:sz="2" w:space="0" w:color="EDEDED"/>
              <w:right w:val="nil"/>
            </w:tcBorders>
            <w:shd w:val="clear" w:color="auto" w:fill="EDEDED"/>
          </w:tcPr>
          <w:p w14:paraId="5A044370"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Unterschrift des Vertreters des sozialen Versorgers </w:t>
            </w:r>
          </w:p>
          <w:p w14:paraId="709C1266"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E7AD6C8"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Die betroffene Person bestätigt, dass sie eine Kopie dieser Entscheidung erhalten hat, was als Benachrichtigung gilt  </w:t>
            </w:r>
          </w:p>
          <w:p w14:paraId="398E76B8"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96D564C"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62947933"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1011F9" w:rsidRPr="00F83272" w14:paraId="7E863D03" w14:textId="77777777" w:rsidTr="0056426D">
        <w:trPr>
          <w:trHeight w:val="1724"/>
        </w:trPr>
        <w:tc>
          <w:tcPr>
            <w:tcW w:w="5000" w:type="pct"/>
            <w:tcBorders>
              <w:top w:val="single" w:sz="2" w:space="0" w:color="EDEDED"/>
              <w:left w:val="nil"/>
              <w:bottom w:val="nil"/>
              <w:right w:val="nil"/>
            </w:tcBorders>
            <w:shd w:val="clear" w:color="auto" w:fill="EDEDED"/>
          </w:tcPr>
          <w:p w14:paraId="4919F872"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Unterschrift der Kundin/des Kunden oder der Person, die sie/ihn vertritt</w:t>
            </w:r>
            <w:r w:rsidRPr="00F83272">
              <w:rPr>
                <w:rStyle w:val="Appelnotedebasdep"/>
                <w:rFonts w:ascii="Times New Roman" w:hAnsi="Times New Roman"/>
                <w:color w:val="000000"/>
                <w:sz w:val="24"/>
                <w:szCs w:val="24"/>
              </w:rPr>
              <w:footnoteReference w:id="1"/>
            </w:r>
          </w:p>
          <w:p w14:paraId="045D16D8"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0241FF64"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Die betroffene Person bestätigt, dass sie eine Kopie dieser Entscheidung erhalten hat, was als Benachrichtigung gilt (Nichtzutreffendes bitte streichen) </w:t>
            </w:r>
          </w:p>
          <w:p w14:paraId="38EF452B"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4E3D520C"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1817585" w14:textId="77777777" w:rsidR="001011F9" w:rsidRPr="00F83272" w:rsidRDefault="001011F9"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bl>
    <w:p w14:paraId="7EDFAA26"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p>
    <w:p w14:paraId="658F82FE"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4DA1289C"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Die Sitzung dieser lokalen Energiekommission erfolgt gemäß: </w:t>
      </w:r>
    </w:p>
    <w:p w14:paraId="3A9FB673" w14:textId="77777777" w:rsidR="001011F9" w:rsidRPr="002E5AE6" w:rsidRDefault="001011F9" w:rsidP="0093263B">
      <w:pPr>
        <w:pStyle w:val="Paragraphedeliste"/>
        <w:numPr>
          <w:ilvl w:val="0"/>
          <w:numId w:val="10"/>
        </w:numPr>
        <w:spacing w:after="0" w:line="240" w:lineRule="atLeast"/>
        <w:ind w:left="426"/>
        <w:rPr>
          <w:rFonts w:ascii="Times New Roman" w:eastAsia="Calibri" w:hAnsi="Times New Roman" w:cs="Times New Roman"/>
          <w:color w:val="000000"/>
          <w:sz w:val="24"/>
          <w:szCs w:val="24"/>
        </w:rPr>
      </w:pPr>
      <w:r w:rsidRPr="002E5AE6">
        <w:rPr>
          <w:rFonts w:ascii="Times New Roman" w:hAnsi="Times New Roman"/>
          <w:color w:val="000000"/>
          <w:sz w:val="24"/>
        </w:rPr>
        <w:t xml:space="preserve">Artikel </w:t>
      </w:r>
      <w:r w:rsidRPr="002E5AE6">
        <w:rPr>
          <w:rFonts w:ascii="Times New Roman" w:hAnsi="Times New Roman"/>
          <w:i/>
          <w:color w:val="000000"/>
          <w:sz w:val="24"/>
          <w:szCs w:val="24"/>
        </w:rPr>
        <w:t>33ter</w:t>
      </w:r>
      <w:r w:rsidRPr="002E5AE6">
        <w:rPr>
          <w:rFonts w:ascii="Times New Roman" w:hAnsi="Times New Roman"/>
          <w:color w:val="000000"/>
          <w:sz w:val="24"/>
        </w:rPr>
        <w:t xml:space="preserve">, Absatz 2, 1° des Dekrets vom 12. April 2001 über die Organisation des regionalen Elektrizitätsmarktes; </w:t>
      </w:r>
    </w:p>
    <w:p w14:paraId="1C272216" w14:textId="77777777" w:rsidR="001011F9" w:rsidRPr="002E5AE6" w:rsidRDefault="001011F9" w:rsidP="0093263B">
      <w:pPr>
        <w:pStyle w:val="Paragraphedeliste"/>
        <w:numPr>
          <w:ilvl w:val="0"/>
          <w:numId w:val="10"/>
        </w:numPr>
        <w:spacing w:after="0" w:line="240" w:lineRule="atLeast"/>
        <w:ind w:left="426"/>
        <w:rPr>
          <w:rFonts w:ascii="Times New Roman" w:eastAsia="Calibri" w:hAnsi="Times New Roman" w:cs="Times New Roman"/>
          <w:color w:val="000000"/>
          <w:sz w:val="24"/>
          <w:szCs w:val="24"/>
        </w:rPr>
      </w:pPr>
      <w:r w:rsidRPr="002E5AE6">
        <w:rPr>
          <w:rFonts w:ascii="Times New Roman" w:hAnsi="Times New Roman"/>
          <w:color w:val="000000"/>
          <w:sz w:val="24"/>
        </w:rPr>
        <w:t xml:space="preserve">Artikel 38 und 39 des Erlasses der Wallonischen Regierung vom 30. März 2006 über die gemeinwirtschaftlichen Verpflichtungen auf dem Elektrizitätsmarkt (AGW OSP ELECTRICITE); </w:t>
      </w:r>
    </w:p>
    <w:p w14:paraId="24536456" w14:textId="77777777" w:rsidR="001011F9" w:rsidRPr="002E5AE6" w:rsidRDefault="001011F9" w:rsidP="0093263B">
      <w:pPr>
        <w:pStyle w:val="Paragraphedeliste"/>
        <w:numPr>
          <w:ilvl w:val="0"/>
          <w:numId w:val="10"/>
        </w:numPr>
        <w:spacing w:after="0" w:line="240" w:lineRule="atLeast"/>
        <w:ind w:left="426"/>
        <w:rPr>
          <w:rFonts w:ascii="Times New Roman" w:eastAsia="Calibri" w:hAnsi="Times New Roman" w:cs="Times New Roman"/>
          <w:color w:val="000000"/>
          <w:sz w:val="24"/>
          <w:szCs w:val="24"/>
        </w:rPr>
      </w:pPr>
      <w:r w:rsidRPr="002E5AE6">
        <w:rPr>
          <w:rFonts w:ascii="Times New Roman" w:hAnsi="Times New Roman"/>
          <w:color w:val="000000"/>
          <w:sz w:val="24"/>
        </w:rPr>
        <w:t xml:space="preserve">Artikel 4, Abs. 1, 1° des Erlasses der Wallonischen Regierung vom 17. Juli 2003 über die lokale Energiekommission (AGW CLE). </w:t>
      </w:r>
    </w:p>
    <w:p w14:paraId="2E3CEF84" w14:textId="77777777" w:rsidR="001011F9" w:rsidRPr="00F83272" w:rsidRDefault="001011F9" w:rsidP="001011F9">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72BD5E3C" w14:textId="77777777" w:rsidR="001011F9" w:rsidRPr="00F83272" w:rsidRDefault="001011F9" w:rsidP="001011F9">
      <w:pPr>
        <w:spacing w:after="0" w:line="240" w:lineRule="atLeast"/>
        <w:rPr>
          <w:rFonts w:ascii="Times New Roman" w:eastAsia="Arial" w:hAnsi="Times New Roman" w:cs="Times New Roman"/>
          <w:i/>
          <w:color w:val="000000"/>
          <w:sz w:val="24"/>
          <w:szCs w:val="24"/>
        </w:rPr>
      </w:pPr>
      <w:r>
        <w:rPr>
          <w:rFonts w:ascii="Times New Roman" w:hAnsi="Times New Roman"/>
          <w:i/>
          <w:color w:val="000000"/>
          <w:sz w:val="24"/>
        </w:rPr>
        <w:t xml:space="preserve">Im Falle einer Anfechtung dieser Entscheidung kann gemäß Artikel 33ter, Absatz 6 des Dekrets vom 12. April 2001 über die Organisation des regionalen Elektrizitätsmarktes eine Klage gegen diese Entscheidung beim Friedensrichter des Anschlussortes des betroffenen Kunden eingereicht werden. </w:t>
      </w:r>
    </w:p>
    <w:p w14:paraId="2D630CDD" w14:textId="77777777" w:rsidR="00F01C42" w:rsidRDefault="00F01C42"/>
    <w:sectPr w:rsidR="00F01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4FFA" w14:textId="77777777" w:rsidR="001011F9" w:rsidRDefault="001011F9" w:rsidP="001011F9">
      <w:pPr>
        <w:spacing w:after="0" w:line="240" w:lineRule="auto"/>
      </w:pPr>
      <w:r>
        <w:separator/>
      </w:r>
    </w:p>
  </w:endnote>
  <w:endnote w:type="continuationSeparator" w:id="0">
    <w:p w14:paraId="092A2EE6" w14:textId="77777777" w:rsidR="001011F9" w:rsidRDefault="001011F9" w:rsidP="0010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4D79" w14:textId="77777777" w:rsidR="001011F9" w:rsidRDefault="001011F9" w:rsidP="001011F9">
      <w:pPr>
        <w:spacing w:after="0" w:line="240" w:lineRule="auto"/>
      </w:pPr>
      <w:r>
        <w:separator/>
      </w:r>
    </w:p>
  </w:footnote>
  <w:footnote w:type="continuationSeparator" w:id="0">
    <w:p w14:paraId="591C1A8D" w14:textId="77777777" w:rsidR="001011F9" w:rsidRDefault="001011F9" w:rsidP="001011F9">
      <w:pPr>
        <w:spacing w:after="0" w:line="240" w:lineRule="auto"/>
      </w:pPr>
      <w:r>
        <w:continuationSeparator/>
      </w:r>
    </w:p>
  </w:footnote>
  <w:footnote w:id="1">
    <w:p w14:paraId="65D52858" w14:textId="77777777" w:rsidR="001011F9" w:rsidRDefault="001011F9" w:rsidP="001011F9">
      <w:pPr>
        <w:pStyle w:val="Notedebasdepage"/>
        <w:jc w:val="both"/>
      </w:pPr>
      <w:r>
        <w:rPr>
          <w:rStyle w:val="Appelnotedebasdep"/>
        </w:rPr>
        <w:footnoteRef/>
      </w:r>
      <w:r>
        <w:t xml:space="preserve"> Die betroffene Person bestätigt, dass sie den Zweck der Verarbeitung der mitgeteilten Daten verstanden hat und gibt ihre Zustimmung zur Verwendung der Daten durch die Mitglieder der lokalen Energiekommission und im strikten Rahmen dieses Zwecks. Gemäß den Bestimmungen der Verordnung (EU) 2016/679 zum Schutz natürlicher Personen bei der Verarbeitung personenbezogener Daten und zum freien Datenverkehr hat die betroffene Person jederzeit das Recht, der Verarbeitung zu widersprechen und die Änderung oder Löschung ihrer personenbezogenen Daten zu verlangen.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90"/>
    <w:multiLevelType w:val="hybridMultilevel"/>
    <w:tmpl w:val="2E304B74"/>
    <w:lvl w:ilvl="0" w:tplc="1D72166C">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EF68">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C4CE1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A026C2">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14C152">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4E33A">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04634A">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09CC">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AA086">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40981"/>
    <w:multiLevelType w:val="hybridMultilevel"/>
    <w:tmpl w:val="AE52EB56"/>
    <w:lvl w:ilvl="0" w:tplc="EA3A5D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523722">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086B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8D5C2">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6EF6B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12B618">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C8543E">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D2DB92">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81BE0">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01193"/>
    <w:multiLevelType w:val="hybridMultilevel"/>
    <w:tmpl w:val="F23ED0E0"/>
    <w:lvl w:ilvl="0" w:tplc="DD62A3A0">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8D97A">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E7BC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888E44">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48C4FC">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A7374">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F638AC">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BA4">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F27C98">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8130C0"/>
    <w:multiLevelType w:val="hybridMultilevel"/>
    <w:tmpl w:val="AED21D72"/>
    <w:lvl w:ilvl="0" w:tplc="788891E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4D7923"/>
    <w:multiLevelType w:val="hybridMultilevel"/>
    <w:tmpl w:val="FD0C48EA"/>
    <w:lvl w:ilvl="0" w:tplc="C4D46E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982B6C">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E3CF4">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508644">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C35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FAB6EA">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F02012">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6A649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D025AC">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F74379"/>
    <w:multiLevelType w:val="hybridMultilevel"/>
    <w:tmpl w:val="754A3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6547FA"/>
    <w:multiLevelType w:val="hybridMultilevel"/>
    <w:tmpl w:val="2BF84E82"/>
    <w:lvl w:ilvl="0" w:tplc="3B3267A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28010">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87BF0">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AF6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B722">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92A">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D4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0647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045ADF"/>
    <w:multiLevelType w:val="hybridMultilevel"/>
    <w:tmpl w:val="DF80B928"/>
    <w:lvl w:ilvl="0" w:tplc="DBDAE3AA">
      <w:start w:val="1"/>
      <w:numFmt w:val="bullet"/>
      <w:lvlText w:val="•"/>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D72">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830FC">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C78D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88DE">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CA0B6">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81966">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F72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077F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BE00F9"/>
    <w:multiLevelType w:val="hybridMultilevel"/>
    <w:tmpl w:val="0DD0612C"/>
    <w:lvl w:ilvl="0" w:tplc="296EE33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BA1D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8EC1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7C96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9EAD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4C89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4DA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74D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2066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90985599">
    <w:abstractNumId w:val="9"/>
  </w:num>
  <w:num w:numId="2" w16cid:durableId="675769193">
    <w:abstractNumId w:val="4"/>
  </w:num>
  <w:num w:numId="3" w16cid:durableId="1736926857">
    <w:abstractNumId w:val="0"/>
  </w:num>
  <w:num w:numId="4" w16cid:durableId="1516459504">
    <w:abstractNumId w:val="2"/>
  </w:num>
  <w:num w:numId="5" w16cid:durableId="352615566">
    <w:abstractNumId w:val="1"/>
  </w:num>
  <w:num w:numId="6" w16cid:durableId="866673045">
    <w:abstractNumId w:val="7"/>
  </w:num>
  <w:num w:numId="7" w16cid:durableId="1734962610">
    <w:abstractNumId w:val="8"/>
  </w:num>
  <w:num w:numId="8" w16cid:durableId="449279252">
    <w:abstractNumId w:val="5"/>
  </w:num>
  <w:num w:numId="9" w16cid:durableId="701441527">
    <w:abstractNumId w:val="6"/>
  </w:num>
  <w:num w:numId="10" w16cid:durableId="1680738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9"/>
    <w:rsid w:val="001011F9"/>
    <w:rsid w:val="001F1C99"/>
    <w:rsid w:val="00223FD4"/>
    <w:rsid w:val="002E5AE6"/>
    <w:rsid w:val="0093263B"/>
    <w:rsid w:val="00A008B3"/>
    <w:rsid w:val="00A36750"/>
    <w:rsid w:val="00BB5ECA"/>
    <w:rsid w:val="00F01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30B0"/>
  <w15:chartTrackingRefBased/>
  <w15:docId w15:val="{B24514C2-36EA-4D67-B63B-22E4B126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F9"/>
    <w:rPr>
      <w:kern w:val="0"/>
      <w:lang w:val="de-D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1011F9"/>
    <w:pPr>
      <w:spacing w:after="0" w:line="240" w:lineRule="auto"/>
    </w:pPr>
    <w:rPr>
      <w:rFonts w:eastAsiaTheme="minorEastAsia"/>
      <w:kern w:val="0"/>
      <w:lang w:val="de-DE" w:eastAsia="fr-BE"/>
      <w14:ligatures w14:val="none"/>
    </w:r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1011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11F9"/>
    <w:rPr>
      <w:kern w:val="0"/>
      <w:sz w:val="20"/>
      <w:szCs w:val="20"/>
      <w:lang w:val="de-DE"/>
      <w14:ligatures w14:val="none"/>
    </w:rPr>
  </w:style>
  <w:style w:type="character" w:styleId="Appelnotedebasdep">
    <w:name w:val="footnote reference"/>
    <w:basedOn w:val="Policepardfaut"/>
    <w:uiPriority w:val="99"/>
    <w:semiHidden/>
    <w:unhideWhenUsed/>
    <w:rsid w:val="001011F9"/>
    <w:rPr>
      <w:vertAlign w:val="superscript"/>
    </w:rPr>
  </w:style>
  <w:style w:type="paragraph" w:styleId="Paragraphedeliste">
    <w:name w:val="List Paragraph"/>
    <w:basedOn w:val="Normal"/>
    <w:uiPriority w:val="34"/>
    <w:qFormat/>
    <w:rsid w:val="002E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943</Words>
  <Characters>5189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Moer</dc:creator>
  <cp:keywords/>
  <dc:description/>
  <cp:lastModifiedBy>Manon Van Moer</cp:lastModifiedBy>
  <cp:revision>3</cp:revision>
  <dcterms:created xsi:type="dcterms:W3CDTF">2024-01-17T06:04:00Z</dcterms:created>
  <dcterms:modified xsi:type="dcterms:W3CDTF">2024-01-17T07:32:00Z</dcterms:modified>
</cp:coreProperties>
</file>