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F593" w14:textId="77777777" w:rsidR="00D12B6F" w:rsidRDefault="00D12B6F" w:rsidP="00D12B6F">
      <w:pPr>
        <w:autoSpaceDE w:val="0"/>
        <w:autoSpaceDN w:val="0"/>
        <w:adjustRightInd w:val="0"/>
        <w:spacing w:line="240" w:lineRule="exact"/>
        <w:rPr>
          <w:rFonts w:ascii="Arial" w:hAnsi="Arial"/>
          <w:sz w:val="20"/>
        </w:rPr>
      </w:pPr>
    </w:p>
    <w:p w14:paraId="78D0D3DA" w14:textId="77777777" w:rsidR="001B2348" w:rsidRDefault="001B2348" w:rsidP="00D12B6F">
      <w:pPr>
        <w:autoSpaceDE w:val="0"/>
        <w:autoSpaceDN w:val="0"/>
        <w:adjustRightInd w:val="0"/>
        <w:spacing w:line="240" w:lineRule="exact"/>
        <w:rPr>
          <w:rFonts w:ascii="Arial" w:hAnsi="Arial"/>
          <w:sz w:val="20"/>
        </w:rPr>
      </w:pPr>
    </w:p>
    <w:p w14:paraId="7E5C4F06" w14:textId="77777777" w:rsidR="00982FEC" w:rsidRDefault="00982FEC" w:rsidP="00D12B6F">
      <w:pPr>
        <w:autoSpaceDE w:val="0"/>
        <w:autoSpaceDN w:val="0"/>
        <w:adjustRightInd w:val="0"/>
        <w:spacing w:line="240" w:lineRule="exact"/>
        <w:rPr>
          <w:rFonts w:ascii="Arial" w:hAnsi="Arial"/>
          <w:sz w:val="20"/>
        </w:rPr>
      </w:pPr>
    </w:p>
    <w:p w14:paraId="36508AB2" w14:textId="77777777" w:rsidR="00A3652D" w:rsidRDefault="00A3652D" w:rsidP="00D12B6F">
      <w:pPr>
        <w:autoSpaceDE w:val="0"/>
        <w:autoSpaceDN w:val="0"/>
        <w:adjustRightInd w:val="0"/>
        <w:spacing w:line="240" w:lineRule="exact"/>
        <w:rPr>
          <w:rFonts w:ascii="Arial" w:hAnsi="Arial"/>
          <w:sz w:val="20"/>
        </w:rPr>
      </w:pPr>
    </w:p>
    <w:p w14:paraId="4AE5AFB2" w14:textId="77777777" w:rsidR="001B2348" w:rsidRPr="001B2348" w:rsidRDefault="001B2348" w:rsidP="00831E4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b/>
          <w:sz w:val="28"/>
          <w:szCs w:val="28"/>
        </w:rPr>
      </w:pPr>
    </w:p>
    <w:p w14:paraId="633F6195" w14:textId="35AF2A0D" w:rsidR="00A3652D" w:rsidRDefault="00A3652D" w:rsidP="00831E4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b/>
          <w:sz w:val="28"/>
          <w:szCs w:val="28"/>
        </w:rPr>
      </w:pPr>
      <w:r>
        <w:rPr>
          <w:rFonts w:ascii="Arial" w:hAnsi="Arial"/>
          <w:b/>
          <w:sz w:val="28"/>
          <w:szCs w:val="28"/>
        </w:rPr>
        <w:t>Logement public en Wallonie</w:t>
      </w:r>
      <w:r w:rsidR="007352DF">
        <w:rPr>
          <w:rFonts w:ascii="Arial" w:hAnsi="Arial"/>
          <w:b/>
          <w:sz w:val="28"/>
          <w:szCs w:val="28"/>
        </w:rPr>
        <w:t xml:space="preserve"> - </w:t>
      </w:r>
      <w:r>
        <w:rPr>
          <w:rFonts w:ascii="Arial" w:hAnsi="Arial"/>
          <w:b/>
          <w:sz w:val="28"/>
          <w:szCs w:val="28"/>
        </w:rPr>
        <w:t>Quelques chiffres-clés</w:t>
      </w:r>
    </w:p>
    <w:p w14:paraId="118F8A71" w14:textId="77777777" w:rsidR="00A3652D" w:rsidRDefault="00A3652D" w:rsidP="00831E4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b/>
          <w:sz w:val="28"/>
          <w:szCs w:val="28"/>
        </w:rPr>
      </w:pPr>
    </w:p>
    <w:p w14:paraId="4ABEC773" w14:textId="77777777" w:rsidR="00A3652D" w:rsidRDefault="00A3652D" w:rsidP="00A3652D">
      <w:pPr>
        <w:rPr>
          <w:b/>
        </w:rPr>
      </w:pPr>
    </w:p>
    <w:p w14:paraId="2555C226" w14:textId="2738BE11" w:rsidR="00A3652D" w:rsidRPr="00240A02" w:rsidRDefault="00A3652D" w:rsidP="007352DF">
      <w:pPr>
        <w:pStyle w:val="Paragraphedeliste"/>
        <w:spacing w:before="120" w:after="120"/>
        <w:ind w:left="0"/>
        <w:jc w:val="both"/>
      </w:pPr>
      <w:r w:rsidRPr="00240A02">
        <w:rPr>
          <w:b/>
        </w:rPr>
        <w:t>6</w:t>
      </w:r>
      <w:r w:rsidR="0012349A" w:rsidRPr="00240A02">
        <w:rPr>
          <w:b/>
        </w:rPr>
        <w:t>3</w:t>
      </w:r>
      <w:r w:rsidRPr="00240A02">
        <w:rPr>
          <w:b/>
        </w:rPr>
        <w:t xml:space="preserve"> </w:t>
      </w:r>
      <w:r w:rsidRPr="00240A02">
        <w:t xml:space="preserve">sociétés de logement de service public (SLSP) en Wallonie </w:t>
      </w:r>
      <w:r w:rsidR="0012349A" w:rsidRPr="00240A02">
        <w:t>(dont 1 pour la Communauté germanophone)</w:t>
      </w:r>
    </w:p>
    <w:p w14:paraId="6605E160" w14:textId="77777777" w:rsidR="00A3652D" w:rsidRPr="00240A02" w:rsidRDefault="00A3652D" w:rsidP="007352DF">
      <w:pPr>
        <w:pStyle w:val="Paragraphedeliste"/>
        <w:spacing w:before="120" w:after="120"/>
        <w:ind w:left="0"/>
        <w:jc w:val="both"/>
        <w:rPr>
          <w:b/>
        </w:rPr>
      </w:pPr>
    </w:p>
    <w:p w14:paraId="0AA41B36" w14:textId="77777777" w:rsidR="00A3652D" w:rsidRPr="00240A02" w:rsidRDefault="00A3652D" w:rsidP="007352DF">
      <w:pPr>
        <w:pStyle w:val="Paragraphedeliste"/>
        <w:spacing w:before="120" w:after="120"/>
        <w:ind w:left="0"/>
        <w:jc w:val="both"/>
        <w:rPr>
          <w:rFonts w:cs="Calibri"/>
        </w:rPr>
      </w:pPr>
      <w:r w:rsidRPr="00240A02">
        <w:rPr>
          <w:rFonts w:cs="Calibri"/>
          <w:b/>
        </w:rPr>
        <w:t>350.000</w:t>
      </w:r>
      <w:r w:rsidRPr="00240A02">
        <w:rPr>
          <w:rFonts w:cs="Calibri"/>
        </w:rPr>
        <w:t xml:space="preserve"> </w:t>
      </w:r>
      <w:r w:rsidRPr="00240A02">
        <w:rPr>
          <w:rFonts w:cs="Calibri"/>
          <w:b/>
        </w:rPr>
        <w:t>nouveaux ménages</w:t>
      </w:r>
      <w:r w:rsidRPr="00240A02">
        <w:rPr>
          <w:rFonts w:cs="Calibri"/>
        </w:rPr>
        <w:t xml:space="preserve"> à abriter d’ici 2050 en Wallonie (secteur privé et public)</w:t>
      </w:r>
    </w:p>
    <w:p w14:paraId="54B49958" w14:textId="77777777" w:rsidR="00A3652D" w:rsidRPr="00240A02" w:rsidRDefault="00A3652D" w:rsidP="007352DF">
      <w:pPr>
        <w:pStyle w:val="Paragraphedeliste"/>
        <w:spacing w:before="120" w:after="120"/>
        <w:ind w:left="0"/>
        <w:jc w:val="both"/>
        <w:rPr>
          <w:rFonts w:cs="Calibri"/>
        </w:rPr>
      </w:pPr>
    </w:p>
    <w:p w14:paraId="2F6B9DAF" w14:textId="62B297E3" w:rsidR="00A3652D" w:rsidRPr="00240A02" w:rsidRDefault="00A3652D" w:rsidP="007352DF">
      <w:pPr>
        <w:pStyle w:val="Paragraphedeliste"/>
        <w:spacing w:before="120" w:after="120"/>
        <w:ind w:left="0"/>
        <w:jc w:val="both"/>
        <w:rPr>
          <w:rFonts w:cs="Calibri"/>
        </w:rPr>
      </w:pPr>
      <w:r w:rsidRPr="00240A02">
        <w:rPr>
          <w:rFonts w:cs="Calibri"/>
        </w:rPr>
        <w:t xml:space="preserve">Environ </w:t>
      </w:r>
      <w:r w:rsidRPr="00240A02">
        <w:rPr>
          <w:rFonts w:cs="Calibri"/>
          <w:b/>
        </w:rPr>
        <w:t>10</w:t>
      </w:r>
      <w:r w:rsidR="002341E9" w:rsidRPr="00240A02">
        <w:rPr>
          <w:rFonts w:cs="Calibri"/>
          <w:b/>
        </w:rPr>
        <w:t>3</w:t>
      </w:r>
      <w:r w:rsidRPr="00240A02">
        <w:rPr>
          <w:rFonts w:cs="Calibri"/>
          <w:b/>
        </w:rPr>
        <w:t>.</w:t>
      </w:r>
      <w:r w:rsidR="002341E9" w:rsidRPr="00240A02">
        <w:rPr>
          <w:rFonts w:cs="Calibri"/>
          <w:b/>
        </w:rPr>
        <w:t>0</w:t>
      </w:r>
      <w:r w:rsidRPr="00240A02">
        <w:rPr>
          <w:rFonts w:cs="Calibri"/>
          <w:b/>
        </w:rPr>
        <w:t>00</w:t>
      </w:r>
      <w:r w:rsidRPr="00240A02">
        <w:rPr>
          <w:rFonts w:cs="Calibri"/>
        </w:rPr>
        <w:t xml:space="preserve"> </w:t>
      </w:r>
      <w:r w:rsidRPr="00240A02">
        <w:rPr>
          <w:rFonts w:cs="Calibri"/>
          <w:b/>
        </w:rPr>
        <w:t>logements publics</w:t>
      </w:r>
      <w:r w:rsidRPr="00240A02">
        <w:rPr>
          <w:rFonts w:cs="Calibri"/>
        </w:rPr>
        <w:t xml:space="preserve"> (dont </w:t>
      </w:r>
      <w:r w:rsidR="0012349A" w:rsidRPr="00240A02">
        <w:rPr>
          <w:rFonts w:cs="Calibri"/>
        </w:rPr>
        <w:t>98.500</w:t>
      </w:r>
      <w:r w:rsidRPr="00240A02">
        <w:rPr>
          <w:rFonts w:cs="Calibri"/>
        </w:rPr>
        <w:t xml:space="preserve"> logements sociaux) sont gérés par les SLSP </w:t>
      </w:r>
    </w:p>
    <w:p w14:paraId="2700C7EA" w14:textId="0E61D289" w:rsidR="0076702B" w:rsidRPr="00240A02" w:rsidRDefault="0076702B" w:rsidP="007352DF">
      <w:pPr>
        <w:pStyle w:val="Paragraphedeliste"/>
        <w:spacing w:before="120" w:after="120"/>
        <w:ind w:left="0"/>
        <w:jc w:val="both"/>
        <w:rPr>
          <w:rFonts w:cs="Calibri"/>
        </w:rPr>
      </w:pPr>
      <w:r w:rsidRPr="00240A02">
        <w:rPr>
          <w:rFonts w:cs="Calibri"/>
        </w:rPr>
        <w:t xml:space="preserve">En dépit des efforts de construction de logements neufs par les SLSP, </w:t>
      </w:r>
      <w:r w:rsidRPr="00240A02">
        <w:rPr>
          <w:rFonts w:cs="Calibri"/>
          <w:b/>
          <w:bCs/>
        </w:rPr>
        <w:t>ce nombre n’a pas évolué depuis 10 ans</w:t>
      </w:r>
      <w:r w:rsidR="0047498E" w:rsidRPr="00240A02">
        <w:rPr>
          <w:rFonts w:cs="Calibri"/>
          <w:b/>
          <w:bCs/>
        </w:rPr>
        <w:t>,</w:t>
      </w:r>
      <w:r w:rsidR="0047498E" w:rsidRPr="00240A02">
        <w:rPr>
          <w:rFonts w:cs="Calibri"/>
        </w:rPr>
        <w:t xml:space="preserve"> en raison des opérations de vente, de démolition/déconstruction d</w:t>
      </w:r>
      <w:r w:rsidR="008D5B4A" w:rsidRPr="00240A02">
        <w:rPr>
          <w:rFonts w:cs="Calibri"/>
        </w:rPr>
        <w:t>’une partie du</w:t>
      </w:r>
      <w:r w:rsidR="0047498E" w:rsidRPr="00240A02">
        <w:rPr>
          <w:rFonts w:cs="Calibri"/>
        </w:rPr>
        <w:t xml:space="preserve"> parc immobilier</w:t>
      </w:r>
      <w:r w:rsidR="008D5B4A" w:rsidRPr="00240A02">
        <w:rPr>
          <w:rFonts w:cs="Calibri"/>
        </w:rPr>
        <w:t xml:space="preserve"> devenu trop</w:t>
      </w:r>
      <w:r w:rsidR="0047498E" w:rsidRPr="00240A02">
        <w:rPr>
          <w:rFonts w:cs="Calibri"/>
        </w:rPr>
        <w:t xml:space="preserve"> vétuste</w:t>
      </w:r>
      <w:r w:rsidR="008D5B4A" w:rsidRPr="00240A02">
        <w:rPr>
          <w:rFonts w:cs="Calibri"/>
        </w:rPr>
        <w:t xml:space="preserve"> et source de charges financières.</w:t>
      </w:r>
    </w:p>
    <w:p w14:paraId="4B0AB77E" w14:textId="77777777" w:rsidR="007352DF" w:rsidRPr="00240A02" w:rsidRDefault="007352DF" w:rsidP="007352DF">
      <w:pPr>
        <w:pStyle w:val="Paragraphedeliste"/>
        <w:spacing w:before="120" w:after="120"/>
        <w:ind w:left="0"/>
        <w:jc w:val="both"/>
        <w:rPr>
          <w:rFonts w:cs="Calibri"/>
        </w:rPr>
      </w:pPr>
    </w:p>
    <w:p w14:paraId="2FEBDBCD" w14:textId="77777777" w:rsidR="007352DF" w:rsidRPr="00240A02" w:rsidRDefault="007352DF" w:rsidP="007352DF">
      <w:pPr>
        <w:pStyle w:val="Paragraphedeliste"/>
        <w:spacing w:before="120" w:after="120" w:line="252" w:lineRule="auto"/>
        <w:ind w:left="0"/>
        <w:jc w:val="both"/>
        <w:rPr>
          <w:rFonts w:eastAsia="Times New Roman" w:cs="Calibri"/>
        </w:rPr>
      </w:pPr>
      <w:r w:rsidRPr="00240A02">
        <w:rPr>
          <w:rFonts w:eastAsia="Times New Roman" w:cs="Calibri"/>
        </w:rPr>
        <w:t xml:space="preserve">Sur la période </w:t>
      </w:r>
      <w:r w:rsidRPr="00240A02">
        <w:rPr>
          <w:rFonts w:eastAsia="Times New Roman" w:cs="Calibri"/>
          <w:b/>
          <w:bCs/>
        </w:rPr>
        <w:t>2018-2022</w:t>
      </w:r>
      <w:r w:rsidRPr="00240A02">
        <w:rPr>
          <w:rFonts w:eastAsia="Times New Roman" w:cs="Calibri"/>
        </w:rPr>
        <w:t xml:space="preserve">, en moyenne, </w:t>
      </w:r>
      <w:r w:rsidRPr="00240A02">
        <w:rPr>
          <w:rFonts w:eastAsia="Times New Roman" w:cs="Calibri"/>
          <w:b/>
        </w:rPr>
        <w:t>plus de 175 millions € d’investissement</w:t>
      </w:r>
      <w:r w:rsidRPr="00240A02">
        <w:rPr>
          <w:rFonts w:eastAsia="Times New Roman" w:cs="Calibri"/>
        </w:rPr>
        <w:t xml:space="preserve"> en matière de construction et de rénovation ont été consentis </w:t>
      </w:r>
      <w:r w:rsidRPr="00240A02">
        <w:rPr>
          <w:rFonts w:eastAsia="Times New Roman" w:cs="Calibri"/>
          <w:b/>
          <w:bCs/>
        </w:rPr>
        <w:t>annuellement</w:t>
      </w:r>
      <w:r w:rsidRPr="00240A02">
        <w:rPr>
          <w:rFonts w:eastAsia="Times New Roman" w:cs="Calibri"/>
        </w:rPr>
        <w:t xml:space="preserve"> par les SLSP</w:t>
      </w:r>
    </w:p>
    <w:p w14:paraId="4E8D1ECF" w14:textId="77777777" w:rsidR="00A3652D" w:rsidRPr="00240A02" w:rsidRDefault="00A3652D" w:rsidP="007352DF">
      <w:pPr>
        <w:pStyle w:val="Paragraphedeliste"/>
        <w:spacing w:before="120" w:after="120"/>
        <w:ind w:left="0"/>
        <w:jc w:val="both"/>
        <w:rPr>
          <w:rFonts w:cs="Calibri"/>
        </w:rPr>
      </w:pPr>
    </w:p>
    <w:p w14:paraId="15BA585E" w14:textId="77777777" w:rsidR="007352DF" w:rsidRPr="00240A02" w:rsidRDefault="007352DF" w:rsidP="007352DF">
      <w:pPr>
        <w:pStyle w:val="Paragraphedeliste"/>
        <w:spacing w:before="120" w:after="120"/>
        <w:ind w:left="0"/>
        <w:jc w:val="both"/>
        <w:rPr>
          <w:rFonts w:cs="Calibri"/>
        </w:rPr>
      </w:pPr>
      <w:r w:rsidRPr="00240A02">
        <w:rPr>
          <w:rFonts w:cs="Calibri"/>
        </w:rPr>
        <w:t xml:space="preserve">Environ </w:t>
      </w:r>
      <w:r w:rsidRPr="00240A02">
        <w:rPr>
          <w:rFonts w:cs="Calibri"/>
          <w:b/>
        </w:rPr>
        <w:t>221.000 personnes</w:t>
      </w:r>
      <w:r w:rsidRPr="00240A02">
        <w:rPr>
          <w:rFonts w:cs="Calibri"/>
        </w:rPr>
        <w:t xml:space="preserve"> habitent un logement d’une SLSP</w:t>
      </w:r>
    </w:p>
    <w:p w14:paraId="7FBF8C65" w14:textId="68B8E514" w:rsidR="007352DF" w:rsidRPr="00240A02" w:rsidRDefault="00A3652D" w:rsidP="007352DF">
      <w:pPr>
        <w:pStyle w:val="Paragraphedeliste"/>
        <w:spacing w:before="120" w:after="120"/>
        <w:ind w:left="0"/>
        <w:jc w:val="both"/>
        <w:rPr>
          <w:rFonts w:cs="Calibri"/>
          <w:color w:val="000000"/>
        </w:rPr>
      </w:pPr>
      <w:r w:rsidRPr="00240A02">
        <w:rPr>
          <w:rFonts w:cs="Calibri"/>
        </w:rPr>
        <w:t xml:space="preserve">Environ </w:t>
      </w:r>
      <w:r w:rsidRPr="00240A02">
        <w:rPr>
          <w:rFonts w:cs="Calibri"/>
          <w:b/>
        </w:rPr>
        <w:t>4</w:t>
      </w:r>
      <w:r w:rsidR="00F036BC" w:rsidRPr="00240A02">
        <w:rPr>
          <w:rFonts w:cs="Calibri"/>
          <w:b/>
        </w:rPr>
        <w:t>4</w:t>
      </w:r>
      <w:r w:rsidRPr="00240A02">
        <w:rPr>
          <w:rFonts w:cs="Calibri"/>
          <w:b/>
        </w:rPr>
        <w:t>.000</w:t>
      </w:r>
      <w:r w:rsidRPr="00240A02">
        <w:rPr>
          <w:rFonts w:cs="Calibri"/>
        </w:rPr>
        <w:t xml:space="preserve"> </w:t>
      </w:r>
      <w:r w:rsidRPr="00240A02">
        <w:rPr>
          <w:rFonts w:cs="Calibri"/>
          <w:b/>
        </w:rPr>
        <w:t>candidatures en attente</w:t>
      </w:r>
      <w:r w:rsidRPr="00240A02">
        <w:rPr>
          <w:rFonts w:cs="Calibri"/>
        </w:rPr>
        <w:t xml:space="preserve"> d’un logement social (</w:t>
      </w:r>
      <w:r w:rsidRPr="00240A02">
        <w:rPr>
          <w:rFonts w:cs="Calibri"/>
          <w:color w:val="000000"/>
        </w:rPr>
        <w:t>soit 9</w:t>
      </w:r>
      <w:r w:rsidR="0012349A" w:rsidRPr="00240A02">
        <w:rPr>
          <w:rFonts w:cs="Calibri"/>
          <w:color w:val="000000"/>
        </w:rPr>
        <w:t>8</w:t>
      </w:r>
      <w:r w:rsidRPr="00240A02">
        <w:rPr>
          <w:rFonts w:cs="Calibri"/>
          <w:color w:val="000000"/>
        </w:rPr>
        <w:t>.000 Wallons)</w:t>
      </w:r>
    </w:p>
    <w:p w14:paraId="4E149EDA" w14:textId="77777777" w:rsidR="007352DF" w:rsidRPr="00240A02" w:rsidRDefault="00A3652D" w:rsidP="007352DF">
      <w:pPr>
        <w:pStyle w:val="Paragraphedeliste"/>
        <w:spacing w:before="120" w:after="120"/>
        <w:ind w:left="0"/>
        <w:jc w:val="both"/>
        <w:rPr>
          <w:rFonts w:cs="Calibri"/>
          <w:color w:val="000000"/>
        </w:rPr>
      </w:pPr>
      <w:r w:rsidRPr="00240A02">
        <w:rPr>
          <w:rFonts w:cs="Calibri"/>
          <w:color w:val="000000"/>
        </w:rPr>
        <w:t xml:space="preserve">Cela représente une </w:t>
      </w:r>
      <w:r w:rsidRPr="00240A02">
        <w:rPr>
          <w:rFonts w:cs="Calibri"/>
          <w:b/>
          <w:color w:val="000000"/>
        </w:rPr>
        <w:t>augmentation de</w:t>
      </w:r>
      <w:r w:rsidRPr="00240A02">
        <w:rPr>
          <w:rFonts w:cs="Calibri"/>
          <w:color w:val="000000"/>
        </w:rPr>
        <w:t xml:space="preserve"> </w:t>
      </w:r>
      <w:r w:rsidR="0012349A" w:rsidRPr="00240A02">
        <w:rPr>
          <w:rFonts w:cs="Calibri"/>
          <w:b/>
          <w:color w:val="000000"/>
        </w:rPr>
        <w:t>9</w:t>
      </w:r>
      <w:r w:rsidRPr="00240A02">
        <w:rPr>
          <w:rFonts w:cs="Calibri"/>
          <w:b/>
          <w:color w:val="000000"/>
        </w:rPr>
        <w:t>.000 candidatures</w:t>
      </w:r>
      <w:r w:rsidRPr="00240A02">
        <w:rPr>
          <w:rFonts w:cs="Calibri"/>
          <w:color w:val="000000"/>
        </w:rPr>
        <w:t xml:space="preserve"> en </w:t>
      </w:r>
      <w:r w:rsidR="0012349A" w:rsidRPr="00240A02">
        <w:rPr>
          <w:rFonts w:cs="Calibri"/>
          <w:color w:val="000000"/>
        </w:rPr>
        <w:t>9</w:t>
      </w:r>
      <w:r w:rsidRPr="00240A02">
        <w:rPr>
          <w:rFonts w:cs="Calibri"/>
          <w:color w:val="000000"/>
        </w:rPr>
        <w:t xml:space="preserve"> ans !</w:t>
      </w:r>
      <w:r w:rsidR="002341E9" w:rsidRPr="00240A02">
        <w:rPr>
          <w:rFonts w:cs="Calibri"/>
          <w:color w:val="000000"/>
        </w:rPr>
        <w:t xml:space="preserve"> </w:t>
      </w:r>
    </w:p>
    <w:p w14:paraId="642DBDF7" w14:textId="768A2BCF" w:rsidR="00F036BC" w:rsidRPr="00240A02" w:rsidRDefault="00F036BC" w:rsidP="007352DF">
      <w:pPr>
        <w:pStyle w:val="Paragraphedeliste"/>
        <w:spacing w:before="120" w:after="120"/>
        <w:ind w:left="0"/>
        <w:jc w:val="both"/>
        <w:rPr>
          <w:rFonts w:cs="Calibri"/>
          <w:color w:val="000000"/>
        </w:rPr>
      </w:pPr>
      <w:r w:rsidRPr="00240A02">
        <w:rPr>
          <w:rFonts w:cs="Calibri"/>
          <w:color w:val="000000"/>
        </w:rPr>
        <w:t>Ce nombre est sous-évalué : il est admis que</w:t>
      </w:r>
      <w:r w:rsidR="0087461F" w:rsidRPr="00240A02">
        <w:rPr>
          <w:rFonts w:cs="Calibri"/>
          <w:color w:val="000000"/>
        </w:rPr>
        <w:t xml:space="preserve"> le nombre réel de personnes confrontées à un besoin de logement représente le triple (</w:t>
      </w:r>
      <w:r w:rsidR="0033340C" w:rsidRPr="00240A02">
        <w:rPr>
          <w:rFonts w:cs="Calibri"/>
          <w:color w:val="000000"/>
        </w:rPr>
        <w:t>beaucoup de personnes qui sont dans les conditions d’obtention ne se portent pas candidates).</w:t>
      </w:r>
    </w:p>
    <w:p w14:paraId="61E91F6B" w14:textId="77777777" w:rsidR="007352DF" w:rsidRPr="00240A02" w:rsidRDefault="007352DF" w:rsidP="007352DF">
      <w:pPr>
        <w:pStyle w:val="Paragraphedeliste"/>
        <w:spacing w:before="120" w:after="120"/>
        <w:ind w:left="0"/>
        <w:jc w:val="both"/>
        <w:rPr>
          <w:rFonts w:cs="Calibri"/>
          <w:color w:val="000000"/>
        </w:rPr>
      </w:pPr>
    </w:p>
    <w:p w14:paraId="273CAC7E" w14:textId="40F45C13" w:rsidR="00A3652D" w:rsidRPr="00240A02" w:rsidRDefault="002341E9" w:rsidP="007352DF">
      <w:pPr>
        <w:pStyle w:val="Paragraphedeliste"/>
        <w:spacing w:before="120" w:after="120"/>
        <w:ind w:left="0"/>
        <w:jc w:val="both"/>
        <w:rPr>
          <w:rFonts w:cs="Calibri"/>
          <w:u w:val="single"/>
        </w:rPr>
      </w:pPr>
      <w:r w:rsidRPr="00240A02">
        <w:rPr>
          <w:rFonts w:cs="Calibri"/>
          <w:color w:val="000000"/>
        </w:rPr>
        <w:t>65,95% des demandeurs ont un revenu précaire</w:t>
      </w:r>
    </w:p>
    <w:p w14:paraId="5DB21D89" w14:textId="77777777" w:rsidR="00A3652D" w:rsidRPr="00240A02" w:rsidRDefault="00A3652D" w:rsidP="007352DF">
      <w:pPr>
        <w:pStyle w:val="Paragraphedeliste"/>
        <w:spacing w:before="120" w:after="120"/>
        <w:ind w:left="0"/>
        <w:jc w:val="both"/>
        <w:rPr>
          <w:rFonts w:cs="Calibri"/>
        </w:rPr>
      </w:pPr>
      <w:r w:rsidRPr="00240A02">
        <w:rPr>
          <w:rFonts w:cs="Calibri"/>
          <w:b/>
        </w:rPr>
        <w:t>78 % des locataires bénéficiant d’un revenu de remplacement</w:t>
      </w:r>
      <w:r w:rsidRPr="00240A02">
        <w:rPr>
          <w:rFonts w:cs="Calibri"/>
        </w:rPr>
        <w:t xml:space="preserve"> (</w:t>
      </w:r>
      <w:r w:rsidR="00C41515" w:rsidRPr="00240A02">
        <w:rPr>
          <w:rFonts w:cs="Calibri"/>
        </w:rPr>
        <w:t>personnes pensionnées</w:t>
      </w:r>
      <w:r w:rsidRPr="00240A02">
        <w:rPr>
          <w:rFonts w:cs="Calibri"/>
        </w:rPr>
        <w:t xml:space="preserve">, sans emploi, </w:t>
      </w:r>
      <w:r w:rsidR="00C41515" w:rsidRPr="00240A02">
        <w:rPr>
          <w:rFonts w:cs="Calibri"/>
        </w:rPr>
        <w:t>bénéficiaire</w:t>
      </w:r>
      <w:r w:rsidR="007E42F9" w:rsidRPr="00240A02">
        <w:rPr>
          <w:rFonts w:cs="Calibri"/>
        </w:rPr>
        <w:t>s</w:t>
      </w:r>
      <w:r w:rsidR="00C41515" w:rsidRPr="00240A02">
        <w:rPr>
          <w:rFonts w:cs="Calibri"/>
        </w:rPr>
        <w:t xml:space="preserve"> d’un </w:t>
      </w:r>
      <w:r w:rsidRPr="00240A02">
        <w:rPr>
          <w:rFonts w:cs="Calibri"/>
        </w:rPr>
        <w:t>revenu d’intégration sociale,</w:t>
      </w:r>
      <w:r w:rsidR="00C41515" w:rsidRPr="00240A02">
        <w:rPr>
          <w:rFonts w:cs="Calibri"/>
        </w:rPr>
        <w:t xml:space="preserve"> en maladie-invalidité,</w:t>
      </w:r>
      <w:r w:rsidRPr="00240A02">
        <w:rPr>
          <w:rFonts w:cs="Calibri"/>
        </w:rPr>
        <w:t xml:space="preserve"> …)</w:t>
      </w:r>
      <w:r w:rsidRPr="00240A02">
        <w:rPr>
          <w:rStyle w:val="Appelnotedebasdep"/>
          <w:rFonts w:cs="Calibri"/>
        </w:rPr>
        <w:footnoteReference w:id="1"/>
      </w:r>
      <w:r w:rsidRPr="00240A02">
        <w:rPr>
          <w:rFonts w:cs="Calibri"/>
        </w:rPr>
        <w:t xml:space="preserve"> </w:t>
      </w:r>
    </w:p>
    <w:p w14:paraId="152400B7" w14:textId="77777777" w:rsidR="00A3652D" w:rsidRPr="00240A02" w:rsidRDefault="00A3652D" w:rsidP="007352DF">
      <w:pPr>
        <w:pStyle w:val="Paragraphedeliste"/>
        <w:spacing w:before="120" w:after="120"/>
        <w:ind w:left="0"/>
        <w:jc w:val="both"/>
        <w:rPr>
          <w:rFonts w:cs="Calibri"/>
        </w:rPr>
      </w:pPr>
    </w:p>
    <w:p w14:paraId="213C2E32" w14:textId="3141CD84" w:rsidR="00A3652D" w:rsidRPr="00240A02" w:rsidRDefault="00A3652D" w:rsidP="007352DF">
      <w:pPr>
        <w:pStyle w:val="Paragraphedeliste"/>
        <w:spacing w:before="120" w:after="120"/>
        <w:ind w:left="0"/>
        <w:jc w:val="both"/>
        <w:rPr>
          <w:rFonts w:cs="Calibri"/>
          <w:b/>
        </w:rPr>
      </w:pPr>
      <w:r w:rsidRPr="00240A02">
        <w:rPr>
          <w:rFonts w:cs="Calibri"/>
        </w:rPr>
        <w:t>Le</w:t>
      </w:r>
      <w:r w:rsidRPr="00240A02">
        <w:rPr>
          <w:rFonts w:cs="Calibri"/>
          <w:b/>
        </w:rPr>
        <w:t xml:space="preserve"> loyer moyen </w:t>
      </w:r>
      <w:r w:rsidR="00C41515" w:rsidRPr="00240A02">
        <w:rPr>
          <w:rFonts w:cs="Calibri"/>
          <w:b/>
        </w:rPr>
        <w:t xml:space="preserve">pratiqué </w:t>
      </w:r>
      <w:r w:rsidR="00C41515" w:rsidRPr="00240A02">
        <w:rPr>
          <w:rFonts w:cs="Calibri"/>
          <w:bCs/>
        </w:rPr>
        <w:t xml:space="preserve">par les SLSP </w:t>
      </w:r>
      <w:r w:rsidRPr="00240A02">
        <w:rPr>
          <w:rFonts w:cs="Calibri"/>
          <w:bCs/>
        </w:rPr>
        <w:t>est de</w:t>
      </w:r>
      <w:r w:rsidRPr="00240A02">
        <w:rPr>
          <w:rFonts w:cs="Calibri"/>
          <w:b/>
        </w:rPr>
        <w:t xml:space="preserve"> </w:t>
      </w:r>
      <w:r w:rsidR="0012349A" w:rsidRPr="00240A02">
        <w:rPr>
          <w:rFonts w:cs="Calibri"/>
          <w:b/>
        </w:rPr>
        <w:t>310</w:t>
      </w:r>
      <w:r w:rsidR="002341E9" w:rsidRPr="00240A02">
        <w:rPr>
          <w:rFonts w:cs="Calibri"/>
          <w:b/>
        </w:rPr>
        <w:t>,55€</w:t>
      </w:r>
      <w:r w:rsidRPr="00240A02">
        <w:rPr>
          <w:rStyle w:val="Appelnotedebasdep"/>
          <w:rFonts w:cs="Calibri"/>
          <w:b/>
        </w:rPr>
        <w:footnoteReference w:id="2"/>
      </w:r>
      <w:r w:rsidRPr="00240A02">
        <w:rPr>
          <w:rFonts w:cs="Calibri"/>
          <w:b/>
        </w:rPr>
        <w:t xml:space="preserve"> </w:t>
      </w:r>
    </w:p>
    <w:p w14:paraId="1CC4F31B" w14:textId="76D7EDE0" w:rsidR="00A3652D" w:rsidRPr="00240A02" w:rsidRDefault="00240A02" w:rsidP="00240A02">
      <w:pPr>
        <w:pStyle w:val="Paragraphedeliste"/>
        <w:spacing w:before="120" w:after="120"/>
        <w:ind w:left="0"/>
        <w:jc w:val="both"/>
        <w:rPr>
          <w:rFonts w:cs="Calibri"/>
        </w:rPr>
      </w:pPr>
      <w:r w:rsidRPr="00240A02">
        <w:rPr>
          <w:rFonts w:cs="Calibri"/>
          <w:bCs/>
        </w:rPr>
        <w:t>Le mécanisme de calcul du loyer, datant de 1999, est totalement obsolète : il tient compte uniquement de la valeur du logement et du niveau de revenu (même pas de la performance énergétique).</w:t>
      </w:r>
    </w:p>
    <w:p w14:paraId="0AAF01A8" w14:textId="1E8E0A00" w:rsidR="00982FEC" w:rsidRPr="00240A02" w:rsidRDefault="00C41515" w:rsidP="00C41515">
      <w:pPr>
        <w:spacing w:before="120" w:after="120"/>
        <w:rPr>
          <w:rFonts w:ascii="Calibri" w:hAnsi="Calibri" w:cs="Calibri"/>
          <w:b/>
          <w:sz w:val="22"/>
          <w:szCs w:val="22"/>
          <w:u w:val="single"/>
        </w:rPr>
      </w:pPr>
      <w:r w:rsidRPr="00240A02">
        <w:rPr>
          <w:rFonts w:ascii="Calibri" w:hAnsi="Calibri" w:cs="Calibri"/>
          <w:b/>
          <w:sz w:val="22"/>
          <w:szCs w:val="22"/>
          <w:u w:val="single"/>
        </w:rPr>
        <w:t xml:space="preserve">Trois études </w:t>
      </w:r>
      <w:r w:rsidR="007352DF" w:rsidRPr="00240A02">
        <w:rPr>
          <w:rFonts w:ascii="Calibri" w:hAnsi="Calibri" w:cs="Calibri"/>
          <w:b/>
          <w:sz w:val="22"/>
          <w:szCs w:val="22"/>
          <w:u w:val="single"/>
        </w:rPr>
        <w:t>à mettre</w:t>
      </w:r>
      <w:r w:rsidRPr="00240A02">
        <w:rPr>
          <w:rFonts w:ascii="Calibri" w:hAnsi="Calibri" w:cs="Calibri"/>
          <w:b/>
          <w:sz w:val="22"/>
          <w:szCs w:val="22"/>
          <w:u w:val="single"/>
        </w:rPr>
        <w:t xml:space="preserve"> en exergue : </w:t>
      </w:r>
    </w:p>
    <w:p w14:paraId="76DF4047" w14:textId="77777777" w:rsidR="00A3652D" w:rsidRPr="00240A02" w:rsidRDefault="00A3652D" w:rsidP="00982FEC">
      <w:pPr>
        <w:numPr>
          <w:ilvl w:val="0"/>
          <w:numId w:val="2"/>
        </w:numPr>
        <w:spacing w:before="120" w:after="120"/>
        <w:jc w:val="both"/>
        <w:rPr>
          <w:rFonts w:ascii="Calibri" w:hAnsi="Calibri" w:cs="Calibri"/>
          <w:b/>
          <w:sz w:val="22"/>
          <w:szCs w:val="22"/>
        </w:rPr>
      </w:pPr>
      <w:r w:rsidRPr="00240A02">
        <w:rPr>
          <w:rFonts w:ascii="Calibri" w:hAnsi="Calibri" w:cs="Calibri"/>
          <w:b/>
          <w:color w:val="000000"/>
          <w:sz w:val="22"/>
          <w:szCs w:val="22"/>
        </w:rPr>
        <w:t>UVCW (2015)</w:t>
      </w:r>
      <w:r w:rsidRPr="00240A02">
        <w:rPr>
          <w:rFonts w:ascii="Calibri" w:hAnsi="Calibri" w:cs="Calibri"/>
          <w:color w:val="000000"/>
          <w:sz w:val="22"/>
          <w:szCs w:val="22"/>
        </w:rPr>
        <w:t> </w:t>
      </w:r>
      <w:r w:rsidR="00C41515" w:rsidRPr="00240A02">
        <w:rPr>
          <w:rFonts w:ascii="Calibri" w:hAnsi="Calibri" w:cs="Calibri"/>
          <w:color w:val="000000"/>
          <w:sz w:val="22"/>
          <w:szCs w:val="22"/>
        </w:rPr>
        <w:t xml:space="preserve">démontre que </w:t>
      </w:r>
      <w:r w:rsidRPr="00240A02">
        <w:rPr>
          <w:rFonts w:ascii="Calibri" w:hAnsi="Calibri" w:cs="Calibri"/>
          <w:color w:val="000000"/>
          <w:sz w:val="22"/>
          <w:szCs w:val="22"/>
        </w:rPr>
        <w:t>les frais de gestion, d’entretien courant et de rénovation lourde ne peuvent être compensés par les recettes actuellement perçues par les SLSP</w:t>
      </w:r>
      <w:r w:rsidR="00C41515" w:rsidRPr="00240A02">
        <w:rPr>
          <w:rFonts w:ascii="Calibri" w:hAnsi="Calibri" w:cs="Calibri"/>
          <w:color w:val="000000"/>
          <w:sz w:val="22"/>
          <w:szCs w:val="22"/>
        </w:rPr>
        <w:t>. Ces recettes sont principalement constitué</w:t>
      </w:r>
      <w:r w:rsidR="00982FEC" w:rsidRPr="00240A02">
        <w:rPr>
          <w:rFonts w:ascii="Calibri" w:hAnsi="Calibri" w:cs="Calibri"/>
          <w:color w:val="000000"/>
          <w:sz w:val="22"/>
          <w:szCs w:val="22"/>
        </w:rPr>
        <w:t>e</w:t>
      </w:r>
      <w:r w:rsidR="00C41515" w:rsidRPr="00240A02">
        <w:rPr>
          <w:rFonts w:ascii="Calibri" w:hAnsi="Calibri" w:cs="Calibri"/>
          <w:color w:val="000000"/>
          <w:sz w:val="22"/>
          <w:szCs w:val="22"/>
        </w:rPr>
        <w:t xml:space="preserve">s de </w:t>
      </w:r>
      <w:r w:rsidRPr="00240A02">
        <w:rPr>
          <w:rFonts w:ascii="Calibri" w:hAnsi="Calibri" w:cs="Calibri"/>
          <w:color w:val="000000"/>
          <w:sz w:val="22"/>
          <w:szCs w:val="22"/>
        </w:rPr>
        <w:t xml:space="preserve">subsides </w:t>
      </w:r>
      <w:r w:rsidR="00C41515" w:rsidRPr="00240A02">
        <w:rPr>
          <w:rFonts w:ascii="Calibri" w:hAnsi="Calibri" w:cs="Calibri"/>
          <w:color w:val="000000"/>
          <w:sz w:val="22"/>
          <w:szCs w:val="22"/>
        </w:rPr>
        <w:t xml:space="preserve">régionaux </w:t>
      </w:r>
      <w:r w:rsidRPr="00240A02">
        <w:rPr>
          <w:rFonts w:ascii="Calibri" w:hAnsi="Calibri" w:cs="Calibri"/>
          <w:color w:val="000000"/>
          <w:sz w:val="22"/>
          <w:szCs w:val="22"/>
        </w:rPr>
        <w:t xml:space="preserve">à la construction et </w:t>
      </w:r>
      <w:r w:rsidR="00C41515" w:rsidRPr="00240A02">
        <w:rPr>
          <w:rFonts w:ascii="Calibri" w:hAnsi="Calibri" w:cs="Calibri"/>
          <w:color w:val="000000"/>
          <w:sz w:val="22"/>
          <w:szCs w:val="22"/>
        </w:rPr>
        <w:t xml:space="preserve">des </w:t>
      </w:r>
      <w:r w:rsidRPr="00240A02">
        <w:rPr>
          <w:rFonts w:ascii="Calibri" w:hAnsi="Calibri" w:cs="Calibri"/>
          <w:color w:val="000000"/>
          <w:sz w:val="22"/>
          <w:szCs w:val="22"/>
        </w:rPr>
        <w:t>loyer</w:t>
      </w:r>
      <w:r w:rsidR="00C41515" w:rsidRPr="00240A02">
        <w:rPr>
          <w:rFonts w:ascii="Calibri" w:hAnsi="Calibri" w:cs="Calibri"/>
          <w:color w:val="000000"/>
          <w:sz w:val="22"/>
          <w:szCs w:val="22"/>
        </w:rPr>
        <w:t>s perçus</w:t>
      </w:r>
      <w:r w:rsidRPr="00240A02">
        <w:rPr>
          <w:rFonts w:ascii="Calibri" w:hAnsi="Calibri" w:cs="Calibri"/>
          <w:color w:val="000000"/>
          <w:sz w:val="22"/>
          <w:szCs w:val="22"/>
        </w:rPr>
        <w:t xml:space="preserve">. </w:t>
      </w:r>
    </w:p>
    <w:p w14:paraId="6DB1D11C" w14:textId="77777777" w:rsidR="00A3652D" w:rsidRPr="00240A02" w:rsidRDefault="00A3652D" w:rsidP="00A3652D">
      <w:pPr>
        <w:pStyle w:val="Paragraphedeliste"/>
        <w:numPr>
          <w:ilvl w:val="1"/>
          <w:numId w:val="2"/>
        </w:numPr>
        <w:spacing w:before="120" w:after="120"/>
        <w:rPr>
          <w:rFonts w:cs="Calibri"/>
          <w:b/>
        </w:rPr>
      </w:pPr>
      <w:r w:rsidRPr="00240A02">
        <w:rPr>
          <w:rFonts w:cs="Calibri"/>
          <w:color w:val="000000"/>
        </w:rPr>
        <w:t xml:space="preserve">Le </w:t>
      </w:r>
      <w:r w:rsidRPr="00240A02">
        <w:rPr>
          <w:rFonts w:cs="Calibri"/>
          <w:b/>
          <w:color w:val="000000"/>
        </w:rPr>
        <w:t>déficit m</w:t>
      </w:r>
      <w:r w:rsidR="00341E68" w:rsidRPr="00240A02">
        <w:rPr>
          <w:rFonts w:cs="Calibri"/>
          <w:b/>
          <w:color w:val="000000"/>
        </w:rPr>
        <w:t>oyen s’élève à plus de 115 €</w:t>
      </w:r>
      <w:r w:rsidRPr="00240A02">
        <w:rPr>
          <w:rFonts w:cs="Calibri"/>
          <w:b/>
          <w:color w:val="000000"/>
        </w:rPr>
        <w:t xml:space="preserve"> </w:t>
      </w:r>
      <w:r w:rsidRPr="00240A02">
        <w:rPr>
          <w:rFonts w:cs="Calibri"/>
          <w:b/>
          <w:color w:val="000000"/>
          <w:u w:val="single"/>
        </w:rPr>
        <w:t>par mois</w:t>
      </w:r>
      <w:r w:rsidRPr="00240A02">
        <w:rPr>
          <w:rFonts w:cs="Calibri"/>
          <w:b/>
          <w:color w:val="000000"/>
        </w:rPr>
        <w:t xml:space="preserve"> et </w:t>
      </w:r>
      <w:r w:rsidRPr="00240A02">
        <w:rPr>
          <w:rFonts w:cs="Calibri"/>
          <w:b/>
          <w:color w:val="000000"/>
          <w:u w:val="single"/>
        </w:rPr>
        <w:t>par logement</w:t>
      </w:r>
      <w:r w:rsidR="00982FEC" w:rsidRPr="00240A02">
        <w:rPr>
          <w:rFonts w:cs="Calibri"/>
          <w:b/>
          <w:color w:val="000000"/>
          <w:u w:val="single"/>
        </w:rPr>
        <w:t> </w:t>
      </w:r>
      <w:r w:rsidR="00982FEC" w:rsidRPr="00240A02">
        <w:rPr>
          <w:rFonts w:cs="Calibri"/>
          <w:color w:val="000000"/>
        </w:rPr>
        <w:t>!</w:t>
      </w:r>
    </w:p>
    <w:p w14:paraId="59B01FF9" w14:textId="78964DD4" w:rsidR="00A3652D" w:rsidRPr="00240A02" w:rsidRDefault="00A3652D" w:rsidP="00982FEC">
      <w:pPr>
        <w:pStyle w:val="Paragraphedeliste"/>
        <w:numPr>
          <w:ilvl w:val="1"/>
          <w:numId w:val="2"/>
        </w:numPr>
        <w:spacing w:before="120" w:after="120"/>
        <w:jc w:val="both"/>
        <w:rPr>
          <w:rFonts w:cs="Calibri"/>
          <w:b/>
        </w:rPr>
      </w:pPr>
      <w:r w:rsidRPr="00240A02">
        <w:rPr>
          <w:rFonts w:cs="Calibri"/>
          <w:color w:val="000000"/>
        </w:rPr>
        <w:t xml:space="preserve">Pour les </w:t>
      </w:r>
      <w:r w:rsidRPr="00240A02">
        <w:rPr>
          <w:rFonts w:cs="Calibri"/>
          <w:b/>
          <w:color w:val="000000"/>
        </w:rPr>
        <w:t xml:space="preserve">nouveaux logements, le déficit moyen monte à 288 </w:t>
      </w:r>
      <w:r w:rsidR="00341E68" w:rsidRPr="00240A02">
        <w:rPr>
          <w:rFonts w:cs="Calibri"/>
          <w:b/>
          <w:color w:val="000000"/>
        </w:rPr>
        <w:t>€</w:t>
      </w:r>
      <w:r w:rsidRPr="00240A02">
        <w:rPr>
          <w:rFonts w:cs="Calibri"/>
          <w:color w:val="000000"/>
        </w:rPr>
        <w:t xml:space="preserve"> par mois et par logement</w:t>
      </w:r>
      <w:r w:rsidR="00982FEC" w:rsidRPr="00240A02">
        <w:rPr>
          <w:rFonts w:cs="Calibri"/>
          <w:color w:val="000000"/>
        </w:rPr>
        <w:t> </w:t>
      </w:r>
      <w:r w:rsidR="00ED017F" w:rsidRPr="00240A02">
        <w:rPr>
          <w:rFonts w:cs="Calibri"/>
          <w:color w:val="000000"/>
        </w:rPr>
        <w:t>(et même</w:t>
      </w:r>
      <w:r w:rsidR="006B5465" w:rsidRPr="00240A02">
        <w:rPr>
          <w:rFonts w:cs="Calibri"/>
          <w:color w:val="000000"/>
        </w:rPr>
        <w:t xml:space="preserve"> </w:t>
      </w:r>
      <w:r w:rsidR="006B5465" w:rsidRPr="00240A02">
        <w:rPr>
          <w:rFonts w:cs="Calibri"/>
          <w:b/>
          <w:bCs/>
          <w:color w:val="000000"/>
        </w:rPr>
        <w:t>3</w:t>
      </w:r>
      <w:r w:rsidR="003708CE">
        <w:rPr>
          <w:rFonts w:cs="Calibri"/>
          <w:b/>
          <w:bCs/>
          <w:color w:val="000000"/>
        </w:rPr>
        <w:t>56</w:t>
      </w:r>
      <w:r w:rsidR="006B5465" w:rsidRPr="00240A02">
        <w:rPr>
          <w:rFonts w:cs="Calibri"/>
          <w:b/>
          <w:bCs/>
          <w:color w:val="000000"/>
        </w:rPr>
        <w:t xml:space="preserve"> €</w:t>
      </w:r>
      <w:r w:rsidR="00E3754E" w:rsidRPr="00240A02">
        <w:rPr>
          <w:rFonts w:cs="Calibri"/>
          <w:b/>
          <w:bCs/>
          <w:color w:val="000000"/>
        </w:rPr>
        <w:t xml:space="preserve"> en 2021</w:t>
      </w:r>
      <w:r w:rsidR="00ED017F" w:rsidRPr="00240A02">
        <w:rPr>
          <w:rFonts w:cs="Calibri"/>
          <w:b/>
          <w:bCs/>
          <w:color w:val="000000"/>
        </w:rPr>
        <w:t>) !</w:t>
      </w:r>
    </w:p>
    <w:p w14:paraId="031D3E40" w14:textId="77777777" w:rsidR="00982FEC" w:rsidRPr="00240A02" w:rsidRDefault="00982FEC" w:rsidP="00C41515">
      <w:pPr>
        <w:pStyle w:val="Paragraphedeliste"/>
        <w:spacing w:before="120" w:after="120"/>
        <w:ind w:left="1440"/>
        <w:rPr>
          <w:rFonts w:cs="Calibri"/>
          <w:b/>
        </w:rPr>
      </w:pPr>
    </w:p>
    <w:p w14:paraId="13E9C3FE" w14:textId="77777777" w:rsidR="00A3652D" w:rsidRPr="00240A02" w:rsidRDefault="00A3652D" w:rsidP="00A3652D">
      <w:pPr>
        <w:pStyle w:val="Paragraphedeliste"/>
        <w:numPr>
          <w:ilvl w:val="0"/>
          <w:numId w:val="2"/>
        </w:numPr>
        <w:spacing w:before="120" w:after="120"/>
        <w:jc w:val="both"/>
        <w:rPr>
          <w:rFonts w:cs="Calibri"/>
          <w:color w:val="000000"/>
        </w:rPr>
      </w:pPr>
      <w:r w:rsidRPr="00240A02">
        <w:rPr>
          <w:rFonts w:cs="Calibri"/>
          <w:b/>
          <w:color w:val="000000"/>
        </w:rPr>
        <w:t>V.U.B</w:t>
      </w:r>
      <w:r w:rsidRPr="00240A02">
        <w:rPr>
          <w:rFonts w:cs="Calibri"/>
          <w:color w:val="000000"/>
        </w:rPr>
        <w:t xml:space="preserve">. </w:t>
      </w:r>
      <w:r w:rsidRPr="00240A02">
        <w:rPr>
          <w:rFonts w:cs="Calibri"/>
          <w:b/>
          <w:color w:val="000000"/>
        </w:rPr>
        <w:t>(2014)</w:t>
      </w:r>
      <w:r w:rsidR="00C41515" w:rsidRPr="00240A02">
        <w:rPr>
          <w:rFonts w:cs="Calibri"/>
          <w:b/>
          <w:color w:val="000000"/>
        </w:rPr>
        <w:t> </w:t>
      </w:r>
      <w:r w:rsidR="00C41515" w:rsidRPr="00240A02">
        <w:rPr>
          <w:rFonts w:cs="Calibri"/>
          <w:color w:val="000000"/>
        </w:rPr>
        <w:t xml:space="preserve">démontre l’impact </w:t>
      </w:r>
      <w:r w:rsidR="00982FEC" w:rsidRPr="00240A02">
        <w:rPr>
          <w:rFonts w:cs="Calibri"/>
          <w:color w:val="000000"/>
        </w:rPr>
        <w:t xml:space="preserve">positif </w:t>
      </w:r>
      <w:r w:rsidR="00C41515" w:rsidRPr="00240A02">
        <w:rPr>
          <w:rFonts w:cs="Calibri"/>
          <w:color w:val="000000"/>
        </w:rPr>
        <w:t>des investissements dans la construction sur l’économie locale. P</w:t>
      </w:r>
      <w:r w:rsidR="00341E68" w:rsidRPr="00240A02">
        <w:rPr>
          <w:rFonts w:cs="Calibri"/>
          <w:color w:val="000000"/>
        </w:rPr>
        <w:t>our 100 millions €</w:t>
      </w:r>
      <w:r w:rsidRPr="00240A02">
        <w:rPr>
          <w:rFonts w:cs="Calibri"/>
          <w:color w:val="000000"/>
        </w:rPr>
        <w:t xml:space="preserve"> investis dans la construction, il en découle à court terme :</w:t>
      </w:r>
    </w:p>
    <w:p w14:paraId="0A10973C" w14:textId="77777777" w:rsidR="00A3652D" w:rsidRPr="00240A02" w:rsidRDefault="00341E68" w:rsidP="00A3652D">
      <w:pPr>
        <w:pStyle w:val="Paragraphedeliste"/>
        <w:numPr>
          <w:ilvl w:val="1"/>
          <w:numId w:val="2"/>
        </w:numPr>
        <w:spacing w:before="120" w:after="120" w:line="240" w:lineRule="auto"/>
        <w:jc w:val="both"/>
        <w:rPr>
          <w:rFonts w:cs="Calibri"/>
          <w:color w:val="000000"/>
        </w:rPr>
      </w:pPr>
      <w:r w:rsidRPr="00240A02">
        <w:rPr>
          <w:rFonts w:cs="Calibri"/>
          <w:color w:val="000000"/>
        </w:rPr>
        <w:t>87,64 millions €</w:t>
      </w:r>
      <w:r w:rsidR="00A3652D" w:rsidRPr="00240A02">
        <w:rPr>
          <w:rFonts w:cs="Calibri"/>
          <w:color w:val="000000"/>
        </w:rPr>
        <w:t xml:space="preserve"> de valeur ajoutée ;</w:t>
      </w:r>
    </w:p>
    <w:p w14:paraId="39868681" w14:textId="77777777" w:rsidR="00A3652D" w:rsidRPr="00240A02" w:rsidRDefault="00A3652D" w:rsidP="00A3652D">
      <w:pPr>
        <w:pStyle w:val="Paragraphedeliste"/>
        <w:numPr>
          <w:ilvl w:val="1"/>
          <w:numId w:val="2"/>
        </w:numPr>
        <w:spacing w:before="120" w:after="120" w:line="240" w:lineRule="auto"/>
        <w:jc w:val="both"/>
        <w:rPr>
          <w:rFonts w:cs="Calibri"/>
          <w:color w:val="000000"/>
        </w:rPr>
      </w:pPr>
      <w:r w:rsidRPr="00240A02">
        <w:rPr>
          <w:rFonts w:cs="Calibri"/>
          <w:color w:val="000000"/>
        </w:rPr>
        <w:t>1.200 équivalents temps-plein ;</w:t>
      </w:r>
    </w:p>
    <w:p w14:paraId="78E2D50E" w14:textId="77777777" w:rsidR="00A3652D" w:rsidRPr="00240A02" w:rsidRDefault="00341E68" w:rsidP="00A3652D">
      <w:pPr>
        <w:pStyle w:val="Paragraphedeliste"/>
        <w:numPr>
          <w:ilvl w:val="1"/>
          <w:numId w:val="2"/>
        </w:numPr>
        <w:spacing w:before="120" w:after="120" w:line="240" w:lineRule="auto"/>
        <w:jc w:val="both"/>
        <w:rPr>
          <w:rFonts w:cs="Calibri"/>
          <w:color w:val="000000"/>
        </w:rPr>
      </w:pPr>
      <w:r w:rsidRPr="00240A02">
        <w:rPr>
          <w:rFonts w:cs="Calibri"/>
          <w:color w:val="000000"/>
        </w:rPr>
        <w:lastRenderedPageBreak/>
        <w:t>19,4 millions €</w:t>
      </w:r>
      <w:r w:rsidR="00A3652D" w:rsidRPr="00240A02">
        <w:rPr>
          <w:rFonts w:cs="Calibri"/>
          <w:color w:val="000000"/>
        </w:rPr>
        <w:t xml:space="preserve"> d’investissement supplémentaire ;</w:t>
      </w:r>
    </w:p>
    <w:p w14:paraId="31148441" w14:textId="77777777" w:rsidR="00A3652D" w:rsidRPr="00240A02" w:rsidRDefault="00341E68" w:rsidP="00A3652D">
      <w:pPr>
        <w:pStyle w:val="Paragraphedeliste"/>
        <w:numPr>
          <w:ilvl w:val="1"/>
          <w:numId w:val="2"/>
        </w:numPr>
        <w:spacing w:before="120" w:after="120" w:line="240" w:lineRule="auto"/>
        <w:jc w:val="both"/>
        <w:rPr>
          <w:rFonts w:cs="Calibri"/>
          <w:color w:val="000000"/>
        </w:rPr>
      </w:pPr>
      <w:r w:rsidRPr="00240A02">
        <w:rPr>
          <w:rFonts w:cs="Calibri"/>
          <w:color w:val="000000"/>
        </w:rPr>
        <w:t>18,34 millions €</w:t>
      </w:r>
      <w:r w:rsidR="00A3652D" w:rsidRPr="00240A02">
        <w:rPr>
          <w:rFonts w:cs="Calibri"/>
          <w:color w:val="000000"/>
        </w:rPr>
        <w:t xml:space="preserve"> de rentrées publiques</w:t>
      </w:r>
      <w:r w:rsidR="00A3652D" w:rsidRPr="00240A02">
        <w:rPr>
          <w:rStyle w:val="Appelnotedebasdep"/>
          <w:rFonts w:cs="Calibri"/>
          <w:color w:val="000000"/>
        </w:rPr>
        <w:footnoteReference w:id="3"/>
      </w:r>
      <w:r w:rsidR="00A3652D" w:rsidRPr="00240A02">
        <w:rPr>
          <w:rFonts w:cs="Calibri"/>
          <w:color w:val="000000"/>
        </w:rPr>
        <w:t>.</w:t>
      </w:r>
    </w:p>
    <w:p w14:paraId="76FC366E" w14:textId="77777777" w:rsidR="00982FEC" w:rsidRPr="00240A02" w:rsidRDefault="00982FEC" w:rsidP="00C41515">
      <w:pPr>
        <w:pStyle w:val="Paragraphedeliste"/>
        <w:spacing w:before="120" w:after="120" w:line="240" w:lineRule="auto"/>
        <w:ind w:left="1440"/>
        <w:jc w:val="both"/>
        <w:rPr>
          <w:rFonts w:cs="Calibri"/>
          <w:color w:val="000000"/>
        </w:rPr>
      </w:pPr>
    </w:p>
    <w:p w14:paraId="44C11A2A" w14:textId="77777777" w:rsidR="00A3652D" w:rsidRPr="0017551C" w:rsidRDefault="00A3652D" w:rsidP="00A3652D">
      <w:pPr>
        <w:pStyle w:val="Paragraphedeliste"/>
        <w:numPr>
          <w:ilvl w:val="0"/>
          <w:numId w:val="2"/>
        </w:numPr>
        <w:autoSpaceDE w:val="0"/>
        <w:autoSpaceDN w:val="0"/>
        <w:spacing w:before="120" w:after="120" w:line="240" w:lineRule="auto"/>
        <w:jc w:val="both"/>
        <w:rPr>
          <w:rFonts w:cs="Calibri"/>
          <w:color w:val="000000"/>
        </w:rPr>
      </w:pPr>
      <w:proofErr w:type="spellStart"/>
      <w:r w:rsidRPr="00240A02">
        <w:rPr>
          <w:rFonts w:eastAsia="Times New Roman" w:cs="Calibri"/>
          <w:b/>
          <w:bCs/>
        </w:rPr>
        <w:t>Eurofound</w:t>
      </w:r>
      <w:proofErr w:type="spellEnd"/>
      <w:r w:rsidRPr="00240A02">
        <w:rPr>
          <w:rFonts w:eastAsia="Times New Roman" w:cs="Calibri"/>
          <w:b/>
          <w:bCs/>
        </w:rPr>
        <w:t xml:space="preserve"> (2016)</w:t>
      </w:r>
      <w:r w:rsidR="00C41515" w:rsidRPr="00240A02">
        <w:rPr>
          <w:rFonts w:eastAsia="Times New Roman" w:cs="Calibri"/>
          <w:b/>
          <w:bCs/>
        </w:rPr>
        <w:t xml:space="preserve"> </w:t>
      </w:r>
      <w:r w:rsidR="00C41515" w:rsidRPr="00240A02">
        <w:rPr>
          <w:rFonts w:eastAsia="Times New Roman" w:cs="Calibri"/>
          <w:bCs/>
        </w:rPr>
        <w:t xml:space="preserve">sur </w:t>
      </w:r>
      <w:r w:rsidRPr="00240A02">
        <w:rPr>
          <w:rFonts w:eastAsia="Times New Roman" w:cs="Calibri"/>
          <w:bCs/>
        </w:rPr>
        <w:t>le logement inadéquat en Europe (salubrité, sur</w:t>
      </w:r>
      <w:r w:rsidR="00982FEC" w:rsidRPr="00240A02">
        <w:rPr>
          <w:rFonts w:eastAsia="Times New Roman" w:cs="Calibri"/>
          <w:bCs/>
        </w:rPr>
        <w:t>peuplement de logements</w:t>
      </w:r>
      <w:r w:rsidRPr="00240A02">
        <w:rPr>
          <w:rFonts w:eastAsia="Times New Roman" w:cs="Calibri"/>
          <w:bCs/>
        </w:rPr>
        <w:t>,</w:t>
      </w:r>
      <w:r w:rsidR="00982FEC" w:rsidRPr="00240A02">
        <w:rPr>
          <w:rFonts w:eastAsia="Times New Roman" w:cs="Calibri"/>
          <w:bCs/>
        </w:rPr>
        <w:t xml:space="preserve"> </w:t>
      </w:r>
      <w:r w:rsidRPr="00240A02">
        <w:rPr>
          <w:rFonts w:eastAsia="Times New Roman" w:cs="Calibri"/>
          <w:bCs/>
        </w:rPr>
        <w:t>…)</w:t>
      </w:r>
      <w:r w:rsidR="00C41515" w:rsidRPr="00240A02">
        <w:rPr>
          <w:rFonts w:eastAsia="Times New Roman" w:cs="Calibri"/>
          <w:bCs/>
        </w:rPr>
        <w:t xml:space="preserve"> et son impact. Cette étude européenne conclu</w:t>
      </w:r>
      <w:r w:rsidR="00982FEC" w:rsidRPr="00240A02">
        <w:rPr>
          <w:rFonts w:eastAsia="Times New Roman" w:cs="Calibri"/>
          <w:bCs/>
        </w:rPr>
        <w:t>t</w:t>
      </w:r>
      <w:r w:rsidR="00C41515" w:rsidRPr="00240A02">
        <w:rPr>
          <w:rFonts w:eastAsia="Times New Roman" w:cs="Calibri"/>
          <w:bCs/>
        </w:rPr>
        <w:t xml:space="preserve"> que</w:t>
      </w:r>
      <w:r w:rsidRPr="00240A02">
        <w:rPr>
          <w:rFonts w:eastAsia="Times New Roman" w:cs="Calibri"/>
          <w:b/>
          <w:bCs/>
        </w:rPr>
        <w:t xml:space="preserve"> </w:t>
      </w:r>
      <w:r w:rsidRPr="00240A02">
        <w:rPr>
          <w:rFonts w:cs="Calibri"/>
        </w:rPr>
        <w:t>"</w:t>
      </w:r>
      <w:r w:rsidR="00C41515" w:rsidRPr="00240A02">
        <w:rPr>
          <w:rFonts w:cs="Calibri"/>
        </w:rPr>
        <w:t>s</w:t>
      </w:r>
      <w:r w:rsidRPr="00240A02">
        <w:rPr>
          <w:rFonts w:cs="Calibri"/>
          <w:i/>
        </w:rPr>
        <w:t xml:space="preserve">i toutes les améliorations nécessaires étaient apportées simultanément, le coût pour les économies et les sociétés de l’UE serait remboursé dans les 18 mois grâce aux économies prévues, telles que des frais de soins de santé plus faibles et de meilleurs résultats sociaux. En d’autres termes, pour </w:t>
      </w:r>
      <w:r w:rsidR="00341E68" w:rsidRPr="00240A02">
        <w:rPr>
          <w:rFonts w:cs="Calibri"/>
          <w:b/>
          <w:i/>
        </w:rPr>
        <w:t xml:space="preserve">trois € </w:t>
      </w:r>
      <w:r w:rsidRPr="00240A02">
        <w:rPr>
          <w:rFonts w:cs="Calibri"/>
          <w:b/>
          <w:i/>
        </w:rPr>
        <w:t>investis, deux seraient amortis en un an</w:t>
      </w:r>
      <w:r w:rsidRPr="00240A02">
        <w:rPr>
          <w:rFonts w:cs="Calibri"/>
        </w:rPr>
        <w:t>"</w:t>
      </w:r>
      <w:r w:rsidRPr="00240A02">
        <w:rPr>
          <w:rStyle w:val="Appelnotedebasdep"/>
          <w:rFonts w:eastAsia="Times New Roman" w:cs="Calibri"/>
          <w:bCs/>
        </w:rPr>
        <w:footnoteReference w:id="4"/>
      </w:r>
      <w:r w:rsidR="00C41515" w:rsidRPr="00240A02">
        <w:rPr>
          <w:rFonts w:cs="Calibri"/>
        </w:rPr>
        <w:t>.</w:t>
      </w:r>
    </w:p>
    <w:p w14:paraId="3233D87A" w14:textId="77777777" w:rsidR="0017551C" w:rsidRPr="0017551C" w:rsidRDefault="0017551C" w:rsidP="0017551C">
      <w:pPr>
        <w:autoSpaceDE w:val="0"/>
        <w:autoSpaceDN w:val="0"/>
        <w:spacing w:before="120" w:after="120"/>
        <w:ind w:left="360"/>
        <w:jc w:val="both"/>
        <w:rPr>
          <w:rFonts w:cs="Calibri"/>
          <w:color w:val="000000"/>
        </w:rPr>
      </w:pPr>
    </w:p>
    <w:p w14:paraId="48EA8C7B" w14:textId="77777777" w:rsidR="0017551C" w:rsidRDefault="0017551C" w:rsidP="0017551C">
      <w:pPr>
        <w:pStyle w:val="Paragraphedeliste"/>
        <w:jc w:val="center"/>
        <w:rPr>
          <w:rFonts w:asciiTheme="minorHAnsi" w:hAnsiTheme="minorHAnsi" w:cstheme="minorHAnsi"/>
          <w:b/>
          <w:bCs/>
          <w:iCs/>
          <w:sz w:val="28"/>
          <w:szCs w:val="28"/>
        </w:rPr>
      </w:pPr>
      <w:r w:rsidRPr="0017551C">
        <w:rPr>
          <w:rFonts w:asciiTheme="minorHAnsi" w:hAnsiTheme="minorHAnsi" w:cstheme="minorHAnsi"/>
          <w:b/>
          <w:bCs/>
          <w:iCs/>
          <w:sz w:val="28"/>
          <w:szCs w:val="28"/>
        </w:rPr>
        <w:t xml:space="preserve">Calcul de l’équilibre financier </w:t>
      </w:r>
    </w:p>
    <w:p w14:paraId="6DA43CD0" w14:textId="4ED7D3F0" w:rsidR="0017551C" w:rsidRPr="0017551C" w:rsidRDefault="0017551C" w:rsidP="0017551C">
      <w:pPr>
        <w:pStyle w:val="Paragraphedeliste"/>
        <w:jc w:val="center"/>
        <w:rPr>
          <w:rFonts w:cstheme="minorHAnsi"/>
          <w:b/>
          <w:bCs/>
          <w:iCs/>
          <w:sz w:val="28"/>
          <w:szCs w:val="28"/>
        </w:rPr>
      </w:pPr>
      <w:proofErr w:type="gramStart"/>
      <w:r w:rsidRPr="0017551C">
        <w:rPr>
          <w:rFonts w:asciiTheme="minorHAnsi" w:hAnsiTheme="minorHAnsi" w:cstheme="minorHAnsi"/>
          <w:b/>
          <w:bCs/>
          <w:iCs/>
          <w:sz w:val="28"/>
          <w:szCs w:val="28"/>
        </w:rPr>
        <w:t>pour</w:t>
      </w:r>
      <w:proofErr w:type="gramEnd"/>
      <w:r w:rsidRPr="0017551C">
        <w:rPr>
          <w:rFonts w:asciiTheme="minorHAnsi" w:hAnsiTheme="minorHAnsi" w:cstheme="minorHAnsi"/>
          <w:b/>
          <w:bCs/>
          <w:iCs/>
          <w:sz w:val="28"/>
          <w:szCs w:val="28"/>
        </w:rPr>
        <w:t xml:space="preserve"> les nouvelles constructions de logement social</w:t>
      </w:r>
    </w:p>
    <w:p w14:paraId="50BDF25F" w14:textId="77777777" w:rsidR="0017551C" w:rsidRPr="0017551C" w:rsidRDefault="0017551C" w:rsidP="0017551C">
      <w:pPr>
        <w:jc w:val="both"/>
        <w:rPr>
          <w:rFonts w:asciiTheme="minorHAnsi" w:hAnsiTheme="minorHAnsi" w:cstheme="minorHAnsi"/>
          <w:sz w:val="22"/>
          <w:szCs w:val="22"/>
        </w:rPr>
      </w:pPr>
      <w:r w:rsidRPr="0017551C">
        <w:rPr>
          <w:rFonts w:asciiTheme="minorHAnsi" w:hAnsiTheme="minorHAnsi" w:cstheme="minorHAnsi"/>
          <w:sz w:val="22"/>
          <w:szCs w:val="22"/>
        </w:rPr>
        <w:t>Le loyer mensuel moyen d’un logement public est de 272 €</w:t>
      </w:r>
      <w:r w:rsidRPr="0017551C">
        <w:rPr>
          <w:rStyle w:val="Appelnotedebasdep"/>
          <w:rFonts w:asciiTheme="minorHAnsi" w:hAnsiTheme="minorHAnsi" w:cstheme="minorHAnsi"/>
          <w:sz w:val="22"/>
          <w:szCs w:val="22"/>
        </w:rPr>
        <w:footnoteReference w:id="5"/>
      </w:r>
      <w:r w:rsidRPr="0017551C">
        <w:rPr>
          <w:rFonts w:asciiTheme="minorHAnsi" w:hAnsiTheme="minorHAnsi" w:cstheme="minorHAnsi"/>
          <w:sz w:val="22"/>
          <w:szCs w:val="22"/>
        </w:rPr>
        <w:t xml:space="preserve">. </w:t>
      </w:r>
    </w:p>
    <w:p w14:paraId="2207F543" w14:textId="77777777" w:rsidR="0017551C" w:rsidRPr="0017551C" w:rsidRDefault="0017551C" w:rsidP="0017551C">
      <w:pPr>
        <w:jc w:val="both"/>
        <w:rPr>
          <w:rFonts w:asciiTheme="minorHAnsi" w:hAnsiTheme="minorHAnsi" w:cstheme="minorHAnsi"/>
          <w:sz w:val="22"/>
          <w:szCs w:val="22"/>
        </w:rPr>
      </w:pPr>
      <w:r w:rsidRPr="0017551C">
        <w:rPr>
          <w:rFonts w:asciiTheme="minorHAnsi" w:hAnsiTheme="minorHAnsi" w:cstheme="minorHAnsi"/>
          <w:b/>
          <w:bCs/>
          <w:i/>
          <w:iCs/>
          <w:sz w:val="22"/>
          <w:szCs w:val="22"/>
        </w:rPr>
        <w:t xml:space="preserve">Ce loyer moyen est insuffisant pour atteindre l'équilibre sur les opérations neuves de création de logement. </w:t>
      </w:r>
      <w:r w:rsidRPr="0017551C">
        <w:rPr>
          <w:rFonts w:asciiTheme="minorHAnsi" w:hAnsiTheme="minorHAnsi" w:cstheme="minorHAnsi"/>
          <w:sz w:val="22"/>
          <w:szCs w:val="22"/>
        </w:rPr>
        <w:t xml:space="preserve"> </w:t>
      </w:r>
    </w:p>
    <w:p w14:paraId="2658E182" w14:textId="77777777" w:rsidR="0017551C" w:rsidRPr="0017551C" w:rsidRDefault="0017551C" w:rsidP="0017551C">
      <w:pPr>
        <w:jc w:val="both"/>
        <w:rPr>
          <w:rFonts w:asciiTheme="minorHAnsi" w:hAnsiTheme="minorHAnsi" w:cstheme="minorHAnsi"/>
          <w:sz w:val="22"/>
          <w:szCs w:val="22"/>
        </w:rPr>
      </w:pPr>
      <w:r w:rsidRPr="0017551C">
        <w:rPr>
          <w:rFonts w:asciiTheme="minorHAnsi" w:hAnsiTheme="minorHAnsi" w:cstheme="minorHAnsi"/>
          <w:sz w:val="22"/>
          <w:szCs w:val="22"/>
        </w:rPr>
        <w:t>En effet, sur base des nouvelles conditions de financement envisagées, lorsqu’une société de logement décide de construire un nouveau logement social, celle-ci finance sa construction d’une part à l’aide d’un subside octroyé par la SWL, le taux de subsidiation moyen variant entre 65,23 % et 69,19 % selon le nombre de chambres envisagées et d’autre part à l’aide d’un emprunt sur 20 ans octroyé par la SWL.</w:t>
      </w:r>
    </w:p>
    <w:p w14:paraId="3AD00DB8" w14:textId="77777777" w:rsidR="0017551C" w:rsidRDefault="0017551C" w:rsidP="0017551C">
      <w:pPr>
        <w:jc w:val="both"/>
        <w:rPr>
          <w:rFonts w:asciiTheme="minorHAnsi" w:hAnsiTheme="minorHAnsi" w:cstheme="minorHAnsi"/>
          <w:sz w:val="22"/>
          <w:szCs w:val="22"/>
        </w:rPr>
      </w:pPr>
      <w:r w:rsidRPr="0017551C">
        <w:rPr>
          <w:rFonts w:asciiTheme="minorHAnsi" w:hAnsiTheme="minorHAnsi" w:cstheme="minorHAnsi"/>
          <w:sz w:val="22"/>
          <w:szCs w:val="22"/>
        </w:rPr>
        <w:t>Comme nous pouvons le voir à travers l’exemple chiffré ci-dessous, le loyer perçu est largement insuffisant pour couvrir les coûts engendrés par la construction de ce logement.  Nous ferons ici l’hypothèse qu’il s’agit d’un logement 3 chambres</w:t>
      </w:r>
      <w:r w:rsidRPr="0017551C">
        <w:rPr>
          <w:rStyle w:val="Appelnotedebasdep"/>
          <w:rFonts w:asciiTheme="minorHAnsi" w:hAnsiTheme="minorHAnsi" w:cstheme="minorHAnsi"/>
          <w:sz w:val="22"/>
          <w:szCs w:val="22"/>
        </w:rPr>
        <w:footnoteReference w:id="6"/>
      </w:r>
      <w:r w:rsidRPr="0017551C">
        <w:rPr>
          <w:rFonts w:asciiTheme="minorHAnsi" w:hAnsiTheme="minorHAnsi" w:cstheme="minorHAnsi"/>
          <w:sz w:val="22"/>
          <w:szCs w:val="22"/>
        </w:rPr>
        <w:t xml:space="preserve"> et que le taux annuel obtenu pour l’emprunt est de 1,5 %</w:t>
      </w:r>
      <w:r w:rsidRPr="0017551C">
        <w:rPr>
          <w:rStyle w:val="Appelnotedebasdep"/>
          <w:rFonts w:asciiTheme="minorHAnsi" w:hAnsiTheme="minorHAnsi" w:cstheme="minorHAnsi"/>
          <w:sz w:val="22"/>
          <w:szCs w:val="22"/>
        </w:rPr>
        <w:footnoteReference w:id="7"/>
      </w:r>
      <w:r w:rsidRPr="0017551C">
        <w:rPr>
          <w:rFonts w:asciiTheme="minorHAnsi" w:hAnsiTheme="minorHAnsi" w:cstheme="minorHAnsi"/>
          <w:sz w:val="22"/>
          <w:szCs w:val="22"/>
        </w:rPr>
        <w:t> :</w:t>
      </w:r>
    </w:p>
    <w:p w14:paraId="22537E84" w14:textId="77777777" w:rsidR="0017551C" w:rsidRPr="0017551C" w:rsidRDefault="0017551C" w:rsidP="0017551C">
      <w:pPr>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7508"/>
        <w:gridCol w:w="1554"/>
      </w:tblGrid>
      <w:tr w:rsidR="0017551C" w:rsidRPr="008F68D3" w14:paraId="7B13B22B" w14:textId="77777777" w:rsidTr="00126E2C">
        <w:trPr>
          <w:trHeight w:val="262"/>
        </w:trPr>
        <w:tc>
          <w:tcPr>
            <w:tcW w:w="7508" w:type="dxa"/>
          </w:tcPr>
          <w:p w14:paraId="5AAB2F59" w14:textId="77777777" w:rsidR="0017551C" w:rsidRPr="008F68D3" w:rsidRDefault="0017551C" w:rsidP="00126E2C">
            <w:pPr>
              <w:jc w:val="both"/>
              <w:rPr>
                <w:rFonts w:asciiTheme="minorHAnsi" w:hAnsiTheme="minorHAnsi" w:cstheme="minorHAnsi"/>
                <w:sz w:val="22"/>
                <w:szCs w:val="22"/>
              </w:rPr>
            </w:pPr>
            <w:r w:rsidRPr="008F68D3">
              <w:rPr>
                <w:rFonts w:asciiTheme="minorHAnsi" w:hAnsiTheme="minorHAnsi" w:cstheme="minorHAnsi"/>
                <w:b/>
                <w:sz w:val="22"/>
                <w:szCs w:val="22"/>
              </w:rPr>
              <w:t xml:space="preserve">Recette mensuelle : </w:t>
            </w:r>
          </w:p>
        </w:tc>
        <w:tc>
          <w:tcPr>
            <w:tcW w:w="1554" w:type="dxa"/>
          </w:tcPr>
          <w:p w14:paraId="74444B8F" w14:textId="77777777" w:rsidR="0017551C" w:rsidRPr="008F68D3" w:rsidRDefault="0017551C" w:rsidP="00126E2C">
            <w:pPr>
              <w:jc w:val="right"/>
              <w:rPr>
                <w:rFonts w:asciiTheme="minorHAnsi" w:hAnsiTheme="minorHAnsi" w:cstheme="minorHAnsi"/>
                <w:b/>
                <w:bCs/>
                <w:sz w:val="22"/>
                <w:szCs w:val="22"/>
              </w:rPr>
            </w:pPr>
            <w:r w:rsidRPr="008F68D3">
              <w:rPr>
                <w:rFonts w:asciiTheme="minorHAnsi" w:hAnsiTheme="minorHAnsi" w:cstheme="minorHAnsi"/>
                <w:b/>
                <w:bCs/>
                <w:sz w:val="22"/>
                <w:szCs w:val="22"/>
              </w:rPr>
              <w:t>272 €</w:t>
            </w:r>
          </w:p>
        </w:tc>
      </w:tr>
      <w:tr w:rsidR="0017551C" w:rsidRPr="008F68D3" w14:paraId="6183C699" w14:textId="77777777" w:rsidTr="00126E2C">
        <w:tc>
          <w:tcPr>
            <w:tcW w:w="7508" w:type="dxa"/>
          </w:tcPr>
          <w:p w14:paraId="3DA71A53" w14:textId="77777777" w:rsidR="0017551C" w:rsidRPr="008F68D3" w:rsidRDefault="0017551C" w:rsidP="00126E2C">
            <w:pPr>
              <w:jc w:val="both"/>
              <w:rPr>
                <w:rFonts w:asciiTheme="minorHAnsi" w:hAnsiTheme="minorHAnsi" w:cstheme="minorHAnsi"/>
                <w:sz w:val="22"/>
                <w:szCs w:val="22"/>
              </w:rPr>
            </w:pPr>
            <w:r w:rsidRPr="008F68D3">
              <w:rPr>
                <w:rFonts w:asciiTheme="minorHAnsi" w:hAnsiTheme="minorHAnsi" w:cstheme="minorHAnsi"/>
                <w:i/>
                <w:iCs/>
                <w:sz w:val="22"/>
                <w:szCs w:val="22"/>
              </w:rPr>
              <w:t>Loyer moyen</w:t>
            </w:r>
          </w:p>
        </w:tc>
        <w:tc>
          <w:tcPr>
            <w:tcW w:w="1554" w:type="dxa"/>
          </w:tcPr>
          <w:p w14:paraId="4EA9C1FC" w14:textId="77777777" w:rsidR="0017551C" w:rsidRPr="008F68D3" w:rsidRDefault="0017551C" w:rsidP="00126E2C">
            <w:pPr>
              <w:jc w:val="right"/>
              <w:rPr>
                <w:rFonts w:asciiTheme="minorHAnsi" w:hAnsiTheme="minorHAnsi" w:cstheme="minorHAnsi"/>
                <w:sz w:val="22"/>
                <w:szCs w:val="22"/>
              </w:rPr>
            </w:pPr>
            <w:r w:rsidRPr="008F68D3">
              <w:rPr>
                <w:rFonts w:asciiTheme="minorHAnsi" w:hAnsiTheme="minorHAnsi" w:cstheme="minorHAnsi"/>
                <w:sz w:val="22"/>
                <w:szCs w:val="22"/>
              </w:rPr>
              <w:t>272 €</w:t>
            </w:r>
          </w:p>
        </w:tc>
      </w:tr>
      <w:tr w:rsidR="0017551C" w:rsidRPr="008F68D3" w14:paraId="048D4897" w14:textId="77777777" w:rsidTr="00126E2C">
        <w:tc>
          <w:tcPr>
            <w:tcW w:w="7508" w:type="dxa"/>
          </w:tcPr>
          <w:p w14:paraId="1766C48F" w14:textId="77777777" w:rsidR="0017551C" w:rsidRPr="008F68D3" w:rsidRDefault="0017551C" w:rsidP="00126E2C">
            <w:pPr>
              <w:jc w:val="both"/>
              <w:rPr>
                <w:rFonts w:asciiTheme="minorHAnsi" w:hAnsiTheme="minorHAnsi" w:cstheme="minorHAnsi"/>
                <w:sz w:val="22"/>
                <w:szCs w:val="22"/>
              </w:rPr>
            </w:pPr>
            <w:r w:rsidRPr="008F68D3">
              <w:rPr>
                <w:rFonts w:asciiTheme="minorHAnsi" w:hAnsiTheme="minorHAnsi" w:cstheme="minorHAnsi"/>
                <w:b/>
                <w:sz w:val="22"/>
                <w:szCs w:val="22"/>
              </w:rPr>
              <w:t>Coûts mensuels</w:t>
            </w:r>
            <w:r w:rsidRPr="008F68D3">
              <w:rPr>
                <w:rStyle w:val="Appelnotedebasdep"/>
                <w:rFonts w:asciiTheme="minorHAnsi" w:hAnsiTheme="minorHAnsi" w:cstheme="minorHAnsi"/>
                <w:sz w:val="22"/>
                <w:szCs w:val="22"/>
              </w:rPr>
              <w:footnoteReference w:id="8"/>
            </w:r>
            <w:r w:rsidRPr="008F68D3">
              <w:rPr>
                <w:rFonts w:asciiTheme="minorHAnsi" w:hAnsiTheme="minorHAnsi" w:cstheme="minorHAnsi"/>
                <w:b/>
                <w:sz w:val="22"/>
                <w:szCs w:val="22"/>
              </w:rPr>
              <w:t xml:space="preserve"> : </w:t>
            </w:r>
          </w:p>
        </w:tc>
        <w:tc>
          <w:tcPr>
            <w:tcW w:w="1554" w:type="dxa"/>
          </w:tcPr>
          <w:p w14:paraId="5C8F67C8" w14:textId="77777777" w:rsidR="0017551C" w:rsidRPr="008F68D3" w:rsidRDefault="0017551C" w:rsidP="00126E2C">
            <w:pPr>
              <w:jc w:val="right"/>
              <w:rPr>
                <w:rFonts w:asciiTheme="minorHAnsi" w:hAnsiTheme="minorHAnsi" w:cstheme="minorHAnsi"/>
                <w:b/>
                <w:bCs/>
                <w:sz w:val="22"/>
                <w:szCs w:val="22"/>
              </w:rPr>
            </w:pPr>
            <w:r w:rsidRPr="008F68D3">
              <w:rPr>
                <w:rFonts w:asciiTheme="minorHAnsi" w:hAnsiTheme="minorHAnsi" w:cstheme="minorHAnsi"/>
                <w:b/>
                <w:bCs/>
                <w:sz w:val="22"/>
                <w:szCs w:val="22"/>
              </w:rPr>
              <w:t>628,43 €</w:t>
            </w:r>
          </w:p>
        </w:tc>
      </w:tr>
      <w:tr w:rsidR="0017551C" w:rsidRPr="008F68D3" w14:paraId="50C60517" w14:textId="77777777" w:rsidTr="00126E2C">
        <w:tc>
          <w:tcPr>
            <w:tcW w:w="7508" w:type="dxa"/>
          </w:tcPr>
          <w:p w14:paraId="3B266FAB" w14:textId="77777777" w:rsidR="0017551C" w:rsidRPr="008F68D3" w:rsidRDefault="0017551C" w:rsidP="00126E2C">
            <w:pPr>
              <w:jc w:val="both"/>
              <w:rPr>
                <w:rFonts w:asciiTheme="minorHAnsi" w:hAnsiTheme="minorHAnsi" w:cstheme="minorHAnsi"/>
                <w:sz w:val="22"/>
                <w:szCs w:val="22"/>
              </w:rPr>
            </w:pPr>
            <w:r w:rsidRPr="008F68D3">
              <w:rPr>
                <w:rFonts w:asciiTheme="minorHAnsi" w:hAnsiTheme="minorHAnsi" w:cstheme="minorHAnsi"/>
                <w:iCs/>
                <w:sz w:val="22"/>
                <w:szCs w:val="22"/>
              </w:rPr>
              <w:t>Annuité financement nouveau logement</w:t>
            </w:r>
            <w:r w:rsidRPr="008F68D3">
              <w:rPr>
                <w:rStyle w:val="Appelnotedebasdep"/>
                <w:rFonts w:asciiTheme="minorHAnsi" w:hAnsiTheme="minorHAnsi" w:cstheme="minorHAnsi"/>
                <w:iCs/>
                <w:sz w:val="22"/>
                <w:szCs w:val="22"/>
              </w:rPr>
              <w:footnoteReference w:id="9"/>
            </w:r>
          </w:p>
        </w:tc>
        <w:tc>
          <w:tcPr>
            <w:tcW w:w="1554" w:type="dxa"/>
          </w:tcPr>
          <w:p w14:paraId="4C96D068" w14:textId="77777777" w:rsidR="0017551C" w:rsidRPr="008F68D3" w:rsidRDefault="0017551C" w:rsidP="00126E2C">
            <w:pPr>
              <w:jc w:val="right"/>
              <w:rPr>
                <w:rFonts w:asciiTheme="minorHAnsi" w:hAnsiTheme="minorHAnsi" w:cstheme="minorHAnsi"/>
                <w:sz w:val="22"/>
                <w:szCs w:val="22"/>
              </w:rPr>
            </w:pPr>
            <w:r w:rsidRPr="008F68D3">
              <w:rPr>
                <w:rFonts w:asciiTheme="minorHAnsi" w:hAnsiTheme="minorHAnsi" w:cstheme="minorHAnsi"/>
                <w:sz w:val="22"/>
                <w:szCs w:val="22"/>
              </w:rPr>
              <w:t>339,77 €</w:t>
            </w:r>
          </w:p>
        </w:tc>
      </w:tr>
      <w:tr w:rsidR="0017551C" w:rsidRPr="008F68D3" w14:paraId="2E8F5082" w14:textId="77777777" w:rsidTr="00126E2C">
        <w:tc>
          <w:tcPr>
            <w:tcW w:w="7508" w:type="dxa"/>
          </w:tcPr>
          <w:p w14:paraId="57BE1EFE" w14:textId="77777777" w:rsidR="0017551C" w:rsidRPr="008F68D3" w:rsidRDefault="0017551C" w:rsidP="00126E2C">
            <w:pPr>
              <w:jc w:val="both"/>
              <w:rPr>
                <w:rFonts w:asciiTheme="minorHAnsi" w:hAnsiTheme="minorHAnsi" w:cstheme="minorHAnsi"/>
                <w:sz w:val="22"/>
                <w:szCs w:val="22"/>
              </w:rPr>
            </w:pPr>
            <w:r w:rsidRPr="008F68D3">
              <w:rPr>
                <w:rFonts w:asciiTheme="minorHAnsi" w:hAnsiTheme="minorHAnsi" w:cstheme="minorHAnsi"/>
                <w:iCs/>
                <w:sz w:val="22"/>
                <w:szCs w:val="22"/>
              </w:rPr>
              <w:t>Précompte immobilier</w:t>
            </w:r>
            <w:r w:rsidRPr="008F68D3">
              <w:rPr>
                <w:rStyle w:val="Appelnotedebasdep"/>
                <w:rFonts w:asciiTheme="minorHAnsi" w:hAnsiTheme="minorHAnsi" w:cstheme="minorHAnsi"/>
                <w:iCs/>
                <w:sz w:val="22"/>
                <w:szCs w:val="22"/>
              </w:rPr>
              <w:footnoteReference w:id="10"/>
            </w:r>
          </w:p>
        </w:tc>
        <w:tc>
          <w:tcPr>
            <w:tcW w:w="1554" w:type="dxa"/>
          </w:tcPr>
          <w:p w14:paraId="33B7D5BC" w14:textId="77777777" w:rsidR="0017551C" w:rsidRPr="008F68D3" w:rsidRDefault="0017551C" w:rsidP="00126E2C">
            <w:pPr>
              <w:jc w:val="right"/>
              <w:rPr>
                <w:rFonts w:asciiTheme="minorHAnsi" w:hAnsiTheme="minorHAnsi" w:cstheme="minorHAnsi"/>
                <w:sz w:val="22"/>
                <w:szCs w:val="22"/>
              </w:rPr>
            </w:pPr>
            <w:r w:rsidRPr="008F68D3">
              <w:rPr>
                <w:rFonts w:asciiTheme="minorHAnsi" w:hAnsiTheme="minorHAnsi" w:cstheme="minorHAnsi"/>
                <w:sz w:val="22"/>
                <w:szCs w:val="22"/>
              </w:rPr>
              <w:t>32,53 €</w:t>
            </w:r>
          </w:p>
        </w:tc>
      </w:tr>
      <w:tr w:rsidR="0017551C" w:rsidRPr="008F68D3" w14:paraId="095FFA0D" w14:textId="77777777" w:rsidTr="00126E2C">
        <w:tc>
          <w:tcPr>
            <w:tcW w:w="7508" w:type="dxa"/>
          </w:tcPr>
          <w:p w14:paraId="4B106271" w14:textId="77777777" w:rsidR="0017551C" w:rsidRPr="008F68D3" w:rsidRDefault="0017551C" w:rsidP="00126E2C">
            <w:pPr>
              <w:jc w:val="both"/>
              <w:rPr>
                <w:rFonts w:asciiTheme="minorHAnsi" w:hAnsiTheme="minorHAnsi" w:cstheme="minorHAnsi"/>
                <w:iCs/>
                <w:sz w:val="22"/>
                <w:szCs w:val="22"/>
              </w:rPr>
            </w:pPr>
            <w:r w:rsidRPr="008F68D3">
              <w:rPr>
                <w:rFonts w:asciiTheme="minorHAnsi" w:hAnsiTheme="minorHAnsi" w:cstheme="minorHAnsi"/>
                <w:iCs/>
                <w:sz w:val="22"/>
                <w:szCs w:val="22"/>
              </w:rPr>
              <w:t>Assurance incendie</w:t>
            </w:r>
            <w:r w:rsidRPr="008F68D3">
              <w:rPr>
                <w:rStyle w:val="Appelnotedebasdep"/>
                <w:rFonts w:asciiTheme="minorHAnsi" w:hAnsiTheme="minorHAnsi" w:cstheme="minorHAnsi"/>
                <w:iCs/>
                <w:sz w:val="22"/>
                <w:szCs w:val="22"/>
              </w:rPr>
              <w:footnoteReference w:id="11"/>
            </w:r>
          </w:p>
        </w:tc>
        <w:tc>
          <w:tcPr>
            <w:tcW w:w="1554" w:type="dxa"/>
          </w:tcPr>
          <w:p w14:paraId="4E9D7360" w14:textId="77777777" w:rsidR="0017551C" w:rsidRPr="008F68D3" w:rsidRDefault="0017551C" w:rsidP="00126E2C">
            <w:pPr>
              <w:jc w:val="right"/>
              <w:rPr>
                <w:rFonts w:asciiTheme="minorHAnsi" w:hAnsiTheme="minorHAnsi" w:cstheme="minorHAnsi"/>
                <w:sz w:val="22"/>
                <w:szCs w:val="22"/>
              </w:rPr>
            </w:pPr>
            <w:r w:rsidRPr="008F68D3">
              <w:rPr>
                <w:rFonts w:asciiTheme="minorHAnsi" w:hAnsiTheme="minorHAnsi" w:cstheme="minorHAnsi"/>
                <w:sz w:val="22"/>
                <w:szCs w:val="22"/>
              </w:rPr>
              <w:t>2,89 €</w:t>
            </w:r>
          </w:p>
        </w:tc>
      </w:tr>
      <w:tr w:rsidR="0017551C" w:rsidRPr="008F68D3" w14:paraId="0254DC06" w14:textId="77777777" w:rsidTr="00126E2C">
        <w:tc>
          <w:tcPr>
            <w:tcW w:w="7508" w:type="dxa"/>
          </w:tcPr>
          <w:p w14:paraId="420885D6" w14:textId="77777777" w:rsidR="0017551C" w:rsidRPr="008F68D3" w:rsidRDefault="0017551C" w:rsidP="00126E2C">
            <w:pPr>
              <w:jc w:val="both"/>
              <w:rPr>
                <w:rFonts w:asciiTheme="minorHAnsi" w:hAnsiTheme="minorHAnsi" w:cstheme="minorHAnsi"/>
                <w:sz w:val="22"/>
                <w:szCs w:val="22"/>
              </w:rPr>
            </w:pPr>
            <w:r w:rsidRPr="008F68D3">
              <w:rPr>
                <w:rFonts w:asciiTheme="minorHAnsi" w:hAnsiTheme="minorHAnsi" w:cstheme="minorHAnsi"/>
                <w:iCs/>
                <w:sz w:val="22"/>
                <w:szCs w:val="22"/>
              </w:rPr>
              <w:t>Cotisation SWL</w:t>
            </w:r>
            <w:r w:rsidRPr="008F68D3">
              <w:rPr>
                <w:rStyle w:val="Appelnotedebasdep"/>
                <w:rFonts w:asciiTheme="minorHAnsi" w:hAnsiTheme="minorHAnsi" w:cstheme="minorHAnsi"/>
                <w:iCs/>
                <w:sz w:val="22"/>
                <w:szCs w:val="22"/>
              </w:rPr>
              <w:footnoteReference w:id="12"/>
            </w:r>
          </w:p>
        </w:tc>
        <w:tc>
          <w:tcPr>
            <w:tcW w:w="1554" w:type="dxa"/>
          </w:tcPr>
          <w:p w14:paraId="5C0336A9" w14:textId="77777777" w:rsidR="0017551C" w:rsidRPr="008F68D3" w:rsidRDefault="0017551C" w:rsidP="00126E2C">
            <w:pPr>
              <w:jc w:val="right"/>
              <w:rPr>
                <w:rFonts w:asciiTheme="minorHAnsi" w:hAnsiTheme="minorHAnsi" w:cstheme="minorHAnsi"/>
                <w:sz w:val="22"/>
                <w:szCs w:val="22"/>
              </w:rPr>
            </w:pPr>
            <w:r w:rsidRPr="008F68D3">
              <w:rPr>
                <w:rFonts w:asciiTheme="minorHAnsi" w:hAnsiTheme="minorHAnsi" w:cstheme="minorHAnsi"/>
                <w:sz w:val="22"/>
                <w:szCs w:val="22"/>
              </w:rPr>
              <w:t>4,58 €</w:t>
            </w:r>
          </w:p>
        </w:tc>
      </w:tr>
      <w:tr w:rsidR="0017551C" w:rsidRPr="008F68D3" w14:paraId="55D6582F" w14:textId="77777777" w:rsidTr="00126E2C">
        <w:tc>
          <w:tcPr>
            <w:tcW w:w="7508" w:type="dxa"/>
          </w:tcPr>
          <w:p w14:paraId="0C897181" w14:textId="77777777" w:rsidR="0017551C" w:rsidRPr="008F68D3" w:rsidRDefault="0017551C" w:rsidP="00126E2C">
            <w:pPr>
              <w:jc w:val="both"/>
              <w:rPr>
                <w:rFonts w:asciiTheme="minorHAnsi" w:hAnsiTheme="minorHAnsi" w:cstheme="minorHAnsi"/>
                <w:sz w:val="22"/>
                <w:szCs w:val="22"/>
              </w:rPr>
            </w:pPr>
            <w:r w:rsidRPr="008F68D3">
              <w:rPr>
                <w:rFonts w:asciiTheme="minorHAnsi" w:hAnsiTheme="minorHAnsi" w:cstheme="minorHAnsi"/>
                <w:iCs/>
                <w:sz w:val="22"/>
                <w:szCs w:val="22"/>
              </w:rPr>
              <w:t>Frais de gestion par logement (hors cotisation SWL)</w:t>
            </w:r>
          </w:p>
        </w:tc>
        <w:tc>
          <w:tcPr>
            <w:tcW w:w="1554" w:type="dxa"/>
          </w:tcPr>
          <w:p w14:paraId="0FD4127F" w14:textId="77777777" w:rsidR="0017551C" w:rsidRPr="008F68D3" w:rsidRDefault="0017551C" w:rsidP="00126E2C">
            <w:pPr>
              <w:jc w:val="right"/>
              <w:rPr>
                <w:rFonts w:asciiTheme="minorHAnsi" w:hAnsiTheme="minorHAnsi" w:cstheme="minorHAnsi"/>
                <w:sz w:val="22"/>
                <w:szCs w:val="22"/>
              </w:rPr>
            </w:pPr>
            <w:r w:rsidRPr="008F68D3">
              <w:rPr>
                <w:rFonts w:asciiTheme="minorHAnsi" w:hAnsiTheme="minorHAnsi" w:cstheme="minorHAnsi"/>
                <w:sz w:val="22"/>
                <w:szCs w:val="22"/>
              </w:rPr>
              <w:t>73,93 €</w:t>
            </w:r>
          </w:p>
        </w:tc>
      </w:tr>
      <w:tr w:rsidR="0017551C" w:rsidRPr="008F68D3" w14:paraId="1574A51A" w14:textId="77777777" w:rsidTr="00126E2C">
        <w:tc>
          <w:tcPr>
            <w:tcW w:w="7508" w:type="dxa"/>
          </w:tcPr>
          <w:p w14:paraId="1B01EDAA" w14:textId="77777777" w:rsidR="0017551C" w:rsidRPr="008F68D3" w:rsidRDefault="0017551C" w:rsidP="00126E2C">
            <w:pPr>
              <w:jc w:val="both"/>
              <w:rPr>
                <w:rFonts w:asciiTheme="minorHAnsi" w:hAnsiTheme="minorHAnsi" w:cstheme="minorHAnsi"/>
                <w:sz w:val="22"/>
                <w:szCs w:val="22"/>
              </w:rPr>
            </w:pPr>
            <w:r w:rsidRPr="008F68D3">
              <w:rPr>
                <w:rFonts w:asciiTheme="minorHAnsi" w:hAnsiTheme="minorHAnsi" w:cstheme="minorHAnsi"/>
                <w:iCs/>
                <w:sz w:val="22"/>
                <w:szCs w:val="22"/>
              </w:rPr>
              <w:t xml:space="preserve">Coût net des entretiens par logement </w:t>
            </w:r>
          </w:p>
        </w:tc>
        <w:tc>
          <w:tcPr>
            <w:tcW w:w="1554" w:type="dxa"/>
          </w:tcPr>
          <w:p w14:paraId="340741D0" w14:textId="77777777" w:rsidR="0017551C" w:rsidRPr="008F68D3" w:rsidRDefault="0017551C" w:rsidP="00126E2C">
            <w:pPr>
              <w:jc w:val="right"/>
              <w:rPr>
                <w:rFonts w:asciiTheme="minorHAnsi" w:hAnsiTheme="minorHAnsi" w:cstheme="minorHAnsi"/>
                <w:sz w:val="22"/>
                <w:szCs w:val="22"/>
              </w:rPr>
            </w:pPr>
            <w:r w:rsidRPr="008F68D3">
              <w:rPr>
                <w:rFonts w:asciiTheme="minorHAnsi" w:hAnsiTheme="minorHAnsi" w:cstheme="minorHAnsi"/>
                <w:sz w:val="22"/>
                <w:szCs w:val="22"/>
              </w:rPr>
              <w:t>13,39 €</w:t>
            </w:r>
          </w:p>
        </w:tc>
      </w:tr>
      <w:tr w:rsidR="0017551C" w:rsidRPr="008F68D3" w14:paraId="05F526EA" w14:textId="77777777" w:rsidTr="00126E2C">
        <w:tc>
          <w:tcPr>
            <w:tcW w:w="7508" w:type="dxa"/>
          </w:tcPr>
          <w:p w14:paraId="36EE966F" w14:textId="77777777" w:rsidR="0017551C" w:rsidRPr="008F68D3" w:rsidRDefault="0017551C" w:rsidP="00126E2C">
            <w:pPr>
              <w:jc w:val="both"/>
              <w:rPr>
                <w:rFonts w:asciiTheme="minorHAnsi" w:hAnsiTheme="minorHAnsi" w:cstheme="minorHAnsi"/>
                <w:sz w:val="22"/>
                <w:szCs w:val="22"/>
              </w:rPr>
            </w:pPr>
            <w:r w:rsidRPr="008F68D3">
              <w:rPr>
                <w:rFonts w:asciiTheme="minorHAnsi" w:hAnsiTheme="minorHAnsi" w:cstheme="minorHAnsi"/>
                <w:iCs/>
                <w:sz w:val="22"/>
                <w:szCs w:val="22"/>
              </w:rPr>
              <w:t>Besoin de financement complémentaire pour l’entretien curatif</w:t>
            </w:r>
            <w:r w:rsidRPr="008F68D3">
              <w:rPr>
                <w:rStyle w:val="Appelnotedebasdep"/>
                <w:rFonts w:asciiTheme="minorHAnsi" w:hAnsiTheme="minorHAnsi" w:cstheme="minorHAnsi"/>
                <w:iCs/>
                <w:sz w:val="22"/>
                <w:szCs w:val="22"/>
              </w:rPr>
              <w:footnoteReference w:id="13"/>
            </w:r>
          </w:p>
        </w:tc>
        <w:tc>
          <w:tcPr>
            <w:tcW w:w="1554" w:type="dxa"/>
          </w:tcPr>
          <w:p w14:paraId="7A0DFECE" w14:textId="77777777" w:rsidR="0017551C" w:rsidRPr="008F68D3" w:rsidRDefault="0017551C" w:rsidP="00126E2C">
            <w:pPr>
              <w:jc w:val="right"/>
              <w:rPr>
                <w:rFonts w:asciiTheme="minorHAnsi" w:hAnsiTheme="minorHAnsi" w:cstheme="minorHAnsi"/>
                <w:sz w:val="22"/>
                <w:szCs w:val="22"/>
              </w:rPr>
            </w:pPr>
            <w:r w:rsidRPr="008F68D3">
              <w:rPr>
                <w:rFonts w:asciiTheme="minorHAnsi" w:hAnsiTheme="minorHAnsi" w:cstheme="minorHAnsi"/>
                <w:sz w:val="22"/>
                <w:szCs w:val="22"/>
              </w:rPr>
              <w:t>32,21 €</w:t>
            </w:r>
          </w:p>
        </w:tc>
      </w:tr>
      <w:tr w:rsidR="0017551C" w:rsidRPr="008F68D3" w14:paraId="4A9899DD" w14:textId="77777777" w:rsidTr="00126E2C">
        <w:tc>
          <w:tcPr>
            <w:tcW w:w="7508" w:type="dxa"/>
          </w:tcPr>
          <w:p w14:paraId="28E29F13" w14:textId="77777777" w:rsidR="0017551C" w:rsidRPr="008F68D3" w:rsidRDefault="0017551C" w:rsidP="00126E2C">
            <w:pPr>
              <w:jc w:val="both"/>
              <w:rPr>
                <w:rFonts w:asciiTheme="minorHAnsi" w:hAnsiTheme="minorHAnsi" w:cstheme="minorHAnsi"/>
                <w:sz w:val="22"/>
                <w:szCs w:val="22"/>
              </w:rPr>
            </w:pPr>
            <w:r w:rsidRPr="008F68D3">
              <w:rPr>
                <w:rFonts w:asciiTheme="minorHAnsi" w:hAnsiTheme="minorHAnsi" w:cstheme="minorHAnsi"/>
                <w:iCs/>
                <w:sz w:val="22"/>
                <w:szCs w:val="22"/>
              </w:rPr>
              <w:lastRenderedPageBreak/>
              <w:t>Besoin de financement pour l’entretien préventif</w:t>
            </w:r>
            <w:r w:rsidRPr="008F68D3">
              <w:rPr>
                <w:rStyle w:val="Appelnotedebasdep"/>
                <w:rFonts w:asciiTheme="minorHAnsi" w:hAnsiTheme="minorHAnsi" w:cstheme="minorHAnsi"/>
                <w:iCs/>
                <w:sz w:val="22"/>
                <w:szCs w:val="22"/>
              </w:rPr>
              <w:footnoteReference w:id="14"/>
            </w:r>
          </w:p>
        </w:tc>
        <w:tc>
          <w:tcPr>
            <w:tcW w:w="1554" w:type="dxa"/>
          </w:tcPr>
          <w:p w14:paraId="18FD5AFF" w14:textId="77777777" w:rsidR="0017551C" w:rsidRPr="008F68D3" w:rsidRDefault="0017551C" w:rsidP="00126E2C">
            <w:pPr>
              <w:jc w:val="right"/>
              <w:rPr>
                <w:rFonts w:asciiTheme="minorHAnsi" w:hAnsiTheme="minorHAnsi" w:cstheme="minorHAnsi"/>
                <w:sz w:val="22"/>
                <w:szCs w:val="22"/>
              </w:rPr>
            </w:pPr>
            <w:r w:rsidRPr="008F68D3">
              <w:rPr>
                <w:rFonts w:asciiTheme="minorHAnsi" w:hAnsiTheme="minorHAnsi" w:cstheme="minorHAnsi"/>
                <w:sz w:val="22"/>
                <w:szCs w:val="22"/>
              </w:rPr>
              <w:t>52,81 €</w:t>
            </w:r>
          </w:p>
        </w:tc>
      </w:tr>
      <w:tr w:rsidR="0017551C" w:rsidRPr="008F68D3" w14:paraId="2A148A16" w14:textId="77777777" w:rsidTr="00126E2C">
        <w:tc>
          <w:tcPr>
            <w:tcW w:w="7508" w:type="dxa"/>
          </w:tcPr>
          <w:p w14:paraId="5B539A16" w14:textId="77777777" w:rsidR="0017551C" w:rsidRPr="008F68D3" w:rsidRDefault="0017551C" w:rsidP="00126E2C">
            <w:pPr>
              <w:jc w:val="both"/>
              <w:rPr>
                <w:rFonts w:asciiTheme="minorHAnsi" w:hAnsiTheme="minorHAnsi" w:cstheme="minorHAnsi"/>
                <w:sz w:val="22"/>
                <w:szCs w:val="22"/>
              </w:rPr>
            </w:pPr>
            <w:r w:rsidRPr="008F68D3">
              <w:rPr>
                <w:rFonts w:asciiTheme="minorHAnsi" w:hAnsiTheme="minorHAnsi" w:cstheme="minorHAnsi"/>
                <w:iCs/>
                <w:sz w:val="22"/>
                <w:szCs w:val="22"/>
              </w:rPr>
              <w:t>Provisionnement coût de la rénovation lourde</w:t>
            </w:r>
            <w:r w:rsidRPr="008F68D3">
              <w:rPr>
                <w:rStyle w:val="Appelnotedebasdep"/>
                <w:rFonts w:asciiTheme="minorHAnsi" w:hAnsiTheme="minorHAnsi" w:cstheme="minorHAnsi"/>
                <w:iCs/>
                <w:sz w:val="22"/>
                <w:szCs w:val="22"/>
              </w:rPr>
              <w:footnoteReference w:id="15"/>
            </w:r>
          </w:p>
        </w:tc>
        <w:tc>
          <w:tcPr>
            <w:tcW w:w="1554" w:type="dxa"/>
          </w:tcPr>
          <w:p w14:paraId="314B1FED" w14:textId="77777777" w:rsidR="0017551C" w:rsidRPr="008F68D3" w:rsidRDefault="0017551C" w:rsidP="00126E2C">
            <w:pPr>
              <w:jc w:val="right"/>
              <w:rPr>
                <w:rFonts w:asciiTheme="minorHAnsi" w:hAnsiTheme="minorHAnsi" w:cstheme="minorHAnsi"/>
                <w:sz w:val="22"/>
                <w:szCs w:val="22"/>
              </w:rPr>
            </w:pPr>
            <w:r w:rsidRPr="008F68D3">
              <w:rPr>
                <w:rFonts w:asciiTheme="minorHAnsi" w:hAnsiTheme="minorHAnsi" w:cstheme="minorHAnsi"/>
                <w:sz w:val="22"/>
                <w:szCs w:val="22"/>
              </w:rPr>
              <w:t>76,33 €</w:t>
            </w:r>
          </w:p>
        </w:tc>
      </w:tr>
      <w:tr w:rsidR="0017551C" w:rsidRPr="008F68D3" w14:paraId="3E345272" w14:textId="77777777" w:rsidTr="00126E2C">
        <w:tc>
          <w:tcPr>
            <w:tcW w:w="7508" w:type="dxa"/>
          </w:tcPr>
          <w:p w14:paraId="7102304D" w14:textId="77777777" w:rsidR="0017551C" w:rsidRPr="008F68D3" w:rsidRDefault="0017551C" w:rsidP="00126E2C">
            <w:pPr>
              <w:jc w:val="both"/>
              <w:rPr>
                <w:rFonts w:asciiTheme="minorHAnsi" w:hAnsiTheme="minorHAnsi" w:cstheme="minorHAnsi"/>
                <w:b/>
                <w:bCs/>
                <w:sz w:val="22"/>
                <w:szCs w:val="22"/>
              </w:rPr>
            </w:pPr>
            <w:r w:rsidRPr="008F68D3">
              <w:rPr>
                <w:rFonts w:asciiTheme="minorHAnsi" w:hAnsiTheme="minorHAnsi" w:cstheme="minorHAnsi"/>
                <w:b/>
                <w:bCs/>
                <w:sz w:val="22"/>
                <w:szCs w:val="22"/>
              </w:rPr>
              <w:t>Résultat mensuel</w:t>
            </w:r>
          </w:p>
        </w:tc>
        <w:tc>
          <w:tcPr>
            <w:tcW w:w="1554" w:type="dxa"/>
          </w:tcPr>
          <w:p w14:paraId="7C03F0A8" w14:textId="77777777" w:rsidR="0017551C" w:rsidRPr="008F68D3" w:rsidRDefault="0017551C" w:rsidP="00126E2C">
            <w:pPr>
              <w:jc w:val="right"/>
              <w:rPr>
                <w:rFonts w:asciiTheme="minorHAnsi" w:hAnsiTheme="minorHAnsi" w:cstheme="minorHAnsi"/>
                <w:b/>
                <w:bCs/>
                <w:sz w:val="22"/>
                <w:szCs w:val="22"/>
              </w:rPr>
            </w:pPr>
            <w:r w:rsidRPr="008F68D3">
              <w:rPr>
                <w:rFonts w:asciiTheme="minorHAnsi" w:hAnsiTheme="minorHAnsi" w:cstheme="minorHAnsi"/>
                <w:b/>
                <w:bCs/>
                <w:sz w:val="22"/>
                <w:szCs w:val="22"/>
              </w:rPr>
              <w:t>-356,43 €</w:t>
            </w:r>
          </w:p>
        </w:tc>
      </w:tr>
    </w:tbl>
    <w:p w14:paraId="784BAB2A" w14:textId="77777777" w:rsidR="0017551C" w:rsidRPr="0017551C" w:rsidRDefault="0017551C" w:rsidP="0017551C">
      <w:pPr>
        <w:jc w:val="both"/>
        <w:rPr>
          <w:rFonts w:asciiTheme="minorHAnsi" w:hAnsiTheme="minorHAnsi" w:cstheme="minorHAnsi"/>
        </w:rPr>
      </w:pPr>
      <w:r w:rsidRPr="0017551C">
        <w:rPr>
          <w:rFonts w:asciiTheme="minorHAnsi" w:hAnsiTheme="minorHAnsi" w:cstheme="minorHAnsi"/>
        </w:rPr>
        <w:t xml:space="preserve">  </w:t>
      </w:r>
    </w:p>
    <w:p w14:paraId="09F25C9A" w14:textId="77777777" w:rsidR="0017551C" w:rsidRPr="0017551C" w:rsidRDefault="0017551C" w:rsidP="0017551C">
      <w:pPr>
        <w:jc w:val="both"/>
        <w:rPr>
          <w:rFonts w:asciiTheme="minorHAnsi" w:hAnsiTheme="minorHAnsi" w:cstheme="minorHAnsi"/>
          <w:sz w:val="22"/>
          <w:szCs w:val="22"/>
        </w:rPr>
      </w:pPr>
      <w:r w:rsidRPr="0017551C">
        <w:rPr>
          <w:rFonts w:asciiTheme="minorHAnsi" w:hAnsiTheme="minorHAnsi" w:cstheme="minorHAnsi"/>
          <w:sz w:val="22"/>
          <w:szCs w:val="22"/>
        </w:rPr>
        <w:t xml:space="preserve">On constate ainsi que, chaque année, la société en question perdra 4.277,21 euros </w:t>
      </w:r>
      <w:proofErr w:type="gramStart"/>
      <w:r w:rsidRPr="0017551C">
        <w:rPr>
          <w:rFonts w:asciiTheme="minorHAnsi" w:hAnsiTheme="minorHAnsi" w:cstheme="minorHAnsi"/>
          <w:sz w:val="22"/>
          <w:szCs w:val="22"/>
        </w:rPr>
        <w:t>suite à</w:t>
      </w:r>
      <w:proofErr w:type="gramEnd"/>
      <w:r w:rsidRPr="0017551C">
        <w:rPr>
          <w:rFonts w:asciiTheme="minorHAnsi" w:hAnsiTheme="minorHAnsi" w:cstheme="minorHAnsi"/>
          <w:sz w:val="22"/>
          <w:szCs w:val="22"/>
        </w:rPr>
        <w:t xml:space="preserve"> la construction de son nouveau logement.</w:t>
      </w:r>
    </w:p>
    <w:p w14:paraId="31D73A9E" w14:textId="77777777" w:rsidR="0017551C" w:rsidRPr="0017551C" w:rsidRDefault="0017551C" w:rsidP="0017551C">
      <w:pPr>
        <w:jc w:val="both"/>
        <w:rPr>
          <w:rFonts w:asciiTheme="minorHAnsi" w:hAnsiTheme="minorHAnsi" w:cstheme="minorHAnsi"/>
          <w:b/>
          <w:sz w:val="22"/>
          <w:szCs w:val="22"/>
        </w:rPr>
      </w:pPr>
      <w:r w:rsidRPr="0017551C">
        <w:rPr>
          <w:rFonts w:asciiTheme="minorHAnsi" w:hAnsiTheme="minorHAnsi" w:cstheme="minorHAnsi"/>
          <w:sz w:val="22"/>
          <w:szCs w:val="22"/>
        </w:rPr>
        <w:t xml:space="preserve">On constate également que </w:t>
      </w:r>
      <w:r w:rsidRPr="0017551C">
        <w:rPr>
          <w:rFonts w:asciiTheme="minorHAnsi" w:hAnsiTheme="minorHAnsi" w:cstheme="minorHAnsi"/>
          <w:b/>
          <w:i/>
          <w:sz w:val="22"/>
          <w:szCs w:val="22"/>
        </w:rPr>
        <w:t>le loyer moyen ne couvre qu’à peine 43 % des coûts du logement en question !</w:t>
      </w:r>
      <w:r w:rsidRPr="0017551C">
        <w:rPr>
          <w:rFonts w:asciiTheme="minorHAnsi" w:hAnsiTheme="minorHAnsi" w:cstheme="minorHAnsi"/>
          <w:b/>
          <w:sz w:val="22"/>
          <w:szCs w:val="22"/>
        </w:rPr>
        <w:t xml:space="preserve">  </w:t>
      </w:r>
    </w:p>
    <w:p w14:paraId="41048F5C" w14:textId="77777777" w:rsidR="0017551C" w:rsidRDefault="0017551C" w:rsidP="0017551C">
      <w:pPr>
        <w:jc w:val="both"/>
        <w:rPr>
          <w:rFonts w:asciiTheme="minorHAnsi" w:hAnsiTheme="minorHAnsi" w:cstheme="minorHAnsi"/>
          <w:sz w:val="22"/>
          <w:szCs w:val="22"/>
        </w:rPr>
      </w:pPr>
      <w:r w:rsidRPr="0017551C">
        <w:rPr>
          <w:rFonts w:asciiTheme="minorHAnsi" w:hAnsiTheme="minorHAnsi" w:cstheme="minorHAnsi"/>
          <w:sz w:val="22"/>
          <w:szCs w:val="22"/>
        </w:rPr>
        <w:t>Ce rapide calcul sous-estime le déficit structurel engendré par la construction de tout nouveau logement.</w:t>
      </w:r>
    </w:p>
    <w:p w14:paraId="2CBE5E2D" w14:textId="0A74E1BC" w:rsidR="0017551C" w:rsidRPr="0017551C" w:rsidRDefault="0017551C" w:rsidP="0017551C">
      <w:pPr>
        <w:jc w:val="both"/>
        <w:rPr>
          <w:rFonts w:asciiTheme="minorHAnsi" w:hAnsiTheme="minorHAnsi" w:cstheme="minorHAnsi"/>
          <w:sz w:val="22"/>
          <w:szCs w:val="22"/>
        </w:rPr>
      </w:pPr>
      <w:r w:rsidRPr="0017551C">
        <w:rPr>
          <w:rFonts w:asciiTheme="minorHAnsi" w:hAnsiTheme="minorHAnsi" w:cstheme="minorHAnsi"/>
          <w:sz w:val="22"/>
          <w:szCs w:val="22"/>
        </w:rPr>
        <w:t xml:space="preserve">  </w:t>
      </w:r>
    </w:p>
    <w:p w14:paraId="1E2FB02D" w14:textId="77777777" w:rsidR="0017551C" w:rsidRPr="0017551C" w:rsidRDefault="0017551C" w:rsidP="0017551C">
      <w:pPr>
        <w:pStyle w:val="Paragraphedeliste"/>
        <w:jc w:val="right"/>
        <w:rPr>
          <w:sz w:val="18"/>
          <w:szCs w:val="18"/>
        </w:rPr>
      </w:pPr>
      <w:r w:rsidRPr="0017551C">
        <w:rPr>
          <w:sz w:val="18"/>
          <w:szCs w:val="18"/>
        </w:rPr>
        <w:t>UVCW/KVO/18.01.2021</w:t>
      </w:r>
    </w:p>
    <w:p w14:paraId="3F158F01" w14:textId="77777777" w:rsidR="00A3652D" w:rsidRPr="00240A02" w:rsidRDefault="00A3652D" w:rsidP="00A3652D">
      <w:pPr>
        <w:spacing w:before="120" w:after="120"/>
        <w:rPr>
          <w:rFonts w:ascii="Calibri" w:hAnsi="Calibri" w:cs="Calibri"/>
          <w:b/>
          <w:sz w:val="22"/>
          <w:szCs w:val="22"/>
        </w:rPr>
      </w:pPr>
    </w:p>
    <w:p w14:paraId="391BF9B9" w14:textId="77777777" w:rsidR="00A3652D" w:rsidRPr="00C41515" w:rsidRDefault="00A3652D" w:rsidP="00A3652D">
      <w:pPr>
        <w:autoSpaceDE w:val="0"/>
        <w:autoSpaceDN w:val="0"/>
        <w:spacing w:line="240" w:lineRule="exact"/>
        <w:jc w:val="both"/>
        <w:rPr>
          <w:rFonts w:ascii="Calibri" w:hAnsi="Calibri" w:cs="Calibri"/>
          <w:bCs/>
          <w:szCs w:val="24"/>
        </w:rPr>
      </w:pPr>
    </w:p>
    <w:p w14:paraId="0147F851" w14:textId="77777777" w:rsidR="00831E47" w:rsidRPr="00C41515" w:rsidRDefault="00831E47" w:rsidP="00D12B6F">
      <w:pPr>
        <w:autoSpaceDE w:val="0"/>
        <w:autoSpaceDN w:val="0"/>
        <w:adjustRightInd w:val="0"/>
        <w:spacing w:line="240" w:lineRule="exact"/>
        <w:rPr>
          <w:rFonts w:ascii="Calibri" w:hAnsi="Calibri" w:cs="Calibri"/>
          <w:szCs w:val="24"/>
        </w:rPr>
      </w:pPr>
    </w:p>
    <w:sectPr w:rsidR="00831E47" w:rsidRPr="00C41515" w:rsidSect="008063FA">
      <w:headerReference w:type="default" r:id="rId8"/>
      <w:headerReference w:type="first" r:id="rId9"/>
      <w:footerReference w:type="first" r:id="rId10"/>
      <w:type w:val="continuous"/>
      <w:pgSz w:w="11906" w:h="16838" w:code="9"/>
      <w:pgMar w:top="1134"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E002" w14:textId="77777777" w:rsidR="005951D8" w:rsidRDefault="005951D8">
      <w:r>
        <w:separator/>
      </w:r>
    </w:p>
  </w:endnote>
  <w:endnote w:type="continuationSeparator" w:id="0">
    <w:p w14:paraId="0C376F1E" w14:textId="77777777" w:rsidR="005951D8" w:rsidRDefault="0059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5DAC" w14:textId="77777777" w:rsidR="00C73208" w:rsidRDefault="00341E68">
    <w:pPr>
      <w:pStyle w:val="Pieddepage"/>
    </w:pPr>
    <w:r>
      <w:rPr>
        <w:noProof/>
        <w:lang w:val="fr-BE" w:eastAsia="fr-BE"/>
      </w:rPr>
      <w:drawing>
        <wp:anchor distT="0" distB="0" distL="114300" distR="114300" simplePos="0" relativeHeight="251657216" behindDoc="0" locked="1" layoutInCell="0" allowOverlap="1" wp14:anchorId="09498095" wp14:editId="63D6898D">
          <wp:simplePos x="0" y="0"/>
          <wp:positionH relativeFrom="page">
            <wp:posOffset>360045</wp:posOffset>
          </wp:positionH>
          <wp:positionV relativeFrom="page">
            <wp:posOffset>9757410</wp:posOffset>
          </wp:positionV>
          <wp:extent cx="6858000" cy="647700"/>
          <wp:effectExtent l="0" t="0" r="0" b="0"/>
          <wp:wrapNone/>
          <wp:docPr id="2" name="Image 2" descr="Bdpa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pag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DD42" w14:textId="77777777" w:rsidR="005951D8" w:rsidRDefault="005951D8">
      <w:r>
        <w:separator/>
      </w:r>
    </w:p>
  </w:footnote>
  <w:footnote w:type="continuationSeparator" w:id="0">
    <w:p w14:paraId="60A6D538" w14:textId="77777777" w:rsidR="005951D8" w:rsidRDefault="005951D8">
      <w:r>
        <w:continuationSeparator/>
      </w:r>
    </w:p>
  </w:footnote>
  <w:footnote w:id="1">
    <w:p w14:paraId="3867D39E" w14:textId="352D308A" w:rsidR="00A3652D" w:rsidRPr="00982FEC" w:rsidRDefault="00A3652D" w:rsidP="00982FEC">
      <w:pPr>
        <w:pStyle w:val="Notedebasdepage"/>
        <w:jc w:val="both"/>
        <w:rPr>
          <w:rFonts w:ascii="Calibri" w:hAnsi="Calibri" w:cs="Calibri"/>
          <w:sz w:val="18"/>
          <w:szCs w:val="18"/>
          <w:lang w:val="fr-BE"/>
        </w:rPr>
      </w:pPr>
      <w:r w:rsidRPr="00982FEC">
        <w:rPr>
          <w:rStyle w:val="Appelnotedebasdep"/>
          <w:rFonts w:ascii="Calibri" w:hAnsi="Calibri" w:cs="Calibri"/>
          <w:sz w:val="18"/>
          <w:szCs w:val="18"/>
        </w:rPr>
        <w:footnoteRef/>
      </w:r>
      <w:r w:rsidRPr="00982FEC">
        <w:rPr>
          <w:rFonts w:ascii="Calibri" w:hAnsi="Calibri" w:cs="Calibri"/>
          <w:sz w:val="18"/>
          <w:szCs w:val="18"/>
        </w:rPr>
        <w:t xml:space="preserve"> </w:t>
      </w:r>
      <w:r w:rsidRPr="00982FEC">
        <w:rPr>
          <w:rFonts w:ascii="Calibri" w:hAnsi="Calibri" w:cs="Calibri"/>
          <w:sz w:val="18"/>
          <w:szCs w:val="18"/>
          <w:lang w:val="fr-BE"/>
        </w:rPr>
        <w:t>Au 1/1/20</w:t>
      </w:r>
      <w:r w:rsidR="0012349A">
        <w:rPr>
          <w:rFonts w:ascii="Calibri" w:hAnsi="Calibri" w:cs="Calibri"/>
          <w:sz w:val="18"/>
          <w:szCs w:val="18"/>
          <w:lang w:val="fr-BE"/>
        </w:rPr>
        <w:t>22</w:t>
      </w:r>
    </w:p>
  </w:footnote>
  <w:footnote w:id="2">
    <w:p w14:paraId="022E35BC" w14:textId="1055312D" w:rsidR="00A3652D" w:rsidRPr="00982FEC" w:rsidRDefault="00A3652D" w:rsidP="00982FEC">
      <w:pPr>
        <w:pStyle w:val="Notedebasdepage"/>
        <w:jc w:val="both"/>
        <w:rPr>
          <w:rFonts w:ascii="Calibri" w:hAnsi="Calibri" w:cs="Calibri"/>
          <w:sz w:val="18"/>
          <w:szCs w:val="18"/>
          <w:lang w:val="fr-BE"/>
        </w:rPr>
      </w:pPr>
      <w:r w:rsidRPr="00982FEC">
        <w:rPr>
          <w:rStyle w:val="Appelnotedebasdep"/>
          <w:rFonts w:ascii="Calibri" w:hAnsi="Calibri" w:cs="Calibri"/>
          <w:sz w:val="18"/>
          <w:szCs w:val="18"/>
        </w:rPr>
        <w:footnoteRef/>
      </w:r>
      <w:r w:rsidRPr="00982FEC">
        <w:rPr>
          <w:rFonts w:ascii="Calibri" w:hAnsi="Calibri" w:cs="Calibri"/>
          <w:sz w:val="18"/>
          <w:szCs w:val="18"/>
        </w:rPr>
        <w:t xml:space="preserve"> </w:t>
      </w:r>
      <w:r w:rsidRPr="00982FEC">
        <w:rPr>
          <w:rFonts w:ascii="Calibri" w:hAnsi="Calibri" w:cs="Calibri"/>
          <w:sz w:val="18"/>
          <w:szCs w:val="18"/>
          <w:lang w:val="fr-BE"/>
        </w:rPr>
        <w:t>Au 1/1/20</w:t>
      </w:r>
      <w:r w:rsidR="0012349A">
        <w:rPr>
          <w:rFonts w:ascii="Calibri" w:hAnsi="Calibri" w:cs="Calibri"/>
          <w:sz w:val="18"/>
          <w:szCs w:val="18"/>
          <w:lang w:val="fr-BE"/>
        </w:rPr>
        <w:t>22</w:t>
      </w:r>
    </w:p>
  </w:footnote>
  <w:footnote w:id="3">
    <w:p w14:paraId="683E40D6" w14:textId="77777777" w:rsidR="00A3652D" w:rsidRPr="00982FEC" w:rsidRDefault="00A3652D" w:rsidP="00982FEC">
      <w:pPr>
        <w:pStyle w:val="Notedebasdepage"/>
        <w:jc w:val="both"/>
        <w:rPr>
          <w:rFonts w:ascii="Calibri" w:hAnsi="Calibri" w:cs="Calibri"/>
          <w:sz w:val="18"/>
          <w:szCs w:val="18"/>
          <w:lang w:val="fr-BE"/>
        </w:rPr>
      </w:pPr>
      <w:r w:rsidRPr="00982FEC">
        <w:rPr>
          <w:rStyle w:val="Appelnotedebasdep"/>
          <w:rFonts w:ascii="Calibri" w:hAnsi="Calibri" w:cs="Calibri"/>
          <w:sz w:val="18"/>
          <w:szCs w:val="18"/>
        </w:rPr>
        <w:footnoteRef/>
      </w:r>
      <w:r w:rsidRPr="00982FEC">
        <w:rPr>
          <w:rFonts w:ascii="Calibri" w:hAnsi="Calibri" w:cs="Calibri"/>
          <w:sz w:val="18"/>
          <w:szCs w:val="18"/>
        </w:rPr>
        <w:t xml:space="preserve"> </w:t>
      </w:r>
      <w:r w:rsidRPr="00982FEC">
        <w:rPr>
          <w:rFonts w:ascii="Calibri" w:hAnsi="Calibri" w:cs="Calibri"/>
          <w:sz w:val="18"/>
          <w:szCs w:val="18"/>
          <w:lang w:val="fr-BE"/>
        </w:rPr>
        <w:t xml:space="preserve">Etude de la V.U.B. visant à évaluer la contribution du secteur de la construction sur l’économie locale d’E. </w:t>
      </w:r>
      <w:proofErr w:type="spellStart"/>
      <w:r w:rsidRPr="00982FEC">
        <w:rPr>
          <w:rFonts w:ascii="Calibri" w:hAnsi="Calibri" w:cs="Calibri"/>
          <w:sz w:val="18"/>
          <w:szCs w:val="18"/>
          <w:lang w:val="fr-BE"/>
        </w:rPr>
        <w:t>Haezendonck</w:t>
      </w:r>
      <w:proofErr w:type="spellEnd"/>
      <w:r w:rsidRPr="00982FEC">
        <w:rPr>
          <w:rFonts w:ascii="Calibri" w:hAnsi="Calibri" w:cs="Calibri"/>
          <w:sz w:val="18"/>
          <w:szCs w:val="18"/>
          <w:lang w:val="fr-BE"/>
        </w:rPr>
        <w:t xml:space="preserve">, A. </w:t>
      </w:r>
      <w:proofErr w:type="spellStart"/>
      <w:r w:rsidRPr="00982FEC">
        <w:rPr>
          <w:rFonts w:ascii="Calibri" w:hAnsi="Calibri" w:cs="Calibri"/>
          <w:sz w:val="18"/>
          <w:szCs w:val="18"/>
          <w:lang w:val="fr-BE"/>
        </w:rPr>
        <w:t>Verbeke</w:t>
      </w:r>
      <w:proofErr w:type="spellEnd"/>
      <w:r w:rsidRPr="00982FEC">
        <w:rPr>
          <w:rFonts w:ascii="Calibri" w:hAnsi="Calibri" w:cs="Calibri"/>
          <w:sz w:val="18"/>
          <w:szCs w:val="18"/>
          <w:lang w:val="fr-BE"/>
        </w:rPr>
        <w:t xml:space="preserve">, M. Dooms et S. De </w:t>
      </w:r>
      <w:proofErr w:type="spellStart"/>
      <w:r w:rsidRPr="00982FEC">
        <w:rPr>
          <w:rFonts w:ascii="Calibri" w:hAnsi="Calibri" w:cs="Calibri"/>
          <w:sz w:val="18"/>
          <w:szCs w:val="18"/>
          <w:lang w:val="fr-BE"/>
        </w:rPr>
        <w:t>Schepper</w:t>
      </w:r>
      <w:proofErr w:type="spellEnd"/>
      <w:r w:rsidRPr="00982FEC">
        <w:rPr>
          <w:rFonts w:ascii="Calibri" w:hAnsi="Calibri" w:cs="Calibri"/>
          <w:sz w:val="18"/>
          <w:szCs w:val="18"/>
          <w:lang w:val="fr-BE"/>
        </w:rPr>
        <w:t xml:space="preserve">, et citée dans </w:t>
      </w:r>
      <w:r w:rsidRPr="00982FEC">
        <w:rPr>
          <w:rFonts w:ascii="Calibri" w:hAnsi="Calibri" w:cs="Calibri"/>
          <w:i/>
          <w:sz w:val="18"/>
          <w:szCs w:val="18"/>
          <w:lang w:val="fr-BE"/>
        </w:rPr>
        <w:t>Rapport annuel</w:t>
      </w:r>
      <w:r w:rsidRPr="00982FEC">
        <w:rPr>
          <w:rFonts w:ascii="Calibri" w:hAnsi="Calibri" w:cs="Calibri"/>
          <w:sz w:val="18"/>
          <w:szCs w:val="18"/>
          <w:lang w:val="fr-BE"/>
        </w:rPr>
        <w:t>, ADEB-VBA, 2014, p.8 et s.</w:t>
      </w:r>
    </w:p>
  </w:footnote>
  <w:footnote w:id="4">
    <w:p w14:paraId="374A3612" w14:textId="77777777" w:rsidR="00A3652D" w:rsidRPr="00982FEC" w:rsidRDefault="00A3652D" w:rsidP="00982FEC">
      <w:pPr>
        <w:pStyle w:val="Notedebasdepage"/>
        <w:jc w:val="both"/>
        <w:rPr>
          <w:rFonts w:ascii="Calibri" w:hAnsi="Calibri" w:cs="Calibri"/>
          <w:i/>
          <w:sz w:val="18"/>
          <w:szCs w:val="18"/>
          <w:lang w:val="fr-BE"/>
        </w:rPr>
      </w:pPr>
      <w:r w:rsidRPr="00982FEC">
        <w:rPr>
          <w:rStyle w:val="Appelnotedebasdep"/>
          <w:rFonts w:ascii="Calibri" w:hAnsi="Calibri" w:cs="Calibri"/>
          <w:sz w:val="18"/>
          <w:szCs w:val="18"/>
        </w:rPr>
        <w:footnoteRef/>
      </w:r>
      <w:r w:rsidRPr="00982FEC">
        <w:rPr>
          <w:rFonts w:ascii="Calibri" w:hAnsi="Calibri" w:cs="Calibri"/>
          <w:sz w:val="18"/>
          <w:szCs w:val="18"/>
        </w:rPr>
        <w:t xml:space="preserve"> </w:t>
      </w:r>
      <w:r w:rsidRPr="00982FEC">
        <w:rPr>
          <w:rFonts w:ascii="Calibri" w:hAnsi="Calibri" w:cs="Calibri"/>
          <w:sz w:val="18"/>
          <w:szCs w:val="18"/>
          <w:lang w:val="fr-BE"/>
        </w:rPr>
        <w:t xml:space="preserve">Etude </w:t>
      </w:r>
      <w:proofErr w:type="spellStart"/>
      <w:r w:rsidRPr="00982FEC">
        <w:rPr>
          <w:rFonts w:ascii="Calibri" w:hAnsi="Calibri" w:cs="Calibri"/>
          <w:sz w:val="18"/>
          <w:szCs w:val="18"/>
          <w:lang w:val="fr-BE"/>
        </w:rPr>
        <w:t>Eurofound</w:t>
      </w:r>
      <w:proofErr w:type="spellEnd"/>
      <w:r w:rsidRPr="00982FEC">
        <w:rPr>
          <w:rFonts w:ascii="Calibri" w:hAnsi="Calibri" w:cs="Calibri"/>
          <w:sz w:val="18"/>
          <w:szCs w:val="18"/>
          <w:lang w:val="fr-BE"/>
        </w:rPr>
        <w:t xml:space="preserve">, </w:t>
      </w:r>
      <w:r w:rsidRPr="00982FEC">
        <w:rPr>
          <w:rFonts w:ascii="Calibri" w:hAnsi="Calibri" w:cs="Calibri"/>
          <w:i/>
          <w:sz w:val="18"/>
          <w:szCs w:val="18"/>
          <w:lang w:val="fr-BE"/>
        </w:rPr>
        <w:t xml:space="preserve">Le logement inadéquat en Europe : coûts et conséquences, août 2016, </w:t>
      </w:r>
      <w:hyperlink r:id="rId1" w:history="1">
        <w:r w:rsidRPr="00982FEC">
          <w:rPr>
            <w:rStyle w:val="Lienhypertexte"/>
            <w:rFonts w:ascii="Calibri" w:hAnsi="Calibri" w:cs="Calibri"/>
            <w:sz w:val="18"/>
            <w:szCs w:val="18"/>
          </w:rPr>
          <w:t>https://www.eurofound.europa.eu/publications/report/2016/quality-of-life-social-policies/inadequate-housing-in-europe-costs-and-consequences</w:t>
        </w:r>
      </w:hyperlink>
      <w:r w:rsidRPr="00982FEC">
        <w:rPr>
          <w:rFonts w:ascii="Calibri" w:hAnsi="Calibri" w:cs="Calibri"/>
          <w:sz w:val="18"/>
          <w:szCs w:val="18"/>
        </w:rPr>
        <w:t xml:space="preserve">. </w:t>
      </w:r>
    </w:p>
  </w:footnote>
  <w:footnote w:id="5">
    <w:p w14:paraId="2686814C" w14:textId="77777777" w:rsidR="0017551C" w:rsidRPr="008F68D3" w:rsidRDefault="0017551C" w:rsidP="0017551C">
      <w:pPr>
        <w:pStyle w:val="Notedebasdepage"/>
        <w:jc w:val="both"/>
        <w:rPr>
          <w:rFonts w:asciiTheme="minorHAnsi" w:hAnsiTheme="minorHAnsi" w:cstheme="minorHAnsi"/>
          <w:sz w:val="18"/>
          <w:szCs w:val="18"/>
        </w:rPr>
      </w:pPr>
      <w:r w:rsidRPr="008F68D3">
        <w:rPr>
          <w:rStyle w:val="Appelnotedebasdep"/>
          <w:rFonts w:asciiTheme="minorHAnsi" w:hAnsiTheme="minorHAnsi" w:cstheme="minorHAnsi"/>
          <w:sz w:val="18"/>
          <w:szCs w:val="18"/>
        </w:rPr>
        <w:footnoteRef/>
      </w:r>
      <w:r w:rsidRPr="008F68D3">
        <w:rPr>
          <w:rFonts w:asciiTheme="minorHAnsi" w:hAnsiTheme="minorHAnsi" w:cstheme="minorHAnsi"/>
          <w:sz w:val="18"/>
          <w:szCs w:val="18"/>
        </w:rPr>
        <w:t xml:space="preserve"> </w:t>
      </w:r>
      <w:r w:rsidRPr="008F68D3">
        <w:rPr>
          <w:rFonts w:asciiTheme="minorHAnsi" w:hAnsiTheme="minorHAnsi" w:cstheme="minorHAnsi"/>
          <w:sz w:val="18"/>
          <w:szCs w:val="18"/>
          <w:lang w:val="fr-BE"/>
        </w:rPr>
        <w:t>Rapport d’activités 2019 de la SWL, p. 2.</w:t>
      </w:r>
    </w:p>
  </w:footnote>
  <w:footnote w:id="6">
    <w:p w14:paraId="111AF703" w14:textId="77777777" w:rsidR="0017551C" w:rsidRPr="008F68D3" w:rsidRDefault="0017551C" w:rsidP="0017551C">
      <w:pPr>
        <w:pStyle w:val="Notedebasdepage"/>
        <w:jc w:val="both"/>
        <w:rPr>
          <w:rFonts w:asciiTheme="minorHAnsi" w:hAnsiTheme="minorHAnsi" w:cstheme="minorHAnsi"/>
          <w:sz w:val="18"/>
          <w:szCs w:val="18"/>
          <w:lang w:val="fr-BE"/>
        </w:rPr>
      </w:pPr>
      <w:r w:rsidRPr="008F68D3">
        <w:rPr>
          <w:rStyle w:val="Appelnotedebasdep"/>
          <w:rFonts w:asciiTheme="minorHAnsi" w:hAnsiTheme="minorHAnsi" w:cstheme="minorHAnsi"/>
          <w:sz w:val="18"/>
          <w:szCs w:val="18"/>
        </w:rPr>
        <w:footnoteRef/>
      </w:r>
      <w:r w:rsidRPr="008F68D3">
        <w:rPr>
          <w:rFonts w:asciiTheme="minorHAnsi" w:hAnsiTheme="minorHAnsi" w:cstheme="minorHAnsi"/>
          <w:sz w:val="18"/>
          <w:szCs w:val="18"/>
        </w:rPr>
        <w:t xml:space="preserve"> </w:t>
      </w:r>
      <w:r w:rsidRPr="008F68D3">
        <w:rPr>
          <w:rFonts w:asciiTheme="minorHAnsi" w:hAnsiTheme="minorHAnsi" w:cstheme="minorHAnsi"/>
          <w:sz w:val="18"/>
          <w:szCs w:val="18"/>
          <w:lang w:val="fr-BE"/>
        </w:rPr>
        <w:t>Sur base des Indicateurs de gestion 2018 pour la Région wallonne, 43,3 % des logements dont les SLSP sont propriétaires ou qui sont gérés par elles ont 3 chambres.</w:t>
      </w:r>
    </w:p>
  </w:footnote>
  <w:footnote w:id="7">
    <w:p w14:paraId="5282DC9F" w14:textId="77777777" w:rsidR="0017551C" w:rsidRPr="008F68D3" w:rsidRDefault="0017551C" w:rsidP="0017551C">
      <w:pPr>
        <w:pStyle w:val="Notedebasdepage"/>
        <w:jc w:val="both"/>
        <w:rPr>
          <w:rFonts w:asciiTheme="minorHAnsi" w:hAnsiTheme="minorHAnsi" w:cstheme="minorHAnsi"/>
          <w:sz w:val="18"/>
          <w:szCs w:val="18"/>
          <w:lang w:val="fr-BE"/>
        </w:rPr>
      </w:pPr>
      <w:r w:rsidRPr="008F68D3">
        <w:rPr>
          <w:rStyle w:val="Appelnotedebasdep"/>
          <w:rFonts w:asciiTheme="minorHAnsi" w:hAnsiTheme="minorHAnsi" w:cstheme="minorHAnsi"/>
          <w:sz w:val="18"/>
          <w:szCs w:val="18"/>
        </w:rPr>
        <w:footnoteRef/>
      </w:r>
      <w:r w:rsidRPr="008F68D3">
        <w:rPr>
          <w:rFonts w:asciiTheme="minorHAnsi" w:hAnsiTheme="minorHAnsi" w:cstheme="minorHAnsi"/>
          <w:sz w:val="18"/>
          <w:szCs w:val="18"/>
        </w:rPr>
        <w:t xml:space="preserve"> </w:t>
      </w:r>
      <w:r w:rsidRPr="008F68D3">
        <w:rPr>
          <w:rFonts w:asciiTheme="minorHAnsi" w:hAnsiTheme="minorHAnsi" w:cstheme="minorHAnsi"/>
          <w:sz w:val="18"/>
          <w:szCs w:val="18"/>
          <w:lang w:val="fr-BE"/>
        </w:rPr>
        <w:t xml:space="preserve">Sur base de notre récente enquête sur les emprunts, ce taux moyen nous semble représentatif pour la construction d'un nouveau logement. </w:t>
      </w:r>
    </w:p>
  </w:footnote>
  <w:footnote w:id="8">
    <w:p w14:paraId="015691E3" w14:textId="77777777" w:rsidR="0017551C" w:rsidRPr="008F68D3" w:rsidRDefault="0017551C" w:rsidP="0017551C">
      <w:pPr>
        <w:pStyle w:val="Notedebasdepage"/>
        <w:jc w:val="both"/>
        <w:rPr>
          <w:rFonts w:asciiTheme="minorHAnsi" w:hAnsiTheme="minorHAnsi" w:cstheme="minorHAnsi"/>
          <w:sz w:val="18"/>
          <w:szCs w:val="18"/>
        </w:rPr>
      </w:pPr>
      <w:r w:rsidRPr="008F68D3">
        <w:rPr>
          <w:rStyle w:val="Appelnotedebasdep"/>
          <w:rFonts w:asciiTheme="minorHAnsi" w:hAnsiTheme="minorHAnsi" w:cstheme="minorHAnsi"/>
          <w:sz w:val="18"/>
          <w:szCs w:val="18"/>
        </w:rPr>
        <w:footnoteRef/>
      </w:r>
      <w:r w:rsidRPr="008F68D3">
        <w:rPr>
          <w:rFonts w:asciiTheme="minorHAnsi" w:hAnsiTheme="minorHAnsi" w:cstheme="minorHAnsi"/>
          <w:sz w:val="18"/>
          <w:szCs w:val="18"/>
        </w:rPr>
        <w:t xml:space="preserve"> </w:t>
      </w:r>
      <w:r w:rsidRPr="008F68D3">
        <w:rPr>
          <w:rFonts w:asciiTheme="minorHAnsi" w:hAnsiTheme="minorHAnsi" w:cstheme="minorHAnsi"/>
          <w:sz w:val="18"/>
          <w:szCs w:val="18"/>
          <w:lang w:val="fr-BE"/>
        </w:rPr>
        <w:t>Les données sont issues des indicateurs de gestion 2018 pour la Région wallonne.</w:t>
      </w:r>
    </w:p>
  </w:footnote>
  <w:footnote w:id="9">
    <w:p w14:paraId="712767EF" w14:textId="77777777" w:rsidR="0017551C" w:rsidRPr="008F68D3" w:rsidRDefault="0017551C" w:rsidP="0017551C">
      <w:pPr>
        <w:pStyle w:val="Notedebasdepage"/>
        <w:jc w:val="both"/>
        <w:rPr>
          <w:rFonts w:asciiTheme="minorHAnsi" w:hAnsiTheme="minorHAnsi" w:cstheme="minorHAnsi"/>
          <w:sz w:val="18"/>
          <w:szCs w:val="18"/>
          <w:lang w:val="fr-BE"/>
        </w:rPr>
      </w:pPr>
      <w:r w:rsidRPr="008F68D3">
        <w:rPr>
          <w:rStyle w:val="Appelnotedebasdep"/>
          <w:rFonts w:asciiTheme="minorHAnsi" w:hAnsiTheme="minorHAnsi" w:cstheme="minorHAnsi"/>
          <w:sz w:val="18"/>
          <w:szCs w:val="18"/>
        </w:rPr>
        <w:footnoteRef/>
      </w:r>
      <w:r w:rsidRPr="008F68D3">
        <w:rPr>
          <w:rFonts w:asciiTheme="minorHAnsi" w:hAnsiTheme="minorHAnsi" w:cstheme="minorHAnsi"/>
          <w:sz w:val="18"/>
          <w:szCs w:val="18"/>
        </w:rPr>
        <w:t xml:space="preserve"> </w:t>
      </w:r>
      <w:r w:rsidRPr="008F68D3">
        <w:rPr>
          <w:rFonts w:asciiTheme="minorHAnsi" w:hAnsiTheme="minorHAnsi" w:cstheme="minorHAnsi"/>
          <w:sz w:val="18"/>
          <w:szCs w:val="18"/>
          <w:lang w:val="fr-BE"/>
        </w:rPr>
        <w:t>Sur base d’un logement 3 chambres s’élevant à 180.000 euros et ayant bénéficié d’une subvention de 110.000 €, le montant à financer par emprunt est de 70.000 euros. On fait l’hypothèse d’un emprunt sur 20 ans à un taux annuel de 1,5 %. Cela donne une annuité de 4.077,20 € par an, soit 339,77 € par mois.</w:t>
      </w:r>
    </w:p>
  </w:footnote>
  <w:footnote w:id="10">
    <w:p w14:paraId="0FCB3E0E" w14:textId="77777777" w:rsidR="0017551C" w:rsidRPr="008F68D3" w:rsidRDefault="0017551C" w:rsidP="0017551C">
      <w:pPr>
        <w:pStyle w:val="Notedebasdepage"/>
        <w:jc w:val="both"/>
        <w:rPr>
          <w:rFonts w:asciiTheme="minorHAnsi" w:hAnsiTheme="minorHAnsi" w:cstheme="minorHAnsi"/>
          <w:sz w:val="18"/>
          <w:szCs w:val="18"/>
          <w:lang w:val="fr-BE"/>
        </w:rPr>
      </w:pPr>
      <w:r w:rsidRPr="008F68D3">
        <w:rPr>
          <w:rStyle w:val="Appelnotedebasdep"/>
          <w:rFonts w:asciiTheme="minorHAnsi" w:hAnsiTheme="minorHAnsi" w:cstheme="minorHAnsi"/>
          <w:sz w:val="18"/>
          <w:szCs w:val="18"/>
        </w:rPr>
        <w:footnoteRef/>
      </w:r>
      <w:r w:rsidRPr="008F68D3">
        <w:rPr>
          <w:rFonts w:asciiTheme="minorHAnsi" w:hAnsiTheme="minorHAnsi" w:cstheme="minorHAnsi"/>
          <w:sz w:val="18"/>
          <w:szCs w:val="18"/>
        </w:rPr>
        <w:t xml:space="preserve"> </w:t>
      </w:r>
      <w:r w:rsidRPr="008F68D3">
        <w:rPr>
          <w:rFonts w:asciiTheme="minorHAnsi" w:hAnsiTheme="minorHAnsi" w:cstheme="minorHAnsi"/>
          <w:sz w:val="18"/>
          <w:szCs w:val="18"/>
          <w:lang w:val="fr-BE"/>
        </w:rPr>
        <w:t>Ce chiffre, qui représente un coût moyen mensuel par logement, est sous-évalué dans le cadre d’une nouvelle construction puisque le précompte immobilier relatif à un immeuble neuf est plus élevé que ceux qui concernent des immeubles plus anciens.</w:t>
      </w:r>
    </w:p>
  </w:footnote>
  <w:footnote w:id="11">
    <w:p w14:paraId="03185244" w14:textId="77777777" w:rsidR="0017551C" w:rsidRPr="008F68D3" w:rsidRDefault="0017551C" w:rsidP="0017551C">
      <w:pPr>
        <w:pStyle w:val="Notedebasdepage"/>
        <w:jc w:val="both"/>
        <w:rPr>
          <w:rFonts w:asciiTheme="minorHAnsi" w:hAnsiTheme="minorHAnsi" w:cstheme="minorHAnsi"/>
          <w:sz w:val="18"/>
          <w:szCs w:val="18"/>
        </w:rPr>
      </w:pPr>
      <w:r w:rsidRPr="008F68D3">
        <w:rPr>
          <w:rStyle w:val="Appelnotedebasdep"/>
          <w:rFonts w:asciiTheme="minorHAnsi" w:hAnsiTheme="minorHAnsi" w:cstheme="minorHAnsi"/>
          <w:sz w:val="18"/>
          <w:szCs w:val="18"/>
        </w:rPr>
        <w:footnoteRef/>
      </w:r>
      <w:r w:rsidRPr="008F68D3">
        <w:rPr>
          <w:rFonts w:asciiTheme="minorHAnsi" w:hAnsiTheme="minorHAnsi" w:cstheme="minorHAnsi"/>
          <w:sz w:val="18"/>
          <w:szCs w:val="18"/>
        </w:rPr>
        <w:t xml:space="preserve"> </w:t>
      </w:r>
      <w:r w:rsidRPr="008F68D3">
        <w:rPr>
          <w:rFonts w:asciiTheme="minorHAnsi" w:hAnsiTheme="minorHAnsi" w:cstheme="minorHAnsi"/>
          <w:sz w:val="18"/>
          <w:szCs w:val="18"/>
          <w:lang w:val="fr-BE"/>
        </w:rPr>
        <w:t>Ce chiffre, qui représente un coût moyen pour l’ensemble des logements, est sous-évalué dans le cadre d’une nouvelle construction.  La valeur des nouveaux logements étant plus élevée que la valeur moyenne du patrimoine actuel, le coût de l’assurance de ces nouveaux logements est par conséquent plus élevé.</w:t>
      </w:r>
      <w:r w:rsidRPr="008F68D3">
        <w:rPr>
          <w:rFonts w:asciiTheme="minorHAnsi" w:hAnsiTheme="minorHAnsi" w:cstheme="minorHAnsi"/>
          <w:sz w:val="18"/>
          <w:szCs w:val="18"/>
        </w:rPr>
        <w:t xml:space="preserve">   </w:t>
      </w:r>
    </w:p>
  </w:footnote>
  <w:footnote w:id="12">
    <w:p w14:paraId="5718B080" w14:textId="77777777" w:rsidR="0017551C" w:rsidRPr="008F68D3" w:rsidRDefault="0017551C" w:rsidP="0017551C">
      <w:pPr>
        <w:pStyle w:val="Notedebasdepage"/>
        <w:rPr>
          <w:rFonts w:asciiTheme="minorHAnsi" w:hAnsiTheme="minorHAnsi" w:cstheme="minorHAnsi"/>
          <w:sz w:val="18"/>
          <w:szCs w:val="18"/>
          <w:lang w:val="fr-BE"/>
        </w:rPr>
      </w:pPr>
      <w:r w:rsidRPr="008F68D3">
        <w:rPr>
          <w:rStyle w:val="Appelnotedebasdep"/>
          <w:rFonts w:asciiTheme="minorHAnsi" w:hAnsiTheme="minorHAnsi" w:cstheme="minorHAnsi"/>
          <w:sz w:val="18"/>
          <w:szCs w:val="18"/>
        </w:rPr>
        <w:footnoteRef/>
      </w:r>
      <w:r w:rsidRPr="008F68D3">
        <w:rPr>
          <w:rFonts w:asciiTheme="minorHAnsi" w:hAnsiTheme="minorHAnsi" w:cstheme="minorHAnsi"/>
          <w:sz w:val="18"/>
          <w:szCs w:val="18"/>
        </w:rPr>
        <w:t xml:space="preserve"> </w:t>
      </w:r>
      <w:r w:rsidRPr="008F68D3">
        <w:rPr>
          <w:rFonts w:asciiTheme="minorHAnsi" w:hAnsiTheme="minorHAnsi" w:cstheme="minorHAnsi"/>
          <w:sz w:val="18"/>
          <w:szCs w:val="18"/>
          <w:lang w:val="fr-BE"/>
        </w:rPr>
        <w:t>Selon le rapport d’activité 2013 de la SWL, la cotisation SWL s’élève à 55 € par an par logement, soit 4,58 € par mois.</w:t>
      </w:r>
    </w:p>
  </w:footnote>
  <w:footnote w:id="13">
    <w:p w14:paraId="69380860" w14:textId="77777777" w:rsidR="0017551C" w:rsidRPr="008F68D3" w:rsidRDefault="0017551C" w:rsidP="0017551C">
      <w:pPr>
        <w:pStyle w:val="Notedebasdepage"/>
        <w:jc w:val="both"/>
        <w:rPr>
          <w:rFonts w:asciiTheme="minorHAnsi" w:hAnsiTheme="minorHAnsi" w:cstheme="minorHAnsi"/>
          <w:sz w:val="18"/>
          <w:szCs w:val="18"/>
          <w:lang w:val="fr-BE"/>
        </w:rPr>
      </w:pPr>
      <w:r w:rsidRPr="008F68D3">
        <w:rPr>
          <w:rStyle w:val="Appelnotedebasdep"/>
          <w:rFonts w:asciiTheme="minorHAnsi" w:hAnsiTheme="minorHAnsi" w:cstheme="minorHAnsi"/>
          <w:sz w:val="18"/>
          <w:szCs w:val="18"/>
        </w:rPr>
        <w:footnoteRef/>
      </w:r>
      <w:r w:rsidRPr="008F68D3">
        <w:rPr>
          <w:rFonts w:asciiTheme="minorHAnsi" w:hAnsiTheme="minorHAnsi" w:cstheme="minorHAnsi"/>
          <w:sz w:val="18"/>
          <w:szCs w:val="18"/>
        </w:rPr>
        <w:t xml:space="preserve"> </w:t>
      </w:r>
      <w:r w:rsidRPr="008F68D3">
        <w:rPr>
          <w:rFonts w:asciiTheme="minorHAnsi" w:hAnsiTheme="minorHAnsi" w:cstheme="minorHAnsi"/>
          <w:sz w:val="18"/>
          <w:szCs w:val="18"/>
          <w:lang w:val="fr-BE"/>
        </w:rPr>
        <w:t xml:space="preserve">L’entretien curatif (remise en état locatif et réparation des dégradations) est estimé entre 180 et 305 euros par an </w:t>
      </w:r>
      <w:bookmarkStart w:id="0" w:name="_Hlk61619651"/>
      <w:r w:rsidRPr="008F68D3">
        <w:rPr>
          <w:rFonts w:asciiTheme="minorHAnsi" w:hAnsiTheme="minorHAnsi" w:cstheme="minorHAnsi"/>
          <w:sz w:val="18"/>
          <w:szCs w:val="18"/>
          <w:lang w:val="fr-BE"/>
        </w:rPr>
        <w:t>(</w:t>
      </w:r>
      <w:r w:rsidRPr="008F68D3">
        <w:rPr>
          <w:rFonts w:asciiTheme="minorHAnsi" w:hAnsiTheme="minorHAnsi" w:cstheme="minorHAnsi"/>
          <w:sz w:val="18"/>
          <w:szCs w:val="18"/>
          <w:u w:val="single"/>
          <w:lang w:val="fr-BE"/>
        </w:rPr>
        <w:t>Source</w:t>
      </w:r>
      <w:r w:rsidRPr="008F68D3">
        <w:rPr>
          <w:rFonts w:asciiTheme="minorHAnsi" w:hAnsiTheme="minorHAnsi" w:cstheme="minorHAnsi"/>
          <w:sz w:val="18"/>
          <w:szCs w:val="18"/>
          <w:lang w:val="fr-BE"/>
        </w:rPr>
        <w:t xml:space="preserve"> : l’avis du Comité permanent du 17 décembre 2009 "Rénovation et entretien du parc de logement social et Région </w:t>
      </w:r>
      <w:proofErr w:type="gramStart"/>
      <w:r w:rsidRPr="008F68D3">
        <w:rPr>
          <w:rFonts w:asciiTheme="minorHAnsi" w:hAnsiTheme="minorHAnsi" w:cstheme="minorHAnsi"/>
          <w:sz w:val="18"/>
          <w:szCs w:val="18"/>
          <w:lang w:val="fr-BE"/>
        </w:rPr>
        <w:t>wallonne:</w:t>
      </w:r>
      <w:proofErr w:type="gramEnd"/>
      <w:r w:rsidRPr="008F68D3">
        <w:rPr>
          <w:rFonts w:asciiTheme="minorHAnsi" w:hAnsiTheme="minorHAnsi" w:cstheme="minorHAnsi"/>
          <w:sz w:val="18"/>
          <w:szCs w:val="18"/>
          <w:lang w:val="fr-BE"/>
        </w:rPr>
        <w:t xml:space="preserve"> besoins en financement"). Si on prend cette valeur maximale de 305 €, datant de 2009 et qu’on lui applique l’indice </w:t>
      </w:r>
      <w:proofErr w:type="spellStart"/>
      <w:r w:rsidRPr="008F68D3">
        <w:rPr>
          <w:rFonts w:asciiTheme="minorHAnsi" w:hAnsiTheme="minorHAnsi" w:cstheme="minorHAnsi"/>
          <w:sz w:val="18"/>
          <w:szCs w:val="18"/>
          <w:lang w:val="fr-BE"/>
        </w:rPr>
        <w:t>abex</w:t>
      </w:r>
      <w:proofErr w:type="spellEnd"/>
      <w:r w:rsidRPr="008F68D3">
        <w:rPr>
          <w:rFonts w:asciiTheme="minorHAnsi" w:hAnsiTheme="minorHAnsi" w:cstheme="minorHAnsi"/>
          <w:sz w:val="18"/>
          <w:szCs w:val="18"/>
          <w:lang w:val="fr-BE"/>
        </w:rPr>
        <w:t xml:space="preserve"> de novembre 2020, cela donne un montant de 386,54 €, soit 32,21 € par mois.</w:t>
      </w:r>
      <w:bookmarkEnd w:id="0"/>
    </w:p>
    <w:p w14:paraId="25A62E9B" w14:textId="77777777" w:rsidR="0017551C" w:rsidRPr="00306FD1" w:rsidRDefault="0017551C" w:rsidP="0017551C">
      <w:pPr>
        <w:pStyle w:val="Notedebasdepage"/>
        <w:rPr>
          <w:lang w:val="fr-BE"/>
        </w:rPr>
      </w:pPr>
      <w:r>
        <w:tab/>
        <w:t>.</w:t>
      </w:r>
    </w:p>
  </w:footnote>
  <w:footnote w:id="14">
    <w:p w14:paraId="7356C114" w14:textId="77777777" w:rsidR="0017551C" w:rsidRPr="00E24F10" w:rsidRDefault="0017551C" w:rsidP="0017551C">
      <w:pPr>
        <w:pStyle w:val="Notedebasdepage"/>
        <w:jc w:val="both"/>
        <w:rPr>
          <w:rFonts w:ascii="Arial" w:hAnsi="Arial" w:cs="Arial"/>
          <w:sz w:val="18"/>
          <w:szCs w:val="18"/>
          <w:lang w:val="fr-BE"/>
        </w:rPr>
      </w:pPr>
      <w:r>
        <w:rPr>
          <w:rStyle w:val="Appelnotedebasdep"/>
        </w:rPr>
        <w:footnoteRef/>
      </w:r>
      <w:r>
        <w:t xml:space="preserve"> </w:t>
      </w:r>
      <w:r w:rsidRPr="00E24F10">
        <w:rPr>
          <w:rFonts w:ascii="Arial" w:hAnsi="Arial" w:cs="Arial"/>
          <w:sz w:val="18"/>
          <w:szCs w:val="18"/>
          <w:lang w:val="fr-BE"/>
        </w:rPr>
        <w:t xml:space="preserve">L’entretien préventif de base est estimé à 500 € par an (Source : l’avis du Comité permanent du 17 décembre 2009 "Rénovation et entretien du parc de logement social et Région </w:t>
      </w:r>
      <w:proofErr w:type="gramStart"/>
      <w:r w:rsidRPr="00E24F10">
        <w:rPr>
          <w:rFonts w:ascii="Arial" w:hAnsi="Arial" w:cs="Arial"/>
          <w:sz w:val="18"/>
          <w:szCs w:val="18"/>
          <w:lang w:val="fr-BE"/>
        </w:rPr>
        <w:t>wallonne:</w:t>
      </w:r>
      <w:proofErr w:type="gramEnd"/>
      <w:r w:rsidRPr="00E24F10">
        <w:rPr>
          <w:rFonts w:ascii="Arial" w:hAnsi="Arial" w:cs="Arial"/>
          <w:sz w:val="18"/>
          <w:szCs w:val="18"/>
          <w:lang w:val="fr-BE"/>
        </w:rPr>
        <w:t xml:space="preserve"> besoins en financement"). Si on prend cette valeur maximale de 500 €, datant de 2009 et qu’on lui applique l’indice </w:t>
      </w:r>
      <w:proofErr w:type="spellStart"/>
      <w:r w:rsidRPr="00E24F10">
        <w:rPr>
          <w:rFonts w:ascii="Arial" w:hAnsi="Arial" w:cs="Arial"/>
          <w:sz w:val="18"/>
          <w:szCs w:val="18"/>
          <w:lang w:val="fr-BE"/>
        </w:rPr>
        <w:t>abex</w:t>
      </w:r>
      <w:proofErr w:type="spellEnd"/>
      <w:r w:rsidRPr="00E24F10">
        <w:rPr>
          <w:rFonts w:ascii="Arial" w:hAnsi="Arial" w:cs="Arial"/>
          <w:sz w:val="18"/>
          <w:szCs w:val="18"/>
          <w:lang w:val="fr-BE"/>
        </w:rPr>
        <w:t xml:space="preserve"> de novembre 2020, cela donne un montant de 500 €, soit 52,81 € par mois.</w:t>
      </w:r>
    </w:p>
  </w:footnote>
  <w:footnote w:id="15">
    <w:p w14:paraId="623A1520" w14:textId="77777777" w:rsidR="0017551C" w:rsidRPr="00F35885" w:rsidRDefault="0017551C" w:rsidP="0017551C">
      <w:pPr>
        <w:pStyle w:val="Notedebasdepage"/>
        <w:jc w:val="both"/>
        <w:rPr>
          <w:rFonts w:ascii="Arial" w:hAnsi="Arial" w:cs="Arial"/>
          <w:sz w:val="18"/>
          <w:szCs w:val="18"/>
          <w:lang w:val="fr-BE"/>
        </w:rPr>
      </w:pPr>
      <w:r>
        <w:rPr>
          <w:rStyle w:val="Appelnotedebasdep"/>
        </w:rPr>
        <w:footnoteRef/>
      </w:r>
      <w:r>
        <w:t xml:space="preserve"> </w:t>
      </w:r>
      <w:r w:rsidRPr="00F35885">
        <w:rPr>
          <w:rFonts w:ascii="Arial" w:hAnsi="Arial" w:cs="Arial"/>
          <w:sz w:val="18"/>
          <w:szCs w:val="18"/>
          <w:lang w:val="fr-BE"/>
        </w:rPr>
        <w:t>Le coût d’une rénovation lourde (c’est-à-dire une mise à niveau du parc au regard au regard des normes de salubrité telles que définies actuellement et hors travaux liés à la performance énergétique) est estimé en 2009 entre 24.100 et 28.100 euros par logement pour les maisons unifamiliales, soit 26.100 euros en moyenne et entre 20.600 et 21.600 euros par logement pour les appartements sis en immeubles, soit 21.100 euros en moyenne. Tenant compte de la proportion respective (55 % maisons-45 % appartements), cela donne une moyenne de 23.850 €.</w:t>
      </w:r>
      <w:r w:rsidRPr="00F35885">
        <w:t xml:space="preserve"> </w:t>
      </w:r>
      <w:r w:rsidRPr="00F35885">
        <w:rPr>
          <w:rFonts w:ascii="Arial" w:hAnsi="Arial" w:cs="Arial"/>
          <w:sz w:val="18"/>
          <w:szCs w:val="18"/>
          <w:lang w:val="fr-BE"/>
        </w:rPr>
        <w:t xml:space="preserve">Si on prend cette valeur de 23.850 €, datant de 2009 et qu’on lui applique l’indice </w:t>
      </w:r>
      <w:proofErr w:type="spellStart"/>
      <w:r w:rsidRPr="00F35885">
        <w:rPr>
          <w:rFonts w:ascii="Arial" w:hAnsi="Arial" w:cs="Arial"/>
          <w:sz w:val="18"/>
          <w:szCs w:val="18"/>
          <w:lang w:val="fr-BE"/>
        </w:rPr>
        <w:t>abex</w:t>
      </w:r>
      <w:proofErr w:type="spellEnd"/>
      <w:r w:rsidRPr="00F35885">
        <w:rPr>
          <w:rFonts w:ascii="Arial" w:hAnsi="Arial" w:cs="Arial"/>
          <w:sz w:val="18"/>
          <w:szCs w:val="18"/>
          <w:lang w:val="fr-BE"/>
        </w:rPr>
        <w:t xml:space="preserve"> </w:t>
      </w:r>
      <w:r>
        <w:rPr>
          <w:rFonts w:ascii="Arial" w:hAnsi="Arial" w:cs="Arial"/>
          <w:sz w:val="18"/>
          <w:szCs w:val="18"/>
          <w:lang w:val="fr-BE"/>
        </w:rPr>
        <w:t>de novembre 2020</w:t>
      </w:r>
      <w:r w:rsidRPr="00F35885">
        <w:rPr>
          <w:rFonts w:ascii="Arial" w:hAnsi="Arial" w:cs="Arial"/>
          <w:sz w:val="18"/>
          <w:szCs w:val="18"/>
          <w:lang w:val="fr-BE"/>
        </w:rPr>
        <w:t>, cela donne un montant de 30.226,44 €.</w:t>
      </w:r>
      <w:r w:rsidRPr="00F35885">
        <w:t xml:space="preserve"> </w:t>
      </w:r>
      <w:r w:rsidRPr="00F35885">
        <w:rPr>
          <w:rFonts w:ascii="Arial" w:hAnsi="Arial" w:cs="Arial"/>
          <w:sz w:val="18"/>
          <w:szCs w:val="18"/>
          <w:lang w:val="fr-BE"/>
        </w:rPr>
        <w:t xml:space="preserve">On fait l’hypothèse que ce coût est amorti sur 33 ans (durée d’amortissement de tout investissement relatif à la rénovation), ce qui engendre un coût mensuel de </w:t>
      </w:r>
      <w:r>
        <w:rPr>
          <w:rFonts w:ascii="Arial" w:hAnsi="Arial" w:cs="Arial"/>
          <w:sz w:val="18"/>
          <w:szCs w:val="18"/>
          <w:lang w:val="fr-BE"/>
        </w:rPr>
        <w:t>76,33</w:t>
      </w:r>
      <w:r w:rsidRPr="00F35885">
        <w:rPr>
          <w:rFonts w:ascii="Arial" w:hAnsi="Arial" w:cs="Arial"/>
          <w:sz w:val="18"/>
          <w:szCs w:val="18"/>
          <w:lang w:val="fr-BE"/>
        </w:rPr>
        <w:t xml:space="preserve"> €. Tous les logements, qu’ils atteignent ou non actuellement les normes de salubrité doivent mettre de côté chaque mois une somme pour pouvoir réaliser cette rénovation lourde le moment venu.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51B4" w14:textId="77777777" w:rsidR="00C73208" w:rsidRPr="00722AB0" w:rsidRDefault="00C73208" w:rsidP="008063FA">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636A" w14:textId="77777777" w:rsidR="00C73208" w:rsidRDefault="00341E68">
    <w:pPr>
      <w:pStyle w:val="En-tte"/>
    </w:pPr>
    <w:r>
      <w:rPr>
        <w:noProof/>
        <w:lang w:val="fr-BE" w:eastAsia="fr-BE"/>
      </w:rPr>
      <w:drawing>
        <wp:anchor distT="0" distB="0" distL="114300" distR="114300" simplePos="0" relativeHeight="251656192" behindDoc="0" locked="1" layoutInCell="0" allowOverlap="0" wp14:anchorId="0D9C24AD" wp14:editId="3A37C9E7">
          <wp:simplePos x="0" y="0"/>
          <wp:positionH relativeFrom="page">
            <wp:posOffset>360045</wp:posOffset>
          </wp:positionH>
          <wp:positionV relativeFrom="page">
            <wp:posOffset>360045</wp:posOffset>
          </wp:positionV>
          <wp:extent cx="1835150" cy="742950"/>
          <wp:effectExtent l="0" t="0" r="0" b="0"/>
          <wp:wrapNone/>
          <wp:docPr id="1" name="Image 1"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wLogoQ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7F8"/>
    <w:multiLevelType w:val="hybridMultilevel"/>
    <w:tmpl w:val="19FE91E8"/>
    <w:lvl w:ilvl="0" w:tplc="5AEEE81C">
      <w:start w:val="13"/>
      <w:numFmt w:val="bullet"/>
      <w:lvlText w:val="-"/>
      <w:lvlJc w:val="left"/>
      <w:pPr>
        <w:ind w:left="720" w:hanging="360"/>
      </w:pPr>
      <w:rPr>
        <w:rFonts w:ascii="Arial" w:eastAsia="Times"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5FD0982"/>
    <w:multiLevelType w:val="hybridMultilevel"/>
    <w:tmpl w:val="0C8808A0"/>
    <w:lvl w:ilvl="0" w:tplc="F034A388">
      <w:start w:val="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421785C"/>
    <w:multiLevelType w:val="hybridMultilevel"/>
    <w:tmpl w:val="196EE808"/>
    <w:lvl w:ilvl="0" w:tplc="2258101C">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2258101C">
      <w:numFmt w:val="bullet"/>
      <w:lvlText w:val="-"/>
      <w:lvlJc w:val="left"/>
      <w:pPr>
        <w:ind w:left="2160" w:hanging="360"/>
      </w:pPr>
      <w:rPr>
        <w:rFonts w:ascii="Arial" w:eastAsia="Times New Roman" w:hAnsi="Arial" w:cs="Aria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68E7EFD"/>
    <w:multiLevelType w:val="hybridMultilevel"/>
    <w:tmpl w:val="03402A1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B2F7BD5"/>
    <w:multiLevelType w:val="hybridMultilevel"/>
    <w:tmpl w:val="B91CF4DC"/>
    <w:lvl w:ilvl="0" w:tplc="7BBA04B0">
      <w:numFmt w:val="bullet"/>
      <w:lvlText w:val="-"/>
      <w:lvlJc w:val="left"/>
      <w:pPr>
        <w:ind w:left="1080" w:hanging="360"/>
      </w:pPr>
      <w:rPr>
        <w:rFonts w:ascii="Arial" w:eastAsia="Calibri" w:hAnsi="Arial" w:cs="Aria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7E5430B1"/>
    <w:multiLevelType w:val="hybridMultilevel"/>
    <w:tmpl w:val="8BA81950"/>
    <w:lvl w:ilvl="0" w:tplc="C7582D62">
      <w:start w:val="2"/>
      <w:numFmt w:val="bullet"/>
      <w:lvlText w:val=""/>
      <w:lvlJc w:val="left"/>
      <w:pPr>
        <w:ind w:left="1800" w:hanging="360"/>
      </w:pPr>
      <w:rPr>
        <w:rFonts w:ascii="Wingdings" w:eastAsia="Times New Roman" w:hAnsi="Wingdings" w:cstheme="minorBid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16cid:durableId="1671986746">
    <w:abstractNumId w:val="0"/>
  </w:num>
  <w:num w:numId="2" w16cid:durableId="283469450">
    <w:abstractNumId w:val="2"/>
  </w:num>
  <w:num w:numId="3" w16cid:durableId="1528955597">
    <w:abstractNumId w:val="3"/>
  </w:num>
  <w:num w:numId="4" w16cid:durableId="367754257">
    <w:abstractNumId w:val="4"/>
  </w:num>
  <w:num w:numId="5" w16cid:durableId="1800954022">
    <w:abstractNumId w:val="1"/>
  </w:num>
  <w:num w:numId="6" w16cid:durableId="262803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2D"/>
    <w:rsid w:val="000F6FDB"/>
    <w:rsid w:val="0012349A"/>
    <w:rsid w:val="0017551C"/>
    <w:rsid w:val="001810C5"/>
    <w:rsid w:val="00181486"/>
    <w:rsid w:val="001B2348"/>
    <w:rsid w:val="001C7808"/>
    <w:rsid w:val="00204BEE"/>
    <w:rsid w:val="002341E9"/>
    <w:rsid w:val="00240A02"/>
    <w:rsid w:val="00271E3F"/>
    <w:rsid w:val="0033340C"/>
    <w:rsid w:val="00341E68"/>
    <w:rsid w:val="003708CE"/>
    <w:rsid w:val="00370B7E"/>
    <w:rsid w:val="003C3D0F"/>
    <w:rsid w:val="0047498E"/>
    <w:rsid w:val="004A2326"/>
    <w:rsid w:val="00514C6C"/>
    <w:rsid w:val="005951D8"/>
    <w:rsid w:val="005F7C31"/>
    <w:rsid w:val="00660DD1"/>
    <w:rsid w:val="006B5465"/>
    <w:rsid w:val="00722AB0"/>
    <w:rsid w:val="007352DF"/>
    <w:rsid w:val="0076702B"/>
    <w:rsid w:val="00767569"/>
    <w:rsid w:val="007841DC"/>
    <w:rsid w:val="007A2619"/>
    <w:rsid w:val="007E42F9"/>
    <w:rsid w:val="008063FA"/>
    <w:rsid w:val="00831E47"/>
    <w:rsid w:val="008724F4"/>
    <w:rsid w:val="0087461F"/>
    <w:rsid w:val="008D5B4A"/>
    <w:rsid w:val="009337A7"/>
    <w:rsid w:val="00982FEC"/>
    <w:rsid w:val="009916DE"/>
    <w:rsid w:val="009A2D9A"/>
    <w:rsid w:val="009E0D25"/>
    <w:rsid w:val="00A3652D"/>
    <w:rsid w:val="00A672EF"/>
    <w:rsid w:val="00AC4913"/>
    <w:rsid w:val="00B20143"/>
    <w:rsid w:val="00C31321"/>
    <w:rsid w:val="00C41515"/>
    <w:rsid w:val="00C73208"/>
    <w:rsid w:val="00C80FCF"/>
    <w:rsid w:val="00C84D23"/>
    <w:rsid w:val="00CC0873"/>
    <w:rsid w:val="00D12B6F"/>
    <w:rsid w:val="00D6348A"/>
    <w:rsid w:val="00D9386E"/>
    <w:rsid w:val="00DE3C55"/>
    <w:rsid w:val="00E3754E"/>
    <w:rsid w:val="00E6595E"/>
    <w:rsid w:val="00ED017F"/>
    <w:rsid w:val="00ED6A75"/>
    <w:rsid w:val="00F036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3759E7"/>
  <w15:docId w15:val="{79748EC7-F983-44B0-937D-51C4D5C5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table" w:styleId="Grilledutableau">
    <w:name w:val="Table Grid"/>
    <w:basedOn w:val="TableauNormal"/>
    <w:uiPriority w:val="39"/>
    <w:rsid w:val="001B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831E47"/>
  </w:style>
  <w:style w:type="character" w:customStyle="1" w:styleId="PieddepageCar">
    <w:name w:val="Pied de page Car"/>
    <w:link w:val="Pieddepage"/>
    <w:rsid w:val="009337A7"/>
    <w:rPr>
      <w:sz w:val="24"/>
      <w:lang w:val="fr-FR" w:eastAsia="fr-FR"/>
    </w:rPr>
  </w:style>
  <w:style w:type="character" w:styleId="lev">
    <w:name w:val="Strong"/>
    <w:qFormat/>
    <w:rsid w:val="009337A7"/>
    <w:rPr>
      <w:b/>
      <w:bCs/>
    </w:rPr>
  </w:style>
  <w:style w:type="paragraph" w:styleId="Paragraphedeliste">
    <w:name w:val="List Paragraph"/>
    <w:basedOn w:val="Normal"/>
    <w:link w:val="ParagraphedelisteCar"/>
    <w:uiPriority w:val="34"/>
    <w:qFormat/>
    <w:rsid w:val="00A3652D"/>
    <w:pPr>
      <w:spacing w:after="160" w:line="259"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rsid w:val="00A3652D"/>
    <w:rPr>
      <w:sz w:val="20"/>
    </w:rPr>
  </w:style>
  <w:style w:type="character" w:customStyle="1" w:styleId="NotedebasdepageCar">
    <w:name w:val="Note de bas de page Car"/>
    <w:basedOn w:val="Policepardfaut"/>
    <w:link w:val="Notedebasdepage"/>
    <w:uiPriority w:val="99"/>
    <w:rsid w:val="00A3652D"/>
    <w:rPr>
      <w:lang w:val="fr-FR" w:eastAsia="fr-FR"/>
    </w:rPr>
  </w:style>
  <w:style w:type="character" w:styleId="Appelnotedebasdep">
    <w:name w:val="footnote reference"/>
    <w:uiPriority w:val="99"/>
    <w:rsid w:val="00A3652D"/>
    <w:rPr>
      <w:vertAlign w:val="superscript"/>
    </w:rPr>
  </w:style>
  <w:style w:type="character" w:customStyle="1" w:styleId="ParagraphedelisteCar">
    <w:name w:val="Paragraphe de liste Car"/>
    <w:link w:val="Paragraphedeliste"/>
    <w:uiPriority w:val="34"/>
    <w:rsid w:val="00A3652D"/>
    <w:rPr>
      <w:rFonts w:ascii="Calibri" w:eastAsia="Calibri" w:hAnsi="Calibri"/>
      <w:sz w:val="22"/>
      <w:szCs w:val="22"/>
      <w:lang w:eastAsia="en-US"/>
    </w:rPr>
  </w:style>
  <w:style w:type="character" w:styleId="Lienhypertexte">
    <w:name w:val="Hyperlink"/>
    <w:uiPriority w:val="99"/>
    <w:unhideWhenUsed/>
    <w:rsid w:val="00A3652D"/>
    <w:rPr>
      <w:color w:val="0000FF"/>
      <w:u w:val="single"/>
    </w:rPr>
  </w:style>
  <w:style w:type="paragraph" w:styleId="Textedebulles">
    <w:name w:val="Balloon Text"/>
    <w:basedOn w:val="Normal"/>
    <w:link w:val="TextedebullesCar"/>
    <w:rsid w:val="00982FEC"/>
    <w:rPr>
      <w:rFonts w:ascii="Segoe UI" w:hAnsi="Segoe UI" w:cs="Segoe UI"/>
      <w:sz w:val="18"/>
      <w:szCs w:val="18"/>
    </w:rPr>
  </w:style>
  <w:style w:type="character" w:customStyle="1" w:styleId="TextedebullesCar">
    <w:name w:val="Texte de bulles Car"/>
    <w:basedOn w:val="Policepardfaut"/>
    <w:link w:val="Textedebulles"/>
    <w:rsid w:val="00982FEC"/>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eurofound.europa.eu/publications/report/2016/quality-of-life-social-policies/inadequate-housing-in-europe-costs-and-consequen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F50C5-9FD0-48D1-82AB-3BCF1567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771</Words>
  <Characters>4103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wx</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creator>Windows User</dc:creator>
  <cp:lastModifiedBy>Michel L'Hoost</cp:lastModifiedBy>
  <cp:revision>15</cp:revision>
  <cp:lastPrinted>2019-04-25T08:05:00Z</cp:lastPrinted>
  <dcterms:created xsi:type="dcterms:W3CDTF">2024-02-21T08:28:00Z</dcterms:created>
  <dcterms:modified xsi:type="dcterms:W3CDTF">2024-02-22T13:03:00Z</dcterms:modified>
</cp:coreProperties>
</file>