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62"/>
      </w:tblGrid>
      <w:tr w:rsidR="00012EE3" w:rsidRPr="00DE31A1" w14:paraId="233B6BF7" w14:textId="77777777" w:rsidTr="00A55F26">
        <w:trPr>
          <w:trHeight w:val="1786"/>
        </w:trPr>
        <w:tc>
          <w:tcPr>
            <w:tcW w:w="3969" w:type="dxa"/>
          </w:tcPr>
          <w:p w14:paraId="7B208F9C" w14:textId="63656ED2" w:rsidR="00012EE3" w:rsidRPr="00DF461A" w:rsidRDefault="00012EE3" w:rsidP="00A55F26">
            <w:pPr>
              <w:rPr>
                <w:b/>
                <w:highlight w:val="yellow"/>
              </w:rPr>
            </w:pPr>
            <w:bookmarkStart w:id="0" w:name="_Hlk36553658"/>
            <w:bookmarkStart w:id="1" w:name="_GoBack"/>
            <w:bookmarkEnd w:id="1"/>
          </w:p>
          <w:p w14:paraId="2B324C15" w14:textId="77777777" w:rsidR="003E41DB" w:rsidRPr="00DE31A1" w:rsidRDefault="003E41DB" w:rsidP="00A55F26"/>
        </w:tc>
        <w:tc>
          <w:tcPr>
            <w:tcW w:w="5562" w:type="dxa"/>
          </w:tcPr>
          <w:p w14:paraId="00CF4745" w14:textId="77777777" w:rsidR="00140AAC" w:rsidRPr="00995B67" w:rsidRDefault="00140AAC" w:rsidP="00140AAC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995B67"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  <w:t>ANNEXE n° 2</w:t>
            </w:r>
          </w:p>
          <w:p w14:paraId="3895B3C7" w14:textId="6832A885" w:rsidR="00012EE3" w:rsidRPr="00DE31A1" w:rsidRDefault="00140AAC" w:rsidP="00140AAC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5B67"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  <w:t xml:space="preserve">Report de la date de début d’exécution </w:t>
            </w:r>
          </w:p>
          <w:p w14:paraId="621EBA66" w14:textId="77777777" w:rsidR="00012EE3" w:rsidRPr="00DE31A1" w:rsidRDefault="00012EE3" w:rsidP="00A55F26">
            <w:pPr>
              <w:tabs>
                <w:tab w:val="left" w:pos="743"/>
              </w:tabs>
              <w:ind w:firstLine="1134"/>
              <w:rPr>
                <w:rFonts w:ascii="Century Gothic" w:hAnsi="Century Gothic" w:cs="CenturyGothic"/>
                <w:color w:val="000000"/>
                <w:sz w:val="21"/>
                <w:szCs w:val="21"/>
              </w:rPr>
            </w:pPr>
          </w:p>
          <w:p w14:paraId="4FE1C47A" w14:textId="77777777" w:rsidR="00012EE3" w:rsidRPr="00DE31A1" w:rsidRDefault="00012EE3" w:rsidP="00A55F26">
            <w:pPr>
              <w:tabs>
                <w:tab w:val="left" w:pos="743"/>
              </w:tabs>
              <w:ind w:firstLine="1134"/>
              <w:rPr>
                <w:rFonts w:ascii="Century Gothic" w:hAnsi="Century Gothic" w:cs="CenturyGothic"/>
                <w:color w:val="000000"/>
                <w:sz w:val="21"/>
                <w:szCs w:val="21"/>
              </w:rPr>
            </w:pPr>
          </w:p>
        </w:tc>
      </w:tr>
    </w:tbl>
    <w:p w14:paraId="39A9AEEF" w14:textId="77777777" w:rsidR="00012EE3" w:rsidRDefault="00012EE3" w:rsidP="00012EE3">
      <w:pPr>
        <w:spacing w:after="0" w:line="240" w:lineRule="auto"/>
        <w:ind w:left="1985" w:hanging="851"/>
        <w:rPr>
          <w:rFonts w:ascii="Century Gothic" w:eastAsiaTheme="minorEastAsia" w:hAnsi="Century Gothic" w:cs="Arial"/>
          <w:b/>
          <w:noProof/>
          <w:sz w:val="21"/>
          <w:szCs w:val="21"/>
          <w:lang w:val="fr-FR"/>
        </w:rPr>
      </w:pPr>
    </w:p>
    <w:p w14:paraId="3DA8D640" w14:textId="20614CB5" w:rsidR="00012EE3" w:rsidRPr="003F793F" w:rsidRDefault="00012EE3" w:rsidP="00012EE3">
      <w:pPr>
        <w:spacing w:after="0" w:line="240" w:lineRule="auto"/>
        <w:ind w:left="1985" w:hanging="851"/>
        <w:rPr>
          <w:rFonts w:ascii="Century Gothic" w:eastAsiaTheme="minorEastAsia" w:hAnsi="Century Gothic" w:cs="CenturyGothic"/>
          <w:b/>
          <w:lang w:val="fr-FR" w:eastAsia="fr-FR"/>
        </w:rPr>
      </w:pPr>
      <w:r w:rsidRPr="00DE31A1">
        <w:rPr>
          <w:rFonts w:ascii="Century Gothic" w:eastAsiaTheme="minorEastAsia" w:hAnsi="Century Gothic" w:cs="Arial"/>
          <w:b/>
          <w:noProof/>
          <w:lang w:val="fr-FR"/>
        </w:rPr>
        <w:t>Objet :</w:t>
      </w:r>
      <w:r w:rsidRPr="00DE31A1">
        <w:rPr>
          <w:rFonts w:ascii="Century Gothic" w:eastAsiaTheme="minorEastAsia" w:hAnsi="Century Gothic" w:cs="Arial"/>
          <w:b/>
          <w:noProof/>
          <w:lang w:val="fr-FR"/>
        </w:rPr>
        <w:tab/>
      </w:r>
      <w:r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Marché public de travaux</w:t>
      </w:r>
      <w:r w:rsidR="00995B67"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 </w:t>
      </w:r>
      <w:r w:rsidRPr="00995B67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 xml:space="preserve">CSC – références </w:t>
      </w:r>
      <w:r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n°</w:t>
      </w:r>
      <w:r w:rsidR="00995B67"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 …</w:t>
      </w:r>
      <w:r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relatif à </w:t>
      </w:r>
      <w:r w:rsidR="00995B67"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…</w:t>
      </w:r>
      <w:r w:rsidRPr="00995B67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</w:t>
      </w:r>
      <w:r w:rsidRPr="00995B67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>lot n° … (le cas échéant)</w:t>
      </w:r>
    </w:p>
    <w:p w14:paraId="11301D69" w14:textId="77777777" w:rsidR="00012EE3" w:rsidRPr="003F793F" w:rsidRDefault="00012EE3" w:rsidP="00012EE3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textAlignment w:val="center"/>
        <w:rPr>
          <w:rFonts w:ascii="Century Gothic" w:eastAsiaTheme="minorEastAsia" w:hAnsi="Century Gothic" w:cs="CenturyGothic"/>
          <w:sz w:val="21"/>
          <w:szCs w:val="21"/>
          <w:lang w:val="fr-FR" w:eastAsia="fr-FR"/>
        </w:rPr>
      </w:pPr>
    </w:p>
    <w:p w14:paraId="7DE4F58B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Madame, Monsieur,</w:t>
      </w: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53ACE2BC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entury Gothic" w:hAnsi="Century Gothic" w:cs="Segoe UI"/>
          <w:color w:val="000000"/>
          <w:sz w:val="22"/>
          <w:szCs w:val="22"/>
        </w:rPr>
      </w:pPr>
    </w:p>
    <w:p w14:paraId="2A832F46" w14:textId="4B8634DA" w:rsidR="00012EE3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Nous accusons bonne réception de votre courrier daté du </w:t>
      </w:r>
      <w:r w:rsidR="00995B67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shd w:val="clear" w:color="auto" w:fill="FFFF00"/>
          <w:lang w:val="fr-FR"/>
        </w:rPr>
        <w:t>…</w:t>
      </w:r>
      <w:r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 </w:t>
      </w:r>
      <w:r w:rsidR="004F5D3B"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par lequel vous nous avez informés des difficultés rencontrées par votre entreprise en raison de la crise sanitaire actuelle</w:t>
      </w:r>
      <w:r w:rsidR="00753EE6"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et de l’impossibilité d’entamer les travaux à la date fixée (</w:t>
      </w:r>
      <w:r w:rsidR="00995B67" w:rsidRPr="00995B67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highlight w:val="yellow"/>
          <w:lang w:val="fr-FR"/>
        </w:rPr>
        <w:t>date</w:t>
      </w:r>
      <w:r w:rsidR="00753EE6"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)</w:t>
      </w:r>
      <w:r w:rsidR="004F5D3B"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.</w:t>
      </w:r>
      <w:r w:rsidR="004F5D3B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</w:p>
    <w:p w14:paraId="05B95644" w14:textId="77777777" w:rsidR="003F793F" w:rsidRDefault="003F793F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322F2D45" w14:textId="77777777" w:rsidR="003F793F" w:rsidRPr="003F793F" w:rsidRDefault="003F793F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</w:pPr>
      <w:r w:rsidRPr="003F793F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Et/ou</w:t>
      </w:r>
    </w:p>
    <w:p w14:paraId="56E87D3E" w14:textId="77777777" w:rsidR="003F793F" w:rsidRDefault="003F793F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301990CF" w14:textId="77777777" w:rsidR="003F793F" w:rsidRDefault="003F793F" w:rsidP="003F793F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DF461A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La présente fait suite aux récents échanges intervenus quant à la nécessité de reporter la date de commencement des travaux/services.</w:t>
      </w:r>
    </w:p>
    <w:p w14:paraId="5FD53482" w14:textId="77777777" w:rsidR="004F5D3B" w:rsidRDefault="004F5D3B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114C3ADE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Le contexte actuel de la lutte contre le coronavirus peut être identifié à un cas de force majeure susceptible de libérer temporairement les parties contractantes de tout ou partie de leurs obligations contractuelles.</w:t>
      </w: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347B0FBF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entury Gothic" w:hAnsi="Century Gothic" w:cs="Segoe UI"/>
          <w:color w:val="000000"/>
          <w:sz w:val="22"/>
          <w:szCs w:val="22"/>
        </w:rPr>
      </w:pPr>
    </w:p>
    <w:p w14:paraId="7017D598" w14:textId="4D5FB1BD" w:rsidR="004F5D3B" w:rsidRDefault="004F5D3B" w:rsidP="004F5D3B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Dans le cadre particulier 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de ce marché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et des contraintes</w:t>
      </w:r>
      <w:r w:rsidR="00DE6A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avérées que</w:t>
      </w:r>
      <w:r w:rsidR="00DE6A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subit votre</w:t>
      </w:r>
      <w:r w:rsidR="00DE6A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entreprise, nous</w:t>
      </w:r>
      <w:r w:rsidR="00DE6A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vous</w:t>
      </w:r>
      <w:r w:rsidR="00995B67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confirmons</w:t>
      </w:r>
      <w:r w:rsidR="00DE6A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en conséquence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que </w:t>
      </w:r>
      <w:r w:rsidRPr="00753EE6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la date de début d’exécution du marché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, fixée initialement au </w:t>
      </w:r>
      <w:r w:rsidR="00995B67" w:rsidRPr="00995B67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…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est 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reportées à une date ultérieure.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</w:p>
    <w:p w14:paraId="5D6A25CC" w14:textId="77777777" w:rsidR="004F5D3B" w:rsidRDefault="004F5D3B" w:rsidP="004F5D3B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4C38ED6F" w14:textId="44C1BBF6" w:rsidR="003F793F" w:rsidRPr="00995B67" w:rsidRDefault="004F5D3B" w:rsidP="003F793F">
      <w:pPr>
        <w:spacing w:after="160" w:line="259" w:lineRule="auto"/>
        <w:ind w:left="1125"/>
        <w:jc w:val="both"/>
        <w:rPr>
          <w:rStyle w:val="eop"/>
          <w:rFonts w:ascii="Century Gothic" w:hAnsi="Century Gothic" w:cs="Segoe UI"/>
          <w:strike/>
          <w:sz w:val="21"/>
          <w:szCs w:val="21"/>
        </w:rPr>
      </w:pPr>
      <w:r w:rsidRPr="00995B67">
        <w:rPr>
          <w:rFonts w:ascii="Century Gothic" w:hAnsi="Century Gothic" w:cs="Times New Roman"/>
        </w:rPr>
        <w:t xml:space="preserve">La date effective de commencement des travaux sera concertée à la fin de la crise sanitaire. </w:t>
      </w:r>
      <w:r w:rsidR="003F793F" w:rsidRPr="00995B67">
        <w:rPr>
          <w:rFonts w:ascii="Century Gothic" w:hAnsi="Century Gothic" w:cs="Times New Roman"/>
        </w:rPr>
        <w:t xml:space="preserve">La fixation de cette date de commun accord suppose bien évidemment votre renonciation à l’application de l’article 76 §3 des RGE (résiliation) jusqu’à </w:t>
      </w:r>
      <w:r w:rsidR="00140AAC" w:rsidRPr="00995B67">
        <w:rPr>
          <w:rFonts w:ascii="Century Gothic" w:hAnsi="Century Gothic" w:cs="Times New Roman"/>
        </w:rPr>
        <w:t>la</w:t>
      </w:r>
      <w:r w:rsidR="003F793F" w:rsidRPr="00995B67">
        <w:rPr>
          <w:rFonts w:ascii="Century Gothic" w:hAnsi="Century Gothic" w:cs="Times New Roman"/>
        </w:rPr>
        <w:t xml:space="preserve"> date</w:t>
      </w:r>
      <w:r w:rsidR="00140AAC" w:rsidRPr="00995B67">
        <w:rPr>
          <w:rFonts w:ascii="Century Gothic" w:hAnsi="Century Gothic" w:cs="Times New Roman"/>
        </w:rPr>
        <w:t xml:space="preserve"> convenue</w:t>
      </w:r>
      <w:r w:rsidR="003F793F" w:rsidRPr="00995B67">
        <w:rPr>
          <w:rFonts w:ascii="Century Gothic" w:hAnsi="Century Gothic" w:cs="Times New Roman"/>
        </w:rPr>
        <w:t>.</w:t>
      </w:r>
    </w:p>
    <w:p w14:paraId="3EF98B7F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Nous vous souhaitons une bonne réception de la présente et vous prions d’agréer, Madame, Monsieur, l’expression de notre considération distinguée.</w:t>
      </w:r>
    </w:p>
    <w:p w14:paraId="06696E9E" w14:textId="77777777" w:rsidR="00012EE3" w:rsidRPr="00DA5CA5" w:rsidRDefault="00012EE3" w:rsidP="00012EE3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bookmarkEnd w:id="0"/>
    <w:p w14:paraId="15C550F5" w14:textId="77777777" w:rsidR="006B73D7" w:rsidRDefault="006B73D7"/>
    <w:sectPr w:rsidR="006B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1D9B" w14:textId="77777777" w:rsidR="00D30A5E" w:rsidRDefault="00D30A5E" w:rsidP="00A847FC">
      <w:pPr>
        <w:spacing w:after="0" w:line="240" w:lineRule="auto"/>
      </w:pPr>
      <w:r>
        <w:separator/>
      </w:r>
    </w:p>
  </w:endnote>
  <w:endnote w:type="continuationSeparator" w:id="0">
    <w:p w14:paraId="3D726B25" w14:textId="77777777" w:rsidR="00D30A5E" w:rsidRDefault="00D30A5E" w:rsidP="00A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F72A" w14:textId="77777777" w:rsidR="00D30A5E" w:rsidRDefault="00D30A5E" w:rsidP="00A847FC">
      <w:pPr>
        <w:spacing w:after="0" w:line="240" w:lineRule="auto"/>
      </w:pPr>
      <w:r>
        <w:separator/>
      </w:r>
    </w:p>
  </w:footnote>
  <w:footnote w:type="continuationSeparator" w:id="0">
    <w:p w14:paraId="1094F4E5" w14:textId="77777777" w:rsidR="00D30A5E" w:rsidRDefault="00D30A5E" w:rsidP="00A8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3"/>
    <w:rsid w:val="00012EE3"/>
    <w:rsid w:val="000D75B7"/>
    <w:rsid w:val="00140AAC"/>
    <w:rsid w:val="001C243B"/>
    <w:rsid w:val="00224CAA"/>
    <w:rsid w:val="002A77DE"/>
    <w:rsid w:val="003E41DB"/>
    <w:rsid w:val="003F793F"/>
    <w:rsid w:val="004A63CE"/>
    <w:rsid w:val="004D28B4"/>
    <w:rsid w:val="004F5D3B"/>
    <w:rsid w:val="004F63FA"/>
    <w:rsid w:val="005A011E"/>
    <w:rsid w:val="006B5209"/>
    <w:rsid w:val="006B73D7"/>
    <w:rsid w:val="00753EE6"/>
    <w:rsid w:val="009722A6"/>
    <w:rsid w:val="00995B67"/>
    <w:rsid w:val="00A847FC"/>
    <w:rsid w:val="00AD3050"/>
    <w:rsid w:val="00B82172"/>
    <w:rsid w:val="00BC391E"/>
    <w:rsid w:val="00BC5AB4"/>
    <w:rsid w:val="00CB039C"/>
    <w:rsid w:val="00D30A5E"/>
    <w:rsid w:val="00DE6AA5"/>
    <w:rsid w:val="00DF461A"/>
    <w:rsid w:val="00E62A8B"/>
    <w:rsid w:val="00E8498C"/>
    <w:rsid w:val="00E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0987"/>
  <w15:chartTrackingRefBased/>
  <w15:docId w15:val="{84B58220-5775-4EA3-BA86-6FBE630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E3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EE3"/>
    <w:pPr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012EE3"/>
  </w:style>
  <w:style w:type="character" w:customStyle="1" w:styleId="eop">
    <w:name w:val="eop"/>
    <w:basedOn w:val="Policepardfaut"/>
    <w:rsid w:val="00012EE3"/>
  </w:style>
  <w:style w:type="character" w:styleId="Marquedecommentaire">
    <w:name w:val="annotation reference"/>
    <w:basedOn w:val="Policepardfaut"/>
    <w:uiPriority w:val="99"/>
    <w:semiHidden/>
    <w:unhideWhenUsed/>
    <w:rsid w:val="00DE6A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6A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6AA5"/>
    <w:rPr>
      <w:rFonts w:asciiTheme="minorHAnsi" w:hAnsiTheme="minorHAnsi" w:cstheme="minorBidi"/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A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AA5"/>
    <w:rPr>
      <w:rFonts w:asciiTheme="minorHAnsi" w:hAnsiTheme="minorHAnsi" w:cstheme="minorBidi"/>
      <w:b/>
      <w:bCs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AA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QUOIDBACH Bernard</dc:creator>
  <cp:keywords/>
  <dc:description/>
  <cp:lastModifiedBy>Mathieu Lambert</cp:lastModifiedBy>
  <cp:revision>2</cp:revision>
  <dcterms:created xsi:type="dcterms:W3CDTF">2020-04-03T08:44:00Z</dcterms:created>
  <dcterms:modified xsi:type="dcterms:W3CDTF">2020-04-03T08:44:00Z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bernard.quoidbach@spw.wallonie.be</vt:lpwstr>
  </property>
  <property fmtid="{D5CDD505-2E9C-101B-9397-08002B2CF9AE}" pid="5" name="MSIP_Label_e72a09c5-6e26-4737-a926-47ef1ab198ae_SetDate">
    <vt:lpwstr>2020-03-29T17:45:08.5954419Z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6b2597d9-ef91-4598-bbe4-6e4156cff543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