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65E5" w14:textId="07CB4038" w:rsidR="00116848" w:rsidRPr="00220F50" w:rsidRDefault="00116848" w:rsidP="0011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20F50">
        <w:rPr>
          <w:b/>
          <w:bCs/>
        </w:rPr>
        <w:t>Protocole d’accord établi à la suite du Comité C wallon du</w:t>
      </w:r>
      <w:r w:rsidR="00E40B55">
        <w:rPr>
          <w:b/>
          <w:bCs/>
        </w:rPr>
        <w:t xml:space="preserve"> 20</w:t>
      </w:r>
      <w:r w:rsidR="008742EC">
        <w:rPr>
          <w:b/>
          <w:bCs/>
        </w:rPr>
        <w:t xml:space="preserve"> décembre </w:t>
      </w:r>
      <w:r w:rsidR="00891BD9">
        <w:rPr>
          <w:b/>
          <w:bCs/>
        </w:rPr>
        <w:t>2021</w:t>
      </w:r>
      <w:r w:rsidRPr="00220F50">
        <w:rPr>
          <w:b/>
          <w:bCs/>
        </w:rPr>
        <w:t xml:space="preserve"> relatif à :</w:t>
      </w:r>
    </w:p>
    <w:p w14:paraId="71001556" w14:textId="48E16DA5" w:rsidR="00116848" w:rsidRPr="00220F50" w:rsidRDefault="00CE3905" w:rsidP="0011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la mise en œuvre de l’</w:t>
      </w:r>
      <w:r w:rsidRPr="00CE3905">
        <w:rPr>
          <w:b/>
          <w:bCs/>
        </w:rPr>
        <w:t>Accord Non-Marchand Wallon</w:t>
      </w:r>
      <w:r w:rsidR="00116848" w:rsidRPr="00220F50">
        <w:rPr>
          <w:b/>
          <w:bCs/>
        </w:rPr>
        <w:t xml:space="preserve"> </w:t>
      </w:r>
      <w:r>
        <w:rPr>
          <w:b/>
          <w:bCs/>
        </w:rPr>
        <w:t>pour l’année 202</w:t>
      </w:r>
      <w:r w:rsidR="008742EC">
        <w:rPr>
          <w:b/>
          <w:bCs/>
        </w:rPr>
        <w:t>2</w:t>
      </w:r>
    </w:p>
    <w:p w14:paraId="2C8FA9DB" w14:textId="3163EC16" w:rsidR="00116848" w:rsidRDefault="00BD3964" w:rsidP="00BD3964">
      <w:r>
        <w:t>Vu l’accord du Comité C wallon du 18 juin 2021 relatif à la mise en œuvre de l’Accord Non-Marchand Wallon pour l’année 2021</w:t>
      </w:r>
      <w:r w:rsidR="00AD037A">
        <w:t>,</w:t>
      </w:r>
    </w:p>
    <w:p w14:paraId="660D6612" w14:textId="094A2E32" w:rsidR="00116848" w:rsidRDefault="00116848" w:rsidP="00116848">
      <w:r>
        <w:t>La délégation de l’autorité représentée par :</w:t>
      </w:r>
    </w:p>
    <w:p w14:paraId="7DDAD714" w14:textId="1D110C56" w:rsidR="00116848" w:rsidRDefault="00CE3905" w:rsidP="00116848">
      <w:r>
        <w:t xml:space="preserve">Madame Christie MORREALE, </w:t>
      </w:r>
      <w:r w:rsidRPr="00CE3905">
        <w:t xml:space="preserve">Vice-présidente du </w:t>
      </w:r>
      <w:r>
        <w:t>G</w:t>
      </w:r>
      <w:r w:rsidRPr="00CE3905">
        <w:t>ouvernement wallon</w:t>
      </w:r>
      <w:r>
        <w:t>,</w:t>
      </w:r>
      <w:r w:rsidRPr="00CE3905">
        <w:t xml:space="preserve"> </w:t>
      </w:r>
      <w:r>
        <w:t>M</w:t>
      </w:r>
      <w:r w:rsidRPr="00CE3905">
        <w:t>inistre de l'Emploi, de l'Action sociale, de la Santé et de l'Égalité des Chances</w:t>
      </w:r>
    </w:p>
    <w:p w14:paraId="184B16E1" w14:textId="6147770E" w:rsidR="00116848" w:rsidRDefault="00CE3905" w:rsidP="00116848">
      <w:r>
        <w:t xml:space="preserve">Et </w:t>
      </w:r>
      <w:r w:rsidR="00116848">
        <w:t>Monsieur Christophe COLLIGNON, Ministre du Logement, des Pouvoirs locaux et de la Ville</w:t>
      </w:r>
    </w:p>
    <w:p w14:paraId="0CA4AEEE" w14:textId="75B7104F" w:rsidR="00116848" w:rsidRDefault="00116848" w:rsidP="00116848">
      <w:r>
        <w:t>d’une part,</w:t>
      </w:r>
    </w:p>
    <w:p w14:paraId="29B8E273" w14:textId="20F45A3A" w:rsidR="00116848" w:rsidRDefault="00116848" w:rsidP="00116848">
      <w:r>
        <w:t>Et la délégation des organisations syndicales habilitées à siéger en Comité C, à savoir</w:t>
      </w:r>
    </w:p>
    <w:p w14:paraId="593636C4" w14:textId="4AED3F1C" w:rsidR="00116848" w:rsidRDefault="00116848" w:rsidP="00116848">
      <w:r>
        <w:t>La CGSP, représentée par Monsieur Olivier NYSSEN ;</w:t>
      </w:r>
    </w:p>
    <w:p w14:paraId="04BE09E3" w14:textId="0A9AE400" w:rsidR="00116848" w:rsidRDefault="00116848" w:rsidP="00116848">
      <w:r>
        <w:t>La CSC – services publics, représentée par Madame Véronique SABEL ;</w:t>
      </w:r>
    </w:p>
    <w:p w14:paraId="73298AC5" w14:textId="062734E6" w:rsidR="00116848" w:rsidRDefault="00116848" w:rsidP="00116848">
      <w:r>
        <w:t>Le SLFP, représenté par Monsieur François ROOSENS.</w:t>
      </w:r>
    </w:p>
    <w:p w14:paraId="29251E9E" w14:textId="735F5DF3" w:rsidR="00116848" w:rsidRDefault="00CE3905" w:rsidP="00116848">
      <w:r>
        <w:t>d’autre</w:t>
      </w:r>
      <w:r w:rsidR="00116848">
        <w:t xml:space="preserve"> part,</w:t>
      </w:r>
    </w:p>
    <w:p w14:paraId="04D652F5" w14:textId="43A1DC6C" w:rsidR="00116848" w:rsidRDefault="00116848" w:rsidP="00116848">
      <w:r>
        <w:t>ont abouti à un accord sur le texte ci</w:t>
      </w:r>
      <w:r w:rsidR="003D580E">
        <w:t>-</w:t>
      </w:r>
      <w:r>
        <w:t xml:space="preserve">annexé relatif à la </w:t>
      </w:r>
      <w:r w:rsidR="00CE3905">
        <w:t>mise en œuvre de l’accord du non-marchand pour l’année 202</w:t>
      </w:r>
      <w:r w:rsidR="00C067FC">
        <w:t>2</w:t>
      </w:r>
      <w:r w:rsidR="00CE3905">
        <w:t xml:space="preserve"> </w:t>
      </w:r>
      <w:r>
        <w:t>pour le personnel du secteur public.</w:t>
      </w:r>
    </w:p>
    <w:p w14:paraId="6A3AC579" w14:textId="6BB6B58E" w:rsidR="00CE3905" w:rsidRDefault="00CE3905" w:rsidP="00116848"/>
    <w:p w14:paraId="1B96C6C4" w14:textId="52F032D8" w:rsidR="00CE3905" w:rsidRPr="00FE5CE1" w:rsidRDefault="00CE3905" w:rsidP="00FE5CE1">
      <w:pPr>
        <w:pStyle w:val="Paragraphedeliste"/>
        <w:numPr>
          <w:ilvl w:val="0"/>
          <w:numId w:val="9"/>
        </w:numPr>
        <w:jc w:val="both"/>
        <w:rPr>
          <w:b/>
          <w:bCs/>
          <w:u w:val="single"/>
        </w:rPr>
      </w:pPr>
      <w:r w:rsidRPr="00FE5CE1">
        <w:rPr>
          <w:b/>
          <w:bCs/>
          <w:u w:val="single"/>
        </w:rPr>
        <w:t>Mesures pour l’année 202</w:t>
      </w:r>
      <w:r w:rsidR="008742EC" w:rsidRPr="00FE5CE1">
        <w:rPr>
          <w:b/>
          <w:bCs/>
          <w:u w:val="single"/>
        </w:rPr>
        <w:t>2</w:t>
      </w:r>
    </w:p>
    <w:p w14:paraId="6EEC7F60" w14:textId="71D9501D" w:rsidR="00CE3905" w:rsidRDefault="005A1114" w:rsidP="00CE3905">
      <w:pPr>
        <w:jc w:val="both"/>
        <w:rPr>
          <w:color w:val="000000" w:themeColor="text1"/>
        </w:rPr>
      </w:pPr>
      <w:r>
        <w:t>L</w:t>
      </w:r>
      <w:r w:rsidR="00CE3905">
        <w:t>es montant</w:t>
      </w:r>
      <w:r w:rsidR="003328F4">
        <w:t>s</w:t>
      </w:r>
      <w:r w:rsidR="00CE3905">
        <w:t xml:space="preserve"> disponibles pour les administrations respectives</w:t>
      </w:r>
      <w:r>
        <w:t xml:space="preserve"> sont repris dans </w:t>
      </w:r>
      <w:r w:rsidR="00BD12F1">
        <w:t>le</w:t>
      </w:r>
      <w:r w:rsidR="00CE3905" w:rsidRPr="00CE3905">
        <w:rPr>
          <w:color w:val="000000" w:themeColor="text1"/>
        </w:rPr>
        <w:t xml:space="preserve"> tableau fourni par l’U</w:t>
      </w:r>
      <w:r w:rsidR="003328F4">
        <w:rPr>
          <w:color w:val="000000" w:themeColor="text1"/>
        </w:rPr>
        <w:t>NIPSO</w:t>
      </w:r>
      <w:r w:rsidR="00CE3905" w:rsidRPr="00CE3905">
        <w:rPr>
          <w:color w:val="000000" w:themeColor="text1"/>
        </w:rPr>
        <w:t xml:space="preserve"> en date du 15 juin </w:t>
      </w:r>
      <w:r w:rsidR="00936A95">
        <w:rPr>
          <w:color w:val="000000" w:themeColor="text1"/>
        </w:rPr>
        <w:t xml:space="preserve">2021 </w:t>
      </w:r>
      <w:r w:rsidR="00CE3905" w:rsidRPr="00CE3905">
        <w:rPr>
          <w:color w:val="000000" w:themeColor="text1"/>
        </w:rPr>
        <w:t xml:space="preserve">pour le secteur public : 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500"/>
        <w:gridCol w:w="2460"/>
      </w:tblGrid>
      <w:tr w:rsidR="000113AD" w:rsidRPr="000113AD" w14:paraId="0DC6F3E2" w14:textId="77777777" w:rsidTr="000113AD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482AB"/>
            <w:noWrap/>
            <w:vAlign w:val="center"/>
            <w:hideMark/>
          </w:tcPr>
          <w:p w14:paraId="2399ED41" w14:textId="77777777" w:rsidR="000113AD" w:rsidRPr="000113AD" w:rsidRDefault="000113AD" w:rsidP="000113AD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color w:val="000000"/>
                <w:lang w:eastAsia="fr-BE"/>
              </w:rPr>
              <w:t>ANNEES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482AB"/>
            <w:noWrap/>
            <w:vAlign w:val="center"/>
            <w:hideMark/>
          </w:tcPr>
          <w:p w14:paraId="632F9A92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color w:val="000000"/>
                <w:lang w:eastAsia="fr-BE"/>
              </w:rPr>
              <w:t>2021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482AB"/>
            <w:noWrap/>
            <w:vAlign w:val="center"/>
            <w:hideMark/>
          </w:tcPr>
          <w:p w14:paraId="3449C994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color w:val="000000"/>
                <w:lang w:eastAsia="fr-BE"/>
              </w:rPr>
              <w:t>2022</w:t>
            </w:r>
          </w:p>
        </w:tc>
      </w:tr>
      <w:tr w:rsidR="000113AD" w:rsidRPr="000113AD" w14:paraId="53725679" w14:textId="77777777" w:rsidTr="000113AD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7CDEE"/>
            <w:noWrap/>
            <w:vAlign w:val="center"/>
            <w:hideMark/>
          </w:tcPr>
          <w:p w14:paraId="2486D2A9" w14:textId="77777777" w:rsidR="000113AD" w:rsidRPr="000113AD" w:rsidRDefault="000113AD" w:rsidP="000113AD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  <w:t>SECTEUR PUBLIC sans oneshot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7CDEE"/>
            <w:noWrap/>
            <w:vAlign w:val="center"/>
            <w:hideMark/>
          </w:tcPr>
          <w:p w14:paraId="634C61A7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  <w:t>15.741.144,04 €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7CDEE"/>
            <w:noWrap/>
            <w:vAlign w:val="center"/>
            <w:hideMark/>
          </w:tcPr>
          <w:p w14:paraId="044B2FB8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  <w:t>39.279.467,09 €</w:t>
            </w:r>
          </w:p>
        </w:tc>
      </w:tr>
      <w:tr w:rsidR="000113AD" w:rsidRPr="000113AD" w14:paraId="420A04AD" w14:textId="77777777" w:rsidTr="008378A0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05EEF79" w14:textId="77777777" w:rsidR="000113AD" w:rsidRPr="000113AD" w:rsidRDefault="000113AD" w:rsidP="000113AD">
            <w:pPr>
              <w:spacing w:after="0" w:line="240" w:lineRule="auto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IFIC/barèmes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3515DB63" w14:textId="3347044C" w:rsidR="000113AD" w:rsidRPr="000113AD" w:rsidRDefault="000113AD" w:rsidP="00A926FF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 </w:t>
            </w:r>
            <w:r w:rsidR="00A926FF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0</w:t>
            </w:r>
            <w:r w:rsidR="005E1D38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 xml:space="preserve"> </w:t>
            </w:r>
            <w:r w:rsidR="005E1D38"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€</w:t>
            </w:r>
            <w:r w:rsidR="00A926FF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28E240E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23.538.323,05 €</w:t>
            </w:r>
          </w:p>
        </w:tc>
      </w:tr>
      <w:tr w:rsidR="000113AD" w:rsidRPr="000113AD" w14:paraId="58941444" w14:textId="77777777" w:rsidTr="000113AD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47A7" w14:textId="5353CF26" w:rsidR="000113AD" w:rsidRPr="000113AD" w:rsidRDefault="000113AD" w:rsidP="000113AD">
            <w:pPr>
              <w:spacing w:after="0" w:line="240" w:lineRule="auto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Mesures qualitative</w:t>
            </w:r>
            <w:r w:rsidR="00146A89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8D3C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6.741.694,74 €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2025" w14:textId="77777777" w:rsidR="000113AD" w:rsidRPr="000113A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6.741.694,74 €</w:t>
            </w:r>
          </w:p>
        </w:tc>
      </w:tr>
      <w:tr w:rsidR="000113AD" w:rsidRPr="005E3D4D" w14:paraId="39F4D847" w14:textId="77777777" w:rsidTr="00EC6088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52F7" w14:textId="77777777" w:rsidR="000113AD" w:rsidRPr="005E3D4D" w:rsidRDefault="000113AD" w:rsidP="000113AD">
            <w:pPr>
              <w:spacing w:after="0" w:line="240" w:lineRule="auto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5E3D4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Mesures quantitatives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948A" w14:textId="77777777" w:rsidR="000113AD" w:rsidRPr="005E3D4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5E3D4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8.999.449,30 €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3E90" w14:textId="77777777" w:rsidR="000113AD" w:rsidRPr="005E3D4D" w:rsidRDefault="000113AD" w:rsidP="000113AD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</w:pPr>
            <w:r w:rsidRPr="005E3D4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8.999.449,30 €</w:t>
            </w:r>
          </w:p>
        </w:tc>
      </w:tr>
      <w:tr w:rsidR="0066257E" w:rsidRPr="000113AD" w14:paraId="5CA3662B" w14:textId="77777777" w:rsidTr="00562672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FDF5" w14:textId="77777777" w:rsidR="0066257E" w:rsidRPr="000113AD" w:rsidRDefault="0066257E" w:rsidP="0066257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color w:val="000000"/>
                <w:lang w:eastAsia="fr-BE"/>
              </w:rPr>
              <w:t>One-shot 2021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422B" w14:textId="77777777" w:rsidR="0066257E" w:rsidRPr="000113AD" w:rsidRDefault="0066257E" w:rsidP="0066257E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color w:val="000000"/>
                <w:lang w:eastAsia="fr-BE"/>
              </w:rPr>
              <w:t>2.510.277,23 €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653C" w14:textId="5612258D" w:rsidR="0066257E" w:rsidRPr="000113AD" w:rsidRDefault="0066257E" w:rsidP="0066257E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 </w:t>
            </w:r>
            <w:r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 xml:space="preserve">0 </w:t>
            </w:r>
            <w:r w:rsidRPr="000113AD"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>€</w:t>
            </w:r>
            <w:r>
              <w:rPr>
                <w:rFonts w:ascii="Tw Cen MT" w:eastAsia="Times New Roman" w:hAnsi="Tw Cen MT" w:cs="Calibri"/>
                <w:i/>
                <w:iCs/>
                <w:color w:val="000000"/>
                <w:lang w:eastAsia="fr-BE"/>
              </w:rPr>
              <w:t xml:space="preserve"> </w:t>
            </w:r>
          </w:p>
        </w:tc>
      </w:tr>
      <w:tr w:rsidR="0066257E" w:rsidRPr="000113AD" w14:paraId="52AD7309" w14:textId="77777777" w:rsidTr="000113AD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7CDEE"/>
            <w:noWrap/>
            <w:vAlign w:val="center"/>
            <w:hideMark/>
          </w:tcPr>
          <w:p w14:paraId="03936261" w14:textId="77777777" w:rsidR="0066257E" w:rsidRPr="000113AD" w:rsidRDefault="0066257E" w:rsidP="0066257E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  <w:t>Disponible hors IFIC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7CDEE"/>
            <w:noWrap/>
            <w:vAlign w:val="center"/>
            <w:hideMark/>
          </w:tcPr>
          <w:p w14:paraId="4831E626" w14:textId="77777777" w:rsidR="0066257E" w:rsidRPr="000113AD" w:rsidRDefault="0066257E" w:rsidP="0066257E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  <w:t>18.251.421,27 €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7CDEE"/>
            <w:noWrap/>
            <w:vAlign w:val="center"/>
            <w:hideMark/>
          </w:tcPr>
          <w:p w14:paraId="3D572183" w14:textId="77777777" w:rsidR="0066257E" w:rsidRPr="000113AD" w:rsidRDefault="0066257E" w:rsidP="0066257E">
            <w:pPr>
              <w:spacing w:after="0" w:line="240" w:lineRule="auto"/>
              <w:jc w:val="right"/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</w:pPr>
            <w:r w:rsidRPr="000113AD">
              <w:rPr>
                <w:rFonts w:ascii="Tw Cen MT" w:eastAsia="Times New Roman" w:hAnsi="Tw Cen MT" w:cs="Calibri"/>
                <w:b/>
                <w:bCs/>
                <w:color w:val="000000"/>
                <w:lang w:eastAsia="fr-BE"/>
              </w:rPr>
              <w:t>15.741.144,04 €</w:t>
            </w:r>
          </w:p>
        </w:tc>
      </w:tr>
    </w:tbl>
    <w:p w14:paraId="5959D1BF" w14:textId="77777777" w:rsidR="00CE3905" w:rsidRPr="00CE3905" w:rsidRDefault="00CE3905" w:rsidP="00CE3905">
      <w:pPr>
        <w:jc w:val="both"/>
        <w:rPr>
          <w:color w:val="000000" w:themeColor="text1"/>
        </w:rPr>
      </w:pPr>
    </w:p>
    <w:p w14:paraId="124EED10" w14:textId="457B3AD0" w:rsidR="00CE3905" w:rsidRDefault="00DA7496" w:rsidP="00CE3905">
      <w:pPr>
        <w:jc w:val="both"/>
      </w:pPr>
      <w:r>
        <w:t>Le montant 2022 est un montant non indexé.</w:t>
      </w:r>
    </w:p>
    <w:p w14:paraId="2F09BCBE" w14:textId="00B9BC30" w:rsidR="00CE3905" w:rsidRDefault="007258C2" w:rsidP="00C067FC">
      <w:pPr>
        <w:jc w:val="both"/>
      </w:pPr>
      <w:r>
        <w:t>A</w:t>
      </w:r>
      <w:r w:rsidR="00D7053A">
        <w:t xml:space="preserve">fin notamment de prolonger la mesure 2021 </w:t>
      </w:r>
      <w:r w:rsidR="00740C48">
        <w:t>de soutien complémentaire en personnel pour les institutions résidentielles, l</w:t>
      </w:r>
      <w:r w:rsidR="00B45842">
        <w:t xml:space="preserve">es interlocuteurs proposent de consolider les moyens budgétaires disponibles </w:t>
      </w:r>
      <w:r w:rsidR="003706E3">
        <w:t xml:space="preserve">hors </w:t>
      </w:r>
      <w:r w:rsidR="00C067FC">
        <w:t>IFIC en</w:t>
      </w:r>
      <w:r w:rsidR="00B45842">
        <w:t xml:space="preserve"> 202</w:t>
      </w:r>
      <w:r w:rsidR="00F521C0">
        <w:t>2</w:t>
      </w:r>
      <w:r w:rsidR="00B45842">
        <w:t xml:space="preserve"> </w:t>
      </w:r>
      <w:r>
        <w:t>selon la même clé que 2021</w:t>
      </w:r>
      <w:r w:rsidR="00D24972">
        <w:t xml:space="preserve">. </w:t>
      </w:r>
      <w:r>
        <w:t xml:space="preserve"> </w:t>
      </w:r>
      <w:r w:rsidR="00871AFE">
        <w:t xml:space="preserve">Il en résulte l’allocation suivante des </w:t>
      </w:r>
      <w:r w:rsidR="00871AFE" w:rsidRPr="00871AFE">
        <w:t xml:space="preserve">15.741.144,04 </w:t>
      </w:r>
      <w:r w:rsidR="00871AFE">
        <w:t>euros </w:t>
      </w:r>
      <w:r w:rsidR="00FD5F2E">
        <w:t>(hors index)</w:t>
      </w:r>
      <w:r w:rsidR="00812024">
        <w:t xml:space="preserve"> par sous-secteur</w:t>
      </w:r>
      <w:r w:rsidR="00C067FC">
        <w:t xml:space="preserve"> </w:t>
      </w:r>
      <w:r w:rsidR="00871AFE">
        <w:t>:</w:t>
      </w:r>
    </w:p>
    <w:p w14:paraId="40118341" w14:textId="2D91DE23" w:rsidR="001F6CA0" w:rsidRDefault="001F6CA0" w:rsidP="00CE3905">
      <w:pPr>
        <w:jc w:val="both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5003A959" wp14:editId="0D20024C">
            <wp:extent cx="5760720" cy="274828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15AD0" w14:textId="708F17B2" w:rsidR="001F6CA0" w:rsidRPr="00FE5CE1" w:rsidRDefault="005F26EA" w:rsidP="00FE5CE1">
      <w:pPr>
        <w:pStyle w:val="Paragraphedeliste"/>
        <w:numPr>
          <w:ilvl w:val="1"/>
          <w:numId w:val="9"/>
        </w:numPr>
        <w:jc w:val="both"/>
        <w:rPr>
          <w:b/>
          <w:bCs/>
          <w:u w:val="single"/>
        </w:rPr>
      </w:pPr>
      <w:r w:rsidRPr="00FE5CE1">
        <w:rPr>
          <w:b/>
          <w:bCs/>
          <w:u w:val="single"/>
        </w:rPr>
        <w:t xml:space="preserve">Evaluation </w:t>
      </w:r>
      <w:r w:rsidR="00F93BEB" w:rsidRPr="00FE5CE1">
        <w:rPr>
          <w:b/>
          <w:bCs/>
          <w:u w:val="single"/>
        </w:rPr>
        <w:t>de l’utilisa</w:t>
      </w:r>
      <w:r w:rsidR="00AD037A" w:rsidRPr="00FE5CE1">
        <w:rPr>
          <w:b/>
          <w:bCs/>
          <w:u w:val="single"/>
        </w:rPr>
        <w:t>t</w:t>
      </w:r>
      <w:r w:rsidR="00F93BEB" w:rsidRPr="00FE5CE1">
        <w:rPr>
          <w:b/>
          <w:bCs/>
          <w:u w:val="single"/>
        </w:rPr>
        <w:t xml:space="preserve">ion </w:t>
      </w:r>
      <w:r w:rsidRPr="00FE5CE1">
        <w:rPr>
          <w:b/>
          <w:bCs/>
          <w:u w:val="single"/>
        </w:rPr>
        <w:t>des moyens 202</w:t>
      </w:r>
      <w:r w:rsidR="00FB34F8" w:rsidRPr="00FE5CE1">
        <w:rPr>
          <w:b/>
          <w:bCs/>
          <w:u w:val="single"/>
        </w:rPr>
        <w:t>1</w:t>
      </w:r>
    </w:p>
    <w:p w14:paraId="088C0713" w14:textId="0433BCBF" w:rsidR="005F26EA" w:rsidRPr="00094EB8" w:rsidRDefault="00AD037A" w:rsidP="00CE3905">
      <w:pPr>
        <w:jc w:val="both"/>
        <w:rPr>
          <w:color w:val="00B050"/>
        </w:rPr>
      </w:pPr>
      <w:r w:rsidRPr="00AD037A">
        <w:t>L</w:t>
      </w:r>
      <w:r>
        <w:t xml:space="preserve">’accord du 18 juin </w:t>
      </w:r>
      <w:r w:rsidR="00937F1F">
        <w:t>2021 prévoit un</w:t>
      </w:r>
      <w:r w:rsidR="00251892">
        <w:t>e</w:t>
      </w:r>
      <w:r w:rsidR="00937F1F">
        <w:t xml:space="preserve"> évaluation </w:t>
      </w:r>
      <w:r w:rsidR="00956D81">
        <w:t xml:space="preserve">de l’utilisation </w:t>
      </w:r>
      <w:r w:rsidR="00937F1F">
        <w:t>des moyens</w:t>
      </w:r>
      <w:r w:rsidR="007C3434">
        <w:t xml:space="preserve"> de 2021. Celle-ci sera réalisée au cours du premier quadrimestre 2022</w:t>
      </w:r>
      <w:r w:rsidR="004B70ED">
        <w:t xml:space="preserve"> </w:t>
      </w:r>
      <w:r w:rsidR="00094EB8" w:rsidRPr="00623491">
        <w:t xml:space="preserve">sur base du cadre fixé </w:t>
      </w:r>
      <w:r w:rsidR="004B70ED" w:rsidRPr="00623491">
        <w:t>par l’A</w:t>
      </w:r>
      <w:r w:rsidR="00623491" w:rsidRPr="00623491">
        <w:t>dmin</w:t>
      </w:r>
      <w:r w:rsidR="00623491">
        <w:t xml:space="preserve">istration en concertation avec les partenaires sociaux.  Un visa des organisations syndicales de la concertation locale sera joint à l’envoi des données. </w:t>
      </w:r>
    </w:p>
    <w:p w14:paraId="7D1DFDD8" w14:textId="3B904697" w:rsidR="00CE3905" w:rsidRPr="00FE5CE1" w:rsidRDefault="009C691C" w:rsidP="00FE5CE1">
      <w:pPr>
        <w:pStyle w:val="Paragraphedeliste"/>
        <w:numPr>
          <w:ilvl w:val="1"/>
          <w:numId w:val="9"/>
        </w:numPr>
        <w:jc w:val="both"/>
        <w:rPr>
          <w:b/>
          <w:bCs/>
          <w:u w:val="single"/>
        </w:rPr>
      </w:pPr>
      <w:r w:rsidRPr="00FE5CE1">
        <w:rPr>
          <w:b/>
          <w:bCs/>
          <w:u w:val="single"/>
        </w:rPr>
        <w:t>Prolongation de l’</w:t>
      </w:r>
      <w:r w:rsidR="00CE3905" w:rsidRPr="00FE5CE1">
        <w:rPr>
          <w:b/>
          <w:bCs/>
          <w:u w:val="single"/>
        </w:rPr>
        <w:t>aide pour les institutions résidentielles</w:t>
      </w:r>
      <w:r w:rsidR="007C3434" w:rsidRPr="00FE5CE1">
        <w:rPr>
          <w:b/>
          <w:bCs/>
          <w:u w:val="single"/>
        </w:rPr>
        <w:t xml:space="preserve"> </w:t>
      </w:r>
      <w:r w:rsidR="002F0D4C" w:rsidRPr="00FE5CE1">
        <w:rPr>
          <w:b/>
          <w:bCs/>
          <w:u w:val="single"/>
        </w:rPr>
        <w:t xml:space="preserve">en </w:t>
      </w:r>
      <w:r w:rsidR="007C3434" w:rsidRPr="00FE5CE1">
        <w:rPr>
          <w:b/>
          <w:bCs/>
          <w:u w:val="single"/>
        </w:rPr>
        <w:t>2022</w:t>
      </w:r>
    </w:p>
    <w:p w14:paraId="02A03611" w14:textId="0E24AF85" w:rsidR="00CE3905" w:rsidRPr="00993E62" w:rsidRDefault="002F0D4C" w:rsidP="00CE3905">
      <w:pPr>
        <w:jc w:val="both"/>
        <w:rPr>
          <w:i/>
          <w:iCs/>
        </w:rPr>
      </w:pPr>
      <w:r w:rsidRPr="007A6965">
        <w:t xml:space="preserve">L’accord du 18 juin </w:t>
      </w:r>
      <w:r w:rsidR="00C067FC" w:rsidRPr="007A6965">
        <w:t xml:space="preserve">2021 </w:t>
      </w:r>
      <w:r w:rsidR="00C067FC">
        <w:t>définit</w:t>
      </w:r>
      <w:r w:rsidR="003E0548">
        <w:t xml:space="preserve"> </w:t>
      </w:r>
      <w:r w:rsidRPr="007A6965">
        <w:t>une aide pour les institutions résidentielles</w:t>
      </w:r>
      <w:r w:rsidRPr="00993E62">
        <w:rPr>
          <w:i/>
          <w:iCs/>
        </w:rPr>
        <w:t xml:space="preserve"> </w:t>
      </w:r>
      <w:r w:rsidR="003854F3" w:rsidRPr="00993E62">
        <w:rPr>
          <w:i/>
          <w:iCs/>
        </w:rPr>
        <w:t>« </w:t>
      </w:r>
      <w:r w:rsidRPr="00993E62">
        <w:rPr>
          <w:i/>
          <w:iCs/>
        </w:rPr>
        <w:t>v</w:t>
      </w:r>
      <w:r w:rsidR="00CE3905" w:rsidRPr="00993E62">
        <w:rPr>
          <w:i/>
          <w:iCs/>
        </w:rPr>
        <w:t xml:space="preserve">ia les propositions </w:t>
      </w:r>
      <w:r w:rsidR="006F30B9" w:rsidRPr="00993E62">
        <w:rPr>
          <w:i/>
          <w:iCs/>
        </w:rPr>
        <w:t xml:space="preserve">successives ci-dessous : </w:t>
      </w:r>
    </w:p>
    <w:p w14:paraId="4B270F48" w14:textId="6A99EFF2" w:rsidR="00C63263" w:rsidRDefault="00CE3905" w:rsidP="00CE3905">
      <w:pPr>
        <w:jc w:val="both"/>
        <w:rPr>
          <w:i/>
          <w:iCs/>
        </w:rPr>
      </w:pPr>
      <w:r w:rsidRPr="00993E62">
        <w:rPr>
          <w:i/>
          <w:iCs/>
        </w:rPr>
        <w:t>-</w:t>
      </w:r>
      <w:r w:rsidRPr="00993E62">
        <w:rPr>
          <w:i/>
          <w:iCs/>
        </w:rPr>
        <w:tab/>
        <w:t>À l’extension du temps de travail des travailleurs à temps partiel qui souhaitent obtenir un contrat de travail à temps plein</w:t>
      </w:r>
      <w:r w:rsidR="00C63263">
        <w:rPr>
          <w:i/>
          <w:iCs/>
        </w:rPr>
        <w:t> ;</w:t>
      </w:r>
    </w:p>
    <w:p w14:paraId="5B0DD911" w14:textId="444D492C" w:rsidR="00C63263" w:rsidRDefault="00C63263" w:rsidP="00CE3905">
      <w:pPr>
        <w:jc w:val="both"/>
        <w:rPr>
          <w:i/>
          <w:iCs/>
        </w:rPr>
      </w:pPr>
      <w:r>
        <w:rPr>
          <w:i/>
          <w:iCs/>
        </w:rPr>
        <w:t xml:space="preserve">-  </w:t>
      </w:r>
      <w:r w:rsidR="00CE3905" w:rsidRPr="00993E62">
        <w:rPr>
          <w:i/>
          <w:iCs/>
        </w:rPr>
        <w:t>il conviendra de proposer des contrats à durée déterminée en cas d’impossibilité de mettre en œuvre les deux propositions prioritaires</w:t>
      </w:r>
      <w:r w:rsidR="003037DC">
        <w:rPr>
          <w:i/>
          <w:iCs/>
        </w:rPr>
        <w:t> »</w:t>
      </w:r>
      <w:r>
        <w:rPr>
          <w:i/>
          <w:iCs/>
        </w:rPr>
        <w:t> ;</w:t>
      </w:r>
    </w:p>
    <w:p w14:paraId="37037950" w14:textId="7C44FAEC" w:rsidR="00CE3905" w:rsidRPr="00993E62" w:rsidRDefault="00C63263" w:rsidP="00CE3905">
      <w:pPr>
        <w:jc w:val="both"/>
        <w:rPr>
          <w:i/>
          <w:iCs/>
        </w:rPr>
      </w:pPr>
      <w:r w:rsidRPr="00C63263">
        <w:rPr>
          <w:i/>
          <w:iCs/>
        </w:rPr>
        <w:t xml:space="preserve">- En dernier recours, l’engagement </w:t>
      </w:r>
      <w:r w:rsidRPr="00993E62">
        <w:rPr>
          <w:i/>
          <w:iCs/>
        </w:rPr>
        <w:t>d’étudiants dans les métiers en pénurie ou qui permettent de soutenir ceux-ci par leur présence. Ceci contribuerait à faire naitre certaines vocations ou sensibiliser ces derniers à l’approche de l’activité au sein d’un établissement</w:t>
      </w:r>
      <w:r>
        <w:rPr>
          <w:i/>
          <w:iCs/>
        </w:rPr>
        <w:t>.</w:t>
      </w:r>
    </w:p>
    <w:p w14:paraId="158F6EC8" w14:textId="78509A9D" w:rsidR="006879A2" w:rsidRDefault="00C067FC" w:rsidP="00CE3905">
      <w:pPr>
        <w:jc w:val="both"/>
      </w:pPr>
      <w:r>
        <w:t>Cette mesure</w:t>
      </w:r>
      <w:r w:rsidR="00DB23EA">
        <w:t xml:space="preserve"> </w:t>
      </w:r>
      <w:r w:rsidR="006879A2">
        <w:t>est</w:t>
      </w:r>
      <w:r w:rsidR="00993E62">
        <w:t xml:space="preserve"> </w:t>
      </w:r>
      <w:r w:rsidR="006879A2">
        <w:t>reconduite</w:t>
      </w:r>
      <w:r w:rsidR="00993E62">
        <w:t xml:space="preserve"> </w:t>
      </w:r>
      <w:r w:rsidR="006879A2">
        <w:t>d’office sur le premier quadrimestre 2022.</w:t>
      </w:r>
    </w:p>
    <w:p w14:paraId="75D21568" w14:textId="5FDFEF98" w:rsidR="00617E71" w:rsidRDefault="00E620F8" w:rsidP="00CE3905">
      <w:pPr>
        <w:jc w:val="both"/>
      </w:pPr>
      <w:r>
        <w:t xml:space="preserve">Cette reconduction vise </w:t>
      </w:r>
      <w:r w:rsidR="00A7705D">
        <w:t xml:space="preserve">à aider à </w:t>
      </w:r>
      <w:r w:rsidR="00DB23EA" w:rsidRPr="00DB23EA">
        <w:t>assurer la continuité des services et une bonne organisation du travail ainsi que de diminuer la pression sur le personnel dans le</w:t>
      </w:r>
      <w:r w:rsidR="00A7705D">
        <w:t>s institutions concernées</w:t>
      </w:r>
      <w:r w:rsidR="00DB23EA" w:rsidRPr="00DB23EA">
        <w:t>.</w:t>
      </w:r>
    </w:p>
    <w:p w14:paraId="762995B1" w14:textId="166AE74A" w:rsidR="00617E71" w:rsidRDefault="00D467AF" w:rsidP="00CE3905">
      <w:pPr>
        <w:jc w:val="both"/>
      </w:pPr>
      <w:r>
        <w:t>Comme en 2021</w:t>
      </w:r>
      <w:r w:rsidR="002F0129">
        <w:t xml:space="preserve">, </w:t>
      </w:r>
      <w:r w:rsidR="00587F31">
        <w:t xml:space="preserve">la répartition </w:t>
      </w:r>
      <w:r w:rsidR="003671EA">
        <w:t>au sein d’un sous</w:t>
      </w:r>
      <w:r w:rsidR="00365917">
        <w:t>-</w:t>
      </w:r>
      <w:r w:rsidR="003671EA">
        <w:t xml:space="preserve">secteur </w:t>
      </w:r>
      <w:r w:rsidR="00365917">
        <w:t xml:space="preserve">se fera </w:t>
      </w:r>
      <w:r w:rsidR="002F0129">
        <w:t>sur base des ETP par service du cadastre 2019</w:t>
      </w:r>
      <w:r w:rsidR="00623491">
        <w:t xml:space="preserve">.  </w:t>
      </w:r>
      <w:r w:rsidR="00623491" w:rsidRPr="00C63263">
        <w:t>Pour ce quadrimestre, chaque institution bénéficiera de l’équivalent de 2/3 du montant indexé des moyens reçus en 2021.</w:t>
      </w:r>
    </w:p>
    <w:p w14:paraId="5C0E0C96" w14:textId="5C8C6531" w:rsidR="00E106BF" w:rsidRDefault="00D467AF" w:rsidP="00E106BF">
      <w:pPr>
        <w:jc w:val="both"/>
      </w:pPr>
      <w:r>
        <w:t>C</w:t>
      </w:r>
      <w:r w:rsidR="00E106BF">
        <w:t>ette aide ne peut servir à financer du personnel intérimaire.</w:t>
      </w:r>
    </w:p>
    <w:p w14:paraId="400B8391" w14:textId="28F53555" w:rsidR="000D74D5" w:rsidRDefault="00BA511D" w:rsidP="00CE3905">
      <w:pPr>
        <w:jc w:val="both"/>
      </w:pPr>
      <w:r>
        <w:lastRenderedPageBreak/>
        <w:t xml:space="preserve">En fonction </w:t>
      </w:r>
      <w:r w:rsidR="001873CD">
        <w:t xml:space="preserve">des moyens restant disponible sur 2022 et </w:t>
      </w:r>
      <w:r>
        <w:t xml:space="preserve">de l’évaluation de l’utilisation des moyens 2021, </w:t>
      </w:r>
      <w:r w:rsidR="003D3C11">
        <w:t xml:space="preserve"> </w:t>
      </w:r>
      <w:r w:rsidR="00400096">
        <w:t xml:space="preserve">elle </w:t>
      </w:r>
      <w:r w:rsidR="003D3C11">
        <w:t xml:space="preserve"> pourra être prolongée au-delà d</w:t>
      </w:r>
      <w:r w:rsidR="00765A42">
        <w:t>u</w:t>
      </w:r>
      <w:r w:rsidR="003D3C11">
        <w:t xml:space="preserve"> premier quadrimestre.</w:t>
      </w:r>
    </w:p>
    <w:p w14:paraId="64F24FD9" w14:textId="77777777" w:rsidR="00930741" w:rsidRDefault="00930741" w:rsidP="00CE3905">
      <w:pPr>
        <w:jc w:val="both"/>
      </w:pPr>
    </w:p>
    <w:p w14:paraId="43AD84DF" w14:textId="3A73A744" w:rsidR="00CE3905" w:rsidRPr="00FE5CE1" w:rsidRDefault="005B214C" w:rsidP="00FE5CE1">
      <w:pPr>
        <w:pStyle w:val="Paragraphedeliste"/>
        <w:numPr>
          <w:ilvl w:val="1"/>
          <w:numId w:val="9"/>
        </w:numPr>
        <w:jc w:val="both"/>
        <w:rPr>
          <w:b/>
          <w:bCs/>
          <w:u w:val="single"/>
        </w:rPr>
      </w:pPr>
      <w:r w:rsidRPr="00FE5CE1">
        <w:rPr>
          <w:b/>
          <w:bCs/>
          <w:u w:val="single"/>
        </w:rPr>
        <w:t>Mesure(s)</w:t>
      </w:r>
      <w:r w:rsidR="00CE3905" w:rsidRPr="00FE5CE1">
        <w:rPr>
          <w:b/>
          <w:bCs/>
          <w:u w:val="single"/>
        </w:rPr>
        <w:t xml:space="preserve"> pour les services d’aide aux familles</w:t>
      </w:r>
      <w:r w:rsidR="00FF0F8E">
        <w:rPr>
          <w:b/>
          <w:bCs/>
          <w:u w:val="single"/>
        </w:rPr>
        <w:t xml:space="preserve"> et aux aînés</w:t>
      </w:r>
    </w:p>
    <w:p w14:paraId="162663A1" w14:textId="1E101BF7" w:rsidR="00AD014E" w:rsidRDefault="00AD014E" w:rsidP="00CE3905">
      <w:pPr>
        <w:jc w:val="both"/>
      </w:pPr>
      <w:r>
        <w:t xml:space="preserve">Un budget de </w:t>
      </w:r>
      <w:r w:rsidRPr="00AD014E">
        <w:t>697.304,72</w:t>
      </w:r>
      <w:r w:rsidR="003B31D4">
        <w:t xml:space="preserve"> </w:t>
      </w:r>
      <w:r w:rsidR="00B13F0F">
        <w:t xml:space="preserve">euros </w:t>
      </w:r>
      <w:r w:rsidR="003B31D4">
        <w:t>(hors index) est réservé pour des mesures spécifiques</w:t>
      </w:r>
      <w:r w:rsidR="00ED77E4">
        <w:t xml:space="preserve"> nouvelles</w:t>
      </w:r>
      <w:r w:rsidR="003B31D4">
        <w:t xml:space="preserve"> </w:t>
      </w:r>
      <w:r w:rsidR="00DC3EB1">
        <w:t xml:space="preserve">en faveur </w:t>
      </w:r>
      <w:r w:rsidR="00101B1E">
        <w:t xml:space="preserve">du personnel </w:t>
      </w:r>
      <w:r w:rsidR="00DC3EB1">
        <w:t>d</w:t>
      </w:r>
      <w:r w:rsidR="003B31D4">
        <w:t>es services d’aide</w:t>
      </w:r>
      <w:r w:rsidR="00BB2CD3">
        <w:t xml:space="preserve"> aux familles</w:t>
      </w:r>
      <w:r w:rsidR="00FF0F8E">
        <w:t xml:space="preserve"> et aux aînés</w:t>
      </w:r>
      <w:r w:rsidR="00BB2CD3">
        <w:t>.  Ces mesures seront définies au cours du premier trimestre 2022.</w:t>
      </w:r>
    </w:p>
    <w:p w14:paraId="18FBBAE4" w14:textId="03EFBE8F" w:rsidR="00CE3905" w:rsidRPr="00CC0DE0" w:rsidRDefault="000D74D5" w:rsidP="00CC0DE0">
      <w:pPr>
        <w:pStyle w:val="Paragraphedeliste"/>
        <w:numPr>
          <w:ilvl w:val="0"/>
          <w:numId w:val="9"/>
        </w:numPr>
        <w:jc w:val="both"/>
        <w:rPr>
          <w:b/>
          <w:bCs/>
          <w:u w:val="single"/>
        </w:rPr>
      </w:pPr>
      <w:r w:rsidRPr="00CC0DE0">
        <w:rPr>
          <w:b/>
          <w:bCs/>
          <w:u w:val="single"/>
        </w:rPr>
        <w:t>M</w:t>
      </w:r>
      <w:r w:rsidR="00CE3905" w:rsidRPr="00CC0DE0">
        <w:rPr>
          <w:b/>
          <w:bCs/>
          <w:u w:val="single"/>
        </w:rPr>
        <w:t>esures structurelles</w:t>
      </w:r>
    </w:p>
    <w:p w14:paraId="27A413ED" w14:textId="25016800" w:rsidR="00CE3905" w:rsidRDefault="00CE3905" w:rsidP="00CE3905">
      <w:pPr>
        <w:jc w:val="both"/>
      </w:pPr>
      <w:r>
        <w:t xml:space="preserve">Il est convenu de réunir à nouveau </w:t>
      </w:r>
      <w:r w:rsidR="000D74D5">
        <w:t xml:space="preserve">le Comité C </w:t>
      </w:r>
      <w:r>
        <w:t>afin de discuter des mesures structurelles à développer</w:t>
      </w:r>
      <w:r w:rsidR="00767002">
        <w:t xml:space="preserve"> au-delà de </w:t>
      </w:r>
      <w:r w:rsidR="00767002" w:rsidRPr="00C63263">
        <w:t>2022</w:t>
      </w:r>
      <w:r w:rsidR="00094EB8" w:rsidRPr="00C63263">
        <w:t xml:space="preserve"> au regard des revendications prioritaires des organisations syndicales</w:t>
      </w:r>
      <w:r w:rsidR="00623491" w:rsidRPr="00C63263">
        <w:t>.</w:t>
      </w:r>
    </w:p>
    <w:p w14:paraId="40669966" w14:textId="77777777" w:rsidR="00CE3905" w:rsidRDefault="00CE3905" w:rsidP="006D0E00">
      <w:pPr>
        <w:jc w:val="both"/>
      </w:pPr>
    </w:p>
    <w:p w14:paraId="34DB6EE8" w14:textId="3372441A" w:rsidR="0089397E" w:rsidRPr="0089397E" w:rsidRDefault="0089397E" w:rsidP="0089397E">
      <w:pPr>
        <w:jc w:val="center"/>
        <w:rPr>
          <w:b/>
          <w:bCs/>
        </w:rPr>
      </w:pPr>
      <w:r w:rsidRPr="0089397E">
        <w:rPr>
          <w:b/>
          <w:bCs/>
        </w:rPr>
        <w:t>Pour les organisations syndicales,</w:t>
      </w:r>
    </w:p>
    <w:p w14:paraId="41AB55EA" w14:textId="77777777" w:rsidR="0089397E" w:rsidRPr="0089397E" w:rsidRDefault="0089397E" w:rsidP="0089397E">
      <w:pPr>
        <w:jc w:val="center"/>
        <w:rPr>
          <w:b/>
          <w:bCs/>
        </w:rPr>
      </w:pPr>
    </w:p>
    <w:p w14:paraId="1923818B" w14:textId="6E0616AD" w:rsidR="00220F50" w:rsidRPr="0089397E" w:rsidRDefault="0089397E" w:rsidP="00220F50">
      <w:pPr>
        <w:rPr>
          <w:b/>
          <w:bCs/>
        </w:rPr>
      </w:pPr>
      <w:r w:rsidRPr="0089397E">
        <w:rPr>
          <w:b/>
          <w:bCs/>
        </w:rPr>
        <w:t xml:space="preserve">Pour la </w:t>
      </w:r>
      <w:r w:rsidR="00C17D40" w:rsidRPr="0089397E">
        <w:rPr>
          <w:b/>
          <w:bCs/>
        </w:rPr>
        <w:t xml:space="preserve">CGSP,  </w:t>
      </w:r>
      <w:r w:rsidRPr="0089397E">
        <w:rPr>
          <w:b/>
          <w:bCs/>
        </w:rPr>
        <w:t xml:space="preserve">                              </w:t>
      </w:r>
      <w:r>
        <w:rPr>
          <w:b/>
          <w:bCs/>
        </w:rPr>
        <w:t xml:space="preserve">     </w:t>
      </w:r>
      <w:r w:rsidRPr="0089397E">
        <w:rPr>
          <w:b/>
          <w:bCs/>
        </w:rPr>
        <w:t xml:space="preserve">    Pour la CSC</w:t>
      </w:r>
      <w:r w:rsidR="00891BD9">
        <w:rPr>
          <w:b/>
          <w:bCs/>
        </w:rPr>
        <w:t>-services publics</w:t>
      </w:r>
      <w:r w:rsidRPr="0089397E">
        <w:rPr>
          <w:b/>
          <w:bCs/>
        </w:rPr>
        <w:t>,                                Pour le SLFP,</w:t>
      </w:r>
    </w:p>
    <w:p w14:paraId="59879A16" w14:textId="2D13E0E1" w:rsidR="0089397E" w:rsidRPr="0089397E" w:rsidRDefault="0089397E" w:rsidP="0089397E">
      <w:pPr>
        <w:jc w:val="center"/>
        <w:rPr>
          <w:b/>
          <w:bCs/>
        </w:rPr>
      </w:pPr>
    </w:p>
    <w:p w14:paraId="6EA6F193" w14:textId="7AA0D551" w:rsidR="0089397E" w:rsidRDefault="0089397E" w:rsidP="0089397E">
      <w:pPr>
        <w:jc w:val="center"/>
        <w:rPr>
          <w:b/>
          <w:bCs/>
        </w:rPr>
      </w:pPr>
    </w:p>
    <w:p w14:paraId="072488FA" w14:textId="77777777" w:rsidR="00C17D40" w:rsidRPr="0089397E" w:rsidRDefault="00C17D40" w:rsidP="0089397E">
      <w:pPr>
        <w:jc w:val="center"/>
        <w:rPr>
          <w:b/>
          <w:bCs/>
        </w:rPr>
      </w:pPr>
    </w:p>
    <w:p w14:paraId="18AE7E3B" w14:textId="72EB97A9" w:rsidR="0089397E" w:rsidRPr="0089397E" w:rsidRDefault="00891BD9" w:rsidP="00891BD9">
      <w:pPr>
        <w:rPr>
          <w:b/>
          <w:bCs/>
        </w:rPr>
      </w:pPr>
      <w:r>
        <w:rPr>
          <w:b/>
          <w:bCs/>
        </w:rPr>
        <w:t>Olivier NYSSEN                                            Véronique SABEL                                          François ROOSENS</w:t>
      </w:r>
    </w:p>
    <w:p w14:paraId="1D916E4F" w14:textId="3D465E96" w:rsidR="0089397E" w:rsidRDefault="0089397E" w:rsidP="0089397E">
      <w:pPr>
        <w:jc w:val="center"/>
        <w:rPr>
          <w:b/>
          <w:bCs/>
        </w:rPr>
      </w:pPr>
    </w:p>
    <w:p w14:paraId="4FA77071" w14:textId="77777777" w:rsidR="005A1114" w:rsidRPr="0089397E" w:rsidRDefault="005A1114" w:rsidP="0089397E">
      <w:pPr>
        <w:jc w:val="center"/>
        <w:rPr>
          <w:b/>
          <w:bCs/>
        </w:rPr>
      </w:pPr>
    </w:p>
    <w:p w14:paraId="58BF4852" w14:textId="77777777" w:rsidR="005A1114" w:rsidRDefault="005A1114" w:rsidP="0089397E">
      <w:pPr>
        <w:jc w:val="center"/>
        <w:rPr>
          <w:b/>
          <w:bCs/>
        </w:rPr>
      </w:pPr>
      <w:r>
        <w:rPr>
          <w:b/>
          <w:bCs/>
        </w:rPr>
        <w:t xml:space="preserve">La </w:t>
      </w:r>
      <w:r w:rsidRPr="005A1114">
        <w:rPr>
          <w:b/>
          <w:bCs/>
        </w:rPr>
        <w:t xml:space="preserve">Vice-présidente du Gouvernement wallon, </w:t>
      </w:r>
    </w:p>
    <w:p w14:paraId="2D31F8EA" w14:textId="498D9CA5" w:rsidR="005A1114" w:rsidRDefault="005A1114" w:rsidP="0089397E">
      <w:pPr>
        <w:jc w:val="center"/>
        <w:rPr>
          <w:b/>
          <w:bCs/>
        </w:rPr>
      </w:pPr>
      <w:r w:rsidRPr="005A1114">
        <w:rPr>
          <w:b/>
          <w:bCs/>
        </w:rPr>
        <w:t>Ministre de l'Emploi, de l'Action sociale, de la Santé et de l'Égalité des Chances</w:t>
      </w:r>
      <w:r>
        <w:rPr>
          <w:b/>
          <w:bCs/>
        </w:rPr>
        <w:t>,</w:t>
      </w:r>
    </w:p>
    <w:p w14:paraId="2CAA47BD" w14:textId="4BFD2552" w:rsidR="005A1114" w:rsidRDefault="005A1114" w:rsidP="0089397E">
      <w:pPr>
        <w:jc w:val="center"/>
        <w:rPr>
          <w:b/>
          <w:bCs/>
        </w:rPr>
      </w:pPr>
      <w:r w:rsidRPr="005A1114">
        <w:rPr>
          <w:b/>
          <w:bCs/>
        </w:rPr>
        <w:t>Christie MORREALE,</w:t>
      </w:r>
    </w:p>
    <w:p w14:paraId="32F4C56A" w14:textId="77777777" w:rsidR="005A1114" w:rsidRDefault="005A1114" w:rsidP="0089397E">
      <w:pPr>
        <w:jc w:val="center"/>
        <w:rPr>
          <w:b/>
          <w:bCs/>
        </w:rPr>
      </w:pPr>
    </w:p>
    <w:p w14:paraId="6BBBB95F" w14:textId="77777777" w:rsidR="005A1114" w:rsidRDefault="005A1114" w:rsidP="0089397E">
      <w:pPr>
        <w:jc w:val="center"/>
        <w:rPr>
          <w:b/>
          <w:bCs/>
        </w:rPr>
      </w:pPr>
    </w:p>
    <w:p w14:paraId="245030F1" w14:textId="734651C4" w:rsidR="0089397E" w:rsidRPr="0089397E" w:rsidRDefault="0089397E" w:rsidP="0089397E">
      <w:pPr>
        <w:jc w:val="center"/>
        <w:rPr>
          <w:b/>
          <w:bCs/>
        </w:rPr>
      </w:pPr>
      <w:r w:rsidRPr="0089397E">
        <w:rPr>
          <w:b/>
          <w:bCs/>
        </w:rPr>
        <w:t>Le Ministre des Pouvoirs locaux,</w:t>
      </w:r>
    </w:p>
    <w:p w14:paraId="5ADEE84E" w14:textId="77777777" w:rsidR="0089397E" w:rsidRPr="0089397E" w:rsidRDefault="0089397E" w:rsidP="0089397E">
      <w:pPr>
        <w:jc w:val="center"/>
        <w:rPr>
          <w:b/>
          <w:bCs/>
        </w:rPr>
      </w:pPr>
    </w:p>
    <w:p w14:paraId="2C7A534C" w14:textId="3D0AA9E4" w:rsidR="0089397E" w:rsidRDefault="0089397E" w:rsidP="0089397E">
      <w:pPr>
        <w:jc w:val="center"/>
        <w:rPr>
          <w:b/>
          <w:bCs/>
        </w:rPr>
      </w:pPr>
      <w:r w:rsidRPr="0089397E">
        <w:rPr>
          <w:b/>
          <w:bCs/>
        </w:rPr>
        <w:t>Christophe COLLIGNON</w:t>
      </w:r>
    </w:p>
    <w:p w14:paraId="5D24779A" w14:textId="5B0D3EBD" w:rsidR="005A1114" w:rsidRDefault="005A1114" w:rsidP="0089397E">
      <w:pPr>
        <w:jc w:val="center"/>
        <w:rPr>
          <w:b/>
          <w:bCs/>
        </w:rPr>
      </w:pPr>
    </w:p>
    <w:sectPr w:rsidR="005A1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6716" w14:textId="77777777" w:rsidR="00572AB0" w:rsidRDefault="00572AB0" w:rsidP="00874D35">
      <w:pPr>
        <w:spacing w:after="0" w:line="240" w:lineRule="auto"/>
      </w:pPr>
      <w:r>
        <w:separator/>
      </w:r>
    </w:p>
  </w:endnote>
  <w:endnote w:type="continuationSeparator" w:id="0">
    <w:p w14:paraId="6CEBF014" w14:textId="77777777" w:rsidR="00572AB0" w:rsidRDefault="00572AB0" w:rsidP="0087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DD53" w14:textId="77777777" w:rsidR="005318AF" w:rsidRDefault="005318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91759"/>
      <w:docPartObj>
        <w:docPartGallery w:val="Page Numbers (Bottom of Page)"/>
        <w:docPartUnique/>
      </w:docPartObj>
    </w:sdtPr>
    <w:sdtEndPr/>
    <w:sdtContent>
      <w:p w14:paraId="4FD1177C" w14:textId="512825BE" w:rsidR="00874D35" w:rsidRDefault="00874D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2A19FB9" w14:textId="77777777" w:rsidR="00874D35" w:rsidRDefault="00874D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013C" w14:textId="77777777" w:rsidR="005318AF" w:rsidRDefault="00531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244E" w14:textId="77777777" w:rsidR="00572AB0" w:rsidRDefault="00572AB0" w:rsidP="00874D35">
      <w:pPr>
        <w:spacing w:after="0" w:line="240" w:lineRule="auto"/>
      </w:pPr>
      <w:r>
        <w:separator/>
      </w:r>
    </w:p>
  </w:footnote>
  <w:footnote w:type="continuationSeparator" w:id="0">
    <w:p w14:paraId="37065992" w14:textId="77777777" w:rsidR="00572AB0" w:rsidRDefault="00572AB0" w:rsidP="0087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BFC4" w14:textId="77777777" w:rsidR="005318AF" w:rsidRDefault="005318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63DF" w14:textId="77777777" w:rsidR="005318AF" w:rsidRDefault="005318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6BA3" w14:textId="77777777" w:rsidR="005318AF" w:rsidRDefault="00531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84F"/>
    <w:multiLevelType w:val="hybridMultilevel"/>
    <w:tmpl w:val="A97445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76EF"/>
    <w:multiLevelType w:val="hybridMultilevel"/>
    <w:tmpl w:val="031228F6"/>
    <w:lvl w:ilvl="0" w:tplc="501241F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21EE"/>
    <w:multiLevelType w:val="hybridMultilevel"/>
    <w:tmpl w:val="FCF04F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989"/>
    <w:multiLevelType w:val="hybridMultilevel"/>
    <w:tmpl w:val="FCF04F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8FD"/>
    <w:multiLevelType w:val="hybridMultilevel"/>
    <w:tmpl w:val="FCF04F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236F"/>
    <w:multiLevelType w:val="hybridMultilevel"/>
    <w:tmpl w:val="38AC778C"/>
    <w:lvl w:ilvl="0" w:tplc="A40E1E6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15CE3"/>
    <w:multiLevelType w:val="hybridMultilevel"/>
    <w:tmpl w:val="831890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DA73CC"/>
    <w:multiLevelType w:val="multilevel"/>
    <w:tmpl w:val="79181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4F662C5"/>
    <w:multiLevelType w:val="hybridMultilevel"/>
    <w:tmpl w:val="F9D85C6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48"/>
    <w:rsid w:val="000113AD"/>
    <w:rsid w:val="000215A0"/>
    <w:rsid w:val="00046F46"/>
    <w:rsid w:val="00061957"/>
    <w:rsid w:val="0008028A"/>
    <w:rsid w:val="00094EB8"/>
    <w:rsid w:val="000A70A4"/>
    <w:rsid w:val="000D74D5"/>
    <w:rsid w:val="000E201D"/>
    <w:rsid w:val="00101B1E"/>
    <w:rsid w:val="00106B03"/>
    <w:rsid w:val="00116848"/>
    <w:rsid w:val="001217A0"/>
    <w:rsid w:val="0014645B"/>
    <w:rsid w:val="00146A89"/>
    <w:rsid w:val="001873CD"/>
    <w:rsid w:val="001F6CA0"/>
    <w:rsid w:val="00220F50"/>
    <w:rsid w:val="00225E8B"/>
    <w:rsid w:val="002307B7"/>
    <w:rsid w:val="00251892"/>
    <w:rsid w:val="0025460A"/>
    <w:rsid w:val="002F0129"/>
    <w:rsid w:val="002F0D4C"/>
    <w:rsid w:val="003037DC"/>
    <w:rsid w:val="0031271C"/>
    <w:rsid w:val="0032051C"/>
    <w:rsid w:val="003328F4"/>
    <w:rsid w:val="00365917"/>
    <w:rsid w:val="003671EA"/>
    <w:rsid w:val="003706E3"/>
    <w:rsid w:val="003854F3"/>
    <w:rsid w:val="00390999"/>
    <w:rsid w:val="003B31D4"/>
    <w:rsid w:val="003C038C"/>
    <w:rsid w:val="003D3C11"/>
    <w:rsid w:val="003D580E"/>
    <w:rsid w:val="003E0548"/>
    <w:rsid w:val="00400096"/>
    <w:rsid w:val="0046102B"/>
    <w:rsid w:val="00491D89"/>
    <w:rsid w:val="004B3011"/>
    <w:rsid w:val="004B70ED"/>
    <w:rsid w:val="004B76C7"/>
    <w:rsid w:val="004D613D"/>
    <w:rsid w:val="004E6C2B"/>
    <w:rsid w:val="005318AF"/>
    <w:rsid w:val="00535A7B"/>
    <w:rsid w:val="00562672"/>
    <w:rsid w:val="00572AB0"/>
    <w:rsid w:val="00587F31"/>
    <w:rsid w:val="005A1114"/>
    <w:rsid w:val="005A5815"/>
    <w:rsid w:val="005B214C"/>
    <w:rsid w:val="005E1D38"/>
    <w:rsid w:val="005E3D4D"/>
    <w:rsid w:val="005F26EA"/>
    <w:rsid w:val="005F4F84"/>
    <w:rsid w:val="005F7E6A"/>
    <w:rsid w:val="00600D0C"/>
    <w:rsid w:val="00617E71"/>
    <w:rsid w:val="00623491"/>
    <w:rsid w:val="006375FE"/>
    <w:rsid w:val="00661B17"/>
    <w:rsid w:val="0066257E"/>
    <w:rsid w:val="0068582D"/>
    <w:rsid w:val="006868EF"/>
    <w:rsid w:val="006879A2"/>
    <w:rsid w:val="006C577D"/>
    <w:rsid w:val="006D0E00"/>
    <w:rsid w:val="006D3681"/>
    <w:rsid w:val="006F30B9"/>
    <w:rsid w:val="00706468"/>
    <w:rsid w:val="00717DB1"/>
    <w:rsid w:val="007258C2"/>
    <w:rsid w:val="00740C48"/>
    <w:rsid w:val="00765A42"/>
    <w:rsid w:val="00767002"/>
    <w:rsid w:val="007A6965"/>
    <w:rsid w:val="007B456C"/>
    <w:rsid w:val="007C3434"/>
    <w:rsid w:val="007E49D1"/>
    <w:rsid w:val="00801BFF"/>
    <w:rsid w:val="00812024"/>
    <w:rsid w:val="008378A0"/>
    <w:rsid w:val="00871AFE"/>
    <w:rsid w:val="008742EC"/>
    <w:rsid w:val="00874D35"/>
    <w:rsid w:val="00891BD9"/>
    <w:rsid w:val="0089397E"/>
    <w:rsid w:val="008A2742"/>
    <w:rsid w:val="008F02AE"/>
    <w:rsid w:val="008F5858"/>
    <w:rsid w:val="00930741"/>
    <w:rsid w:val="00936A95"/>
    <w:rsid w:val="00937F1F"/>
    <w:rsid w:val="009529D7"/>
    <w:rsid w:val="00954773"/>
    <w:rsid w:val="00956CF8"/>
    <w:rsid w:val="00956D81"/>
    <w:rsid w:val="009729FC"/>
    <w:rsid w:val="00993E62"/>
    <w:rsid w:val="009C691C"/>
    <w:rsid w:val="009C7EC8"/>
    <w:rsid w:val="00A14A53"/>
    <w:rsid w:val="00A41A33"/>
    <w:rsid w:val="00A43210"/>
    <w:rsid w:val="00A46D84"/>
    <w:rsid w:val="00A67F8E"/>
    <w:rsid w:val="00A72CF6"/>
    <w:rsid w:val="00A7705D"/>
    <w:rsid w:val="00A86869"/>
    <w:rsid w:val="00A926FF"/>
    <w:rsid w:val="00AB2CDB"/>
    <w:rsid w:val="00AB533E"/>
    <w:rsid w:val="00AC5E56"/>
    <w:rsid w:val="00AC7320"/>
    <w:rsid w:val="00AD014E"/>
    <w:rsid w:val="00AD037A"/>
    <w:rsid w:val="00B0730D"/>
    <w:rsid w:val="00B13F0F"/>
    <w:rsid w:val="00B23621"/>
    <w:rsid w:val="00B4125D"/>
    <w:rsid w:val="00B45842"/>
    <w:rsid w:val="00BA511D"/>
    <w:rsid w:val="00BB2CD3"/>
    <w:rsid w:val="00BD12F1"/>
    <w:rsid w:val="00BD3964"/>
    <w:rsid w:val="00BE5794"/>
    <w:rsid w:val="00C067FC"/>
    <w:rsid w:val="00C16EFB"/>
    <w:rsid w:val="00C17043"/>
    <w:rsid w:val="00C17D40"/>
    <w:rsid w:val="00C607AF"/>
    <w:rsid w:val="00C6267F"/>
    <w:rsid w:val="00C63263"/>
    <w:rsid w:val="00C741D7"/>
    <w:rsid w:val="00C920EE"/>
    <w:rsid w:val="00CA2A8C"/>
    <w:rsid w:val="00CC0DE0"/>
    <w:rsid w:val="00CC4894"/>
    <w:rsid w:val="00CD572B"/>
    <w:rsid w:val="00CD58B0"/>
    <w:rsid w:val="00CE3905"/>
    <w:rsid w:val="00D07617"/>
    <w:rsid w:val="00D1022C"/>
    <w:rsid w:val="00D24972"/>
    <w:rsid w:val="00D3265F"/>
    <w:rsid w:val="00D467AF"/>
    <w:rsid w:val="00D551F3"/>
    <w:rsid w:val="00D7053A"/>
    <w:rsid w:val="00D7446B"/>
    <w:rsid w:val="00D81F9F"/>
    <w:rsid w:val="00DA7496"/>
    <w:rsid w:val="00DB23EA"/>
    <w:rsid w:val="00DC3EB1"/>
    <w:rsid w:val="00E106BF"/>
    <w:rsid w:val="00E108CB"/>
    <w:rsid w:val="00E30921"/>
    <w:rsid w:val="00E40B55"/>
    <w:rsid w:val="00E620F8"/>
    <w:rsid w:val="00E70381"/>
    <w:rsid w:val="00E70C78"/>
    <w:rsid w:val="00E916A3"/>
    <w:rsid w:val="00EC6088"/>
    <w:rsid w:val="00ED68F9"/>
    <w:rsid w:val="00ED77E4"/>
    <w:rsid w:val="00F12AB7"/>
    <w:rsid w:val="00F521C0"/>
    <w:rsid w:val="00F93BEB"/>
    <w:rsid w:val="00FB34F8"/>
    <w:rsid w:val="00FD5F2E"/>
    <w:rsid w:val="00FE5CE1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A12F"/>
  <w15:chartTrackingRefBased/>
  <w15:docId w15:val="{F58D00B2-7521-470D-B2A0-AF39BB0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F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D35"/>
  </w:style>
  <w:style w:type="paragraph" w:styleId="Pieddepage">
    <w:name w:val="footer"/>
    <w:basedOn w:val="Normal"/>
    <w:link w:val="PieddepageCar"/>
    <w:uiPriority w:val="99"/>
    <w:unhideWhenUsed/>
    <w:rsid w:val="0087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D35"/>
  </w:style>
  <w:style w:type="character" w:styleId="Marquedecommentaire">
    <w:name w:val="annotation reference"/>
    <w:basedOn w:val="Policepardfaut"/>
    <w:uiPriority w:val="99"/>
    <w:semiHidden/>
    <w:unhideWhenUsed/>
    <w:rsid w:val="00D07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7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76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7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761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79B2-523E-4C7B-BF36-FFED68F9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Hogge</dc:creator>
  <cp:keywords/>
  <dc:description/>
  <cp:lastModifiedBy>Jean-Marc Rombeaux</cp:lastModifiedBy>
  <cp:revision>3</cp:revision>
  <dcterms:created xsi:type="dcterms:W3CDTF">2021-12-16T12:55:00Z</dcterms:created>
  <dcterms:modified xsi:type="dcterms:W3CDTF">2021-12-21T08:21:00Z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2021-06-17T14:24:04Z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4271feab-b686-4056-916c-99b45b463aa0</vt:lpwstr>
  </property>
  <property fmtid="{D5CDD505-2E9C-101B-9397-08002B2CF9AE}" pid="8" name="MSIP_Label_97a477d1-147d-4e34-b5e3-7b26d2f44870_ContentBits">
    <vt:lpwstr>0</vt:lpwstr>
  </property>
</Properties>
</file>