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E4F49" w14:textId="77777777" w:rsidR="00E6683C" w:rsidRPr="008B4E6D" w:rsidRDefault="00E6683C" w:rsidP="00E6683C">
      <w:pPr>
        <w:pStyle w:val="Titre1"/>
        <w:rPr>
          <w:sz w:val="8"/>
          <w:szCs w:val="8"/>
        </w:rPr>
      </w:pPr>
    </w:p>
    <w:p w14:paraId="2ED4763E" w14:textId="77777777" w:rsidR="00E6683C" w:rsidRPr="008577EA" w:rsidRDefault="00E6683C" w:rsidP="00E6683C">
      <w:pPr>
        <w:keepNext/>
        <w:keepLines/>
        <w:spacing w:after="0" w:line="264" w:lineRule="auto"/>
        <w:jc w:val="center"/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</w:pPr>
      <w:r>
        <w:rPr>
          <w:rFonts w:ascii="Titillium" w:hAnsi="Titillium"/>
          <w:caps/>
          <w:color w:val="004EA2" w:themeColor="accent1"/>
          <w:sz w:val="30"/>
        </w:rPr>
        <w:t xml:space="preserve">Ihre Steuererklärung ausfüllen? </w:t>
      </w:r>
      <w:r>
        <w:rPr>
          <w:rFonts w:ascii="Titillium" w:hAnsi="Titillium"/>
          <w:caps/>
          <w:color w:val="004EA2" w:themeColor="accent1"/>
          <w:sz w:val="30"/>
        </w:rPr>
        <w:br/>
        <w:t>Der FÖD Finanzen erleichtert Ihnen diese Aufgabe!</w:t>
      </w:r>
    </w:p>
    <w:p w14:paraId="27C8F062" w14:textId="77777777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0573CB6B" w14:textId="77777777" w:rsidR="00023D7B" w:rsidRPr="008D18F9" w:rsidRDefault="00023D7B" w:rsidP="00E6683C">
      <w:pPr>
        <w:spacing w:after="0" w:line="264" w:lineRule="auto"/>
        <w:rPr>
          <w:rFonts w:ascii="Titillium" w:hAnsi="Titillium"/>
          <w:sz w:val="22"/>
        </w:rPr>
      </w:pPr>
    </w:p>
    <w:p w14:paraId="62BA9A7E" w14:textId="4E720579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Ihre Steuererklärung über MyMinfin (Tax-on-Web): einfach und schnell</w:t>
      </w:r>
      <w:r>
        <w:rPr>
          <w:b/>
          <w:color w:val="004EA2" w:themeColor="accent1"/>
          <w:sz w:val="26"/>
        </w:rPr>
        <w:t>!</w:t>
      </w:r>
    </w:p>
    <w:p w14:paraId="2BC5CB23" w14:textId="0A195A7F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Ab Ende April ist Ihre (größtenteils vorausgefüllte) </w:t>
      </w:r>
      <w:r>
        <w:rPr>
          <w:rFonts w:ascii="Titillium" w:hAnsi="Titillium"/>
          <w:b/>
          <w:sz w:val="22"/>
        </w:rPr>
        <w:t>Erklärung</w:t>
      </w:r>
      <w:r>
        <w:rPr>
          <w:rFonts w:ascii="Titillium" w:hAnsi="Titillium"/>
          <w:sz w:val="22"/>
        </w:rPr>
        <w:t xml:space="preserve"> oder Ihr </w:t>
      </w:r>
      <w:r>
        <w:rPr>
          <w:rFonts w:ascii="Titillium" w:hAnsi="Titillium"/>
          <w:b/>
          <w:sz w:val="22"/>
        </w:rPr>
        <w:t>Vorschlag der vereinfachten Erklärung</w:t>
      </w:r>
      <w:r>
        <w:rPr>
          <w:rFonts w:ascii="Titillium" w:hAnsi="Titillium"/>
          <w:sz w:val="22"/>
        </w:rPr>
        <w:t xml:space="preserve"> in MyMinfin (Tax-on-Web) verfügbar. </w:t>
      </w:r>
    </w:p>
    <w:p w14:paraId="75A18C39" w14:textId="3779F009" w:rsidR="00D5173C" w:rsidRDefault="00E6683C" w:rsidP="00D5173C">
      <w:pPr>
        <w:spacing w:after="0" w:line="264" w:lineRule="auto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 xml:space="preserve">Wie greifen Sie auf Ihre Erklärung oder Ihren Vorschlag der vereinfachten Erklärung zu? </w:t>
      </w:r>
      <w:bookmarkStart w:id="0" w:name="_Hlk33691408"/>
    </w:p>
    <w:p w14:paraId="35DABF4D" w14:textId="4C974228" w:rsidR="00F76D1E" w:rsidRPr="00F76D1E" w:rsidRDefault="00F76D1E" w:rsidP="00F76D1E">
      <w:pPr>
        <w:pStyle w:val="Paragraphedeliste"/>
        <w:numPr>
          <w:ilvl w:val="0"/>
          <w:numId w:val="6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sz w:val="22"/>
        </w:rPr>
        <w:t xml:space="preserve">Gehen Sie auf </w:t>
      </w:r>
      <w:hyperlink r:id="rId8" w:history="1">
        <w:r>
          <w:rPr>
            <w:rFonts w:ascii="Titillium" w:hAnsi="Titillium"/>
            <w:color w:val="1F89CE" w:themeColor="hyperlink"/>
            <w:sz w:val="22"/>
            <w:u w:val="single"/>
          </w:rPr>
          <w:t>MyMinfin</w:t>
        </w:r>
      </w:hyperlink>
      <w:r>
        <w:rPr>
          <w:rFonts w:ascii="Titillium" w:hAnsi="Titillium"/>
          <w:color w:val="1F89CE" w:themeColor="hyperlink"/>
          <w:sz w:val="22"/>
          <w:u w:val="single"/>
        </w:rPr>
        <w:t>.be.</w:t>
      </w:r>
      <w:r>
        <w:rPr>
          <w:rFonts w:ascii="Titillium" w:hAnsi="Titillium"/>
          <w:sz w:val="22"/>
        </w:rPr>
        <w:t xml:space="preserve"> </w:t>
      </w:r>
    </w:p>
    <w:p w14:paraId="2886B78F" w14:textId="4A384FE8" w:rsidR="00E6683C" w:rsidRPr="00F76D1E" w:rsidRDefault="00F76D1E" w:rsidP="00F76D1E">
      <w:pPr>
        <w:pStyle w:val="Paragraphedeliste"/>
        <w:numPr>
          <w:ilvl w:val="0"/>
          <w:numId w:val="6"/>
        </w:numPr>
      </w:pPr>
      <w:r>
        <w:rPr>
          <w:rFonts w:ascii="Titillium" w:hAnsi="Titillium"/>
          <w:sz w:val="22"/>
        </w:rPr>
        <w:t xml:space="preserve">Melden Sie sich an, entweder über </w:t>
      </w:r>
      <w:hyperlink r:id="rId9" w:history="1">
        <w:r>
          <w:rPr>
            <w:rFonts w:ascii="Titillium" w:hAnsi="Titillium"/>
            <w:color w:val="1F89CE" w:themeColor="hyperlink"/>
            <w:sz w:val="22"/>
            <w:u w:val="single"/>
          </w:rPr>
          <w:t>itsme®</w:t>
        </w:r>
      </w:hyperlink>
      <w:r>
        <w:rPr>
          <w:rFonts w:ascii="Titillium" w:hAnsi="Titillium"/>
          <w:color w:val="1F89CE" w:themeColor="hyperlink"/>
          <w:sz w:val="22"/>
          <w:u w:val="single"/>
        </w:rPr>
        <w:t xml:space="preserve">, </w:t>
      </w:r>
      <w:r>
        <w:rPr>
          <w:rFonts w:ascii="Titillium" w:hAnsi="Titillium"/>
          <w:sz w:val="22"/>
        </w:rPr>
        <w:t>oder anhand Ihres Personalausweises, des PIN-Codes und eines Kartenlesers (</w:t>
      </w:r>
      <w:hyperlink r:id="rId10" w:history="1">
        <w:r>
          <w:rPr>
            <w:rStyle w:val="Lienhypertexte"/>
            <w:rFonts w:ascii="Titillium" w:hAnsi="Titillium"/>
            <w:sz w:val="22"/>
          </w:rPr>
          <w:t>PIN-Code des Personalausweises verloren oder vergessen?</w:t>
        </w:r>
      </w:hyperlink>
      <w:r>
        <w:rPr>
          <w:rFonts w:ascii="Titillium" w:hAnsi="Titillium"/>
          <w:sz w:val="22"/>
        </w:rPr>
        <w:t>).</w:t>
      </w:r>
    </w:p>
    <w:p w14:paraId="776B25F9" w14:textId="77777777" w:rsidR="00577E89" w:rsidRDefault="00577E89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732F5CAB" w14:textId="5BFA5805" w:rsidR="00C864BA" w:rsidRPr="0043212B" w:rsidRDefault="00C864BA" w:rsidP="0043212B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Sie nutzen MyMinfin (Tax-on-Web) nicht?</w:t>
      </w:r>
    </w:p>
    <w:p w14:paraId="7295DE63" w14:textId="6D5E5577" w:rsidR="0075101F" w:rsidRPr="001E73F6" w:rsidRDefault="006259F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 xml:space="preserve">Wenn Sie Ihre </w:t>
      </w:r>
      <w:hyperlink r:id="rId11" w:history="1">
        <w:r>
          <w:rPr>
            <w:rStyle w:val="Lienhypertexte"/>
            <w:rFonts w:ascii="Titillium" w:hAnsi="Titillium"/>
            <w:b/>
            <w:sz w:val="22"/>
          </w:rPr>
          <w:t>eBox</w:t>
        </w:r>
      </w:hyperlink>
      <w:r>
        <w:rPr>
          <w:rFonts w:ascii="Titillium" w:hAnsi="Titillium"/>
          <w:b/>
          <w:sz w:val="22"/>
        </w:rPr>
        <w:t xml:space="preserve"> </w:t>
      </w:r>
      <w:r>
        <w:rPr>
          <w:rFonts w:ascii="Titillium" w:hAnsi="Titillium"/>
          <w:b/>
          <w:bCs/>
          <w:sz w:val="22"/>
        </w:rPr>
        <w:t>nicht aktiviert haben</w:t>
      </w:r>
      <w:r>
        <w:rPr>
          <w:rFonts w:ascii="Titillium" w:hAnsi="Titillium"/>
          <w:sz w:val="22"/>
        </w:rPr>
        <w:t xml:space="preserve"> und Tax-on-Web letztes Jahr nicht verwendet haben, erhalten Sie Ihre Erklärung (oder Ihren Vorschlag der vereinfachten Erklärung) normalerweise im Laufe des Monats Mai per Post.</w:t>
      </w:r>
    </w:p>
    <w:p w14:paraId="7EDB0F45" w14:textId="3932D7CC" w:rsidR="00A571FA" w:rsidRPr="001E73F6" w:rsidRDefault="00A571F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sz w:val="22"/>
        </w:rPr>
        <w:t xml:space="preserve">Wenn Sie bis </w:t>
      </w:r>
      <w:r>
        <w:rPr>
          <w:rFonts w:ascii="Titillium" w:hAnsi="Titillium"/>
          <w:b/>
          <w:bCs/>
          <w:sz w:val="22"/>
        </w:rPr>
        <w:t>Anfang Juni</w:t>
      </w:r>
      <w:r>
        <w:rPr>
          <w:rFonts w:ascii="Titillium" w:hAnsi="Titillium"/>
          <w:sz w:val="22"/>
        </w:rPr>
        <w:t xml:space="preserve"> noch nichts erhalten haben, rufen Sie die Nummer 02 572 57 57 (*) an.</w:t>
      </w:r>
    </w:p>
    <w:p w14:paraId="3BD7A1B3" w14:textId="695102BE" w:rsidR="000958C2" w:rsidRPr="001E73F6" w:rsidRDefault="000958C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63E31135" w14:textId="57019C6E" w:rsidR="008510D6" w:rsidRDefault="008510D6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>Wenn Sie Ihre eBox aktiviert haben</w:t>
      </w:r>
      <w:r>
        <w:rPr>
          <w:rFonts w:ascii="Titillium" w:hAnsi="Titillium"/>
          <w:sz w:val="22"/>
        </w:rPr>
        <w:t xml:space="preserve">, erhalten Sie keine Erklärung (oder Vorschlag der vereinfachten Erklärung) per Post. Verwenden Sie </w:t>
      </w:r>
      <w:hyperlink r:id="rId12" w:history="1">
        <w:r>
          <w:rPr>
            <w:rStyle w:val="Lienhypertexte"/>
            <w:rFonts w:ascii="Titillium" w:hAnsi="Titillium"/>
            <w:sz w:val="22"/>
          </w:rPr>
          <w:t>MyMinfin (Tax-on-Web)</w:t>
        </w:r>
      </w:hyperlink>
      <w:r>
        <w:rPr>
          <w:rFonts w:ascii="Titillium" w:hAnsi="Titillium"/>
          <w:sz w:val="22"/>
        </w:rPr>
        <w:t xml:space="preserve"> oder bitten Sie ab</w:t>
      </w:r>
      <w:r>
        <w:rPr>
          <w:rFonts w:ascii="Titillium" w:hAnsi="Titillium"/>
          <w:b/>
          <w:sz w:val="22"/>
        </w:rPr>
        <w:t xml:space="preserve"> Anfang Juni</w:t>
      </w:r>
      <w:r>
        <w:rPr>
          <w:rFonts w:ascii="Titillium" w:hAnsi="Titillium"/>
          <w:sz w:val="22"/>
        </w:rPr>
        <w:t xml:space="preserve"> unter der Nummer 02 572 57 57 (*) um Zusendung per Post.</w:t>
      </w:r>
    </w:p>
    <w:p w14:paraId="219556D1" w14:textId="2367CD91" w:rsidR="00C864BA" w:rsidRDefault="00C864B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31D5A68C" w14:textId="1FC2763B" w:rsidR="00BF006E" w:rsidRDefault="00BF006E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bookmarkEnd w:id="0"/>
    <w:p w14:paraId="533CAE68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Erhalten Sie einen Vorschlag der vereinfachten Erklärung?</w:t>
      </w:r>
    </w:p>
    <w:p w14:paraId="283E1D37" w14:textId="5A8723A7" w:rsidR="00E6683C" w:rsidRDefault="00E6683C" w:rsidP="00FC5B78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b/>
          <w:sz w:val="22"/>
        </w:rPr>
        <w:t>Ihre Angaben sind richtig und vollständig?</w:t>
      </w:r>
      <w:r>
        <w:rPr>
          <w:rFonts w:ascii="Titillium" w:hAnsi="Titillium"/>
          <w:sz w:val="22"/>
        </w:rPr>
        <w:t xml:space="preserve"> Sie brauchen nichts zu unternehmen. Sie müssen nichts senden oder bestätigen. Sie erhalten automatisch Ihren Steuerbescheid (Berechnung).</w:t>
      </w:r>
    </w:p>
    <w:p w14:paraId="0D6F9C28" w14:textId="77777777" w:rsidR="00FC5B78" w:rsidRPr="008D18F9" w:rsidRDefault="00FC5B78" w:rsidP="00FC5B78">
      <w:pPr>
        <w:spacing w:after="0" w:line="264" w:lineRule="auto"/>
        <w:rPr>
          <w:rFonts w:ascii="Titillium" w:hAnsi="Titillium"/>
          <w:sz w:val="22"/>
        </w:rPr>
      </w:pPr>
    </w:p>
    <w:p w14:paraId="71F3A264" w14:textId="73DB1EDF" w:rsidR="00E6683C" w:rsidRPr="00A45109" w:rsidRDefault="00E6683C" w:rsidP="00E6683C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b/>
          <w:sz w:val="22"/>
        </w:rPr>
        <w:t>Ihre Angaben sind nicht richtig oder unvollständig?</w:t>
      </w:r>
      <w:r>
        <w:rPr>
          <w:rFonts w:ascii="Titillium" w:hAnsi="Titillium"/>
          <w:sz w:val="22"/>
        </w:rPr>
        <w:t xml:space="preserve"> Sie müssen sie korrigieren, entweder über </w:t>
      </w:r>
      <w:hyperlink r:id="rId13" w:history="1">
        <w:r>
          <w:rPr>
            <w:rFonts w:ascii="Titillium" w:hAnsi="Titillium"/>
            <w:color w:val="1F89CE" w:themeColor="hyperlink"/>
            <w:sz w:val="22"/>
            <w:u w:val="single"/>
          </w:rPr>
          <w:t>MyMinfin.be</w:t>
        </w:r>
      </w:hyperlink>
      <w:r>
        <w:rPr>
          <w:rFonts w:ascii="Titillium" w:hAnsi="Titillium"/>
        </w:rPr>
        <w:t xml:space="preserve"> oder über das Antwortformular auf Papier.</w:t>
      </w:r>
      <w:r>
        <w:rPr>
          <w:rFonts w:ascii="Titillium" w:hAnsi="Titillium"/>
          <w:sz w:val="22"/>
        </w:rPr>
        <w:t xml:space="preserve"> </w:t>
      </w:r>
    </w:p>
    <w:p w14:paraId="2AA9C73F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64C780D6" w14:textId="1FC2763B" w:rsidR="00BF006E" w:rsidRPr="00D50C86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4E4D8B89" w14:textId="57956FD8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Weitere Informationen? Sie benötigen Hilfe?</w:t>
      </w:r>
    </w:p>
    <w:p w14:paraId="12A03FEB" w14:textId="372A0E0A" w:rsidR="00E6683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>
        <w:rPr>
          <w:rFonts w:ascii="Titillium" w:hAnsi="Titillium"/>
          <w:b/>
          <w:sz w:val="22"/>
        </w:rPr>
        <w:t>Haben Sie eine Frage zu Ihrer Erklärung oder zu Ihrem Vorschlag der vereinfachten Erklärung?</w:t>
      </w:r>
    </w:p>
    <w:p w14:paraId="3C68C1BC" w14:textId="383C34F8" w:rsidR="008E4B1C" w:rsidRPr="00C02FE1" w:rsidRDefault="00D74877" w:rsidP="008E4B1C">
      <w:pPr>
        <w:numPr>
          <w:ilvl w:val="0"/>
          <w:numId w:val="1"/>
        </w:numPr>
        <w:spacing w:after="0" w:line="264" w:lineRule="auto"/>
        <w:contextualSpacing/>
        <w:jc w:val="left"/>
        <w:rPr>
          <w:rFonts w:ascii="Titillium" w:hAnsi="Titillium"/>
          <w:sz w:val="22"/>
        </w:rPr>
      </w:pPr>
      <w:hyperlink r:id="rId14" w:history="1">
        <w:r w:rsidR="00ED3422">
          <w:rPr>
            <w:rStyle w:val="Lienhypertexte"/>
            <w:rFonts w:ascii="Titillium" w:hAnsi="Titillium"/>
            <w:sz w:val="22"/>
          </w:rPr>
          <w:t>Besuchen Sie die Website des FÖD Finanzen</w:t>
        </w:r>
      </w:hyperlink>
      <w:r w:rsidR="00ED3422">
        <w:rPr>
          <w:rFonts w:ascii="Titillium" w:hAnsi="Titillium"/>
          <w:sz w:val="22"/>
        </w:rPr>
        <w:t>.</w:t>
      </w:r>
      <w:r w:rsidR="00ED3422">
        <w:rPr>
          <w:rFonts w:ascii="Cambria" w:hAnsi="Cambria"/>
          <w:sz w:val="22"/>
        </w:rPr>
        <w:t> </w:t>
      </w:r>
      <w:r w:rsidR="00ED3422">
        <w:rPr>
          <w:rFonts w:ascii="Titillium" w:hAnsi="Titillium"/>
          <w:sz w:val="22"/>
        </w:rPr>
        <w:t xml:space="preserve"> </w:t>
      </w:r>
    </w:p>
    <w:p w14:paraId="636955D8" w14:textId="0ACBD6F1" w:rsidR="008E4B1C" w:rsidRPr="0043212B" w:rsidRDefault="008E4B1C" w:rsidP="0043212B">
      <w:pPr>
        <w:pStyle w:val="Paragraphedeliste"/>
        <w:numPr>
          <w:ilvl w:val="0"/>
          <w:numId w:val="1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Rufen Sie die Nummer an, die auf Ihrer Erklärung oder auf Ihrem Vorschlag der vereinfachten Erklärung angegeben ist, oder die Nummer 02 572 57 57 (*).</w:t>
      </w:r>
    </w:p>
    <w:p w14:paraId="2984C556" w14:textId="236365E0" w:rsidR="00BF006E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37481266" w14:textId="4901A1D5" w:rsidR="008E4B1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>
        <w:rPr>
          <w:rFonts w:ascii="Titillium" w:hAnsi="Titillium"/>
          <w:b/>
          <w:sz w:val="22"/>
        </w:rPr>
        <w:t>Sie möchten Ihre Erklärung von den Experten des FÖD Finanzen ausfüllen lassen?</w:t>
      </w:r>
    </w:p>
    <w:p w14:paraId="39B55CF2" w14:textId="3C73362C" w:rsidR="00707EF2" w:rsidRDefault="00AB608C" w:rsidP="00707EF2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Die Hilfe erfolgt nur nach Absprache. Rufen Sie die Nummer an, die auf dem Umschlag Ihrer Steuererklärung (brauner Umschlag) vermerkt ist.</w:t>
      </w:r>
    </w:p>
    <w:p w14:paraId="4E87F3FE" w14:textId="7D47F6BB" w:rsidR="0032555E" w:rsidRPr="00745CE7" w:rsidRDefault="00344088" w:rsidP="00745CE7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Sie brauchen sich nicht mehr zu unseren Dienststellen zu begeben! Die Experten des FÖD Finanzen werden Sie zum vereinbarten Zeitpunkt zurückrufen, um mit Ihnen Ihre Steuererklärung </w:t>
      </w:r>
      <w:r>
        <w:rPr>
          <w:rFonts w:ascii="Titillium" w:hAnsi="Titillium"/>
          <w:b/>
          <w:sz w:val="22"/>
        </w:rPr>
        <w:t>per Telefon</w:t>
      </w:r>
      <w:r>
        <w:rPr>
          <w:rFonts w:ascii="Titillium" w:hAnsi="Titillium"/>
          <w:sz w:val="22"/>
        </w:rPr>
        <w:t xml:space="preserve"> auszufüllen. </w:t>
      </w:r>
    </w:p>
    <w:p w14:paraId="3BBCF890" w14:textId="574C8FC3" w:rsidR="00171AC6" w:rsidRDefault="00E53B6C" w:rsidP="00F745C2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Sie möchten Ihre Erklärung lieber in einer Dienststelle des FÖD Finanzen ausfüllen lassen? Geben Sie dies bei der Terminvereinbarung an.</w:t>
      </w:r>
    </w:p>
    <w:p w14:paraId="40F979A2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B061514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8C0D92A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 xml:space="preserve">Über die eBox erhalten Sie Ihre Dokumente des FÖD Finanzen online </w:t>
      </w:r>
    </w:p>
    <w:p w14:paraId="0957DBFB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Machen Sie es sich leicht und erhalten Sie Ihre Dokumente des FÖD Finanzen direkt online über die eBox, die digitale und sichere „Mailbox“ der öffentlichen Behörde.</w:t>
      </w:r>
    </w:p>
    <w:p w14:paraId="0A9ED6BF" w14:textId="78C8CD8E" w:rsidR="00E6683C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Aktivieren Sie Ihre eBox auf </w:t>
      </w:r>
      <w:hyperlink r:id="rId15" w:history="1">
        <w:r>
          <w:rPr>
            <w:rStyle w:val="Lienhypertexte"/>
            <w:rFonts w:ascii="Titillium" w:hAnsi="Titillium"/>
            <w:sz w:val="22"/>
          </w:rPr>
          <w:t>besserdigital.be</w:t>
        </w:r>
      </w:hyperlink>
      <w:r>
        <w:t>!</w:t>
      </w:r>
      <w:r>
        <w:rPr>
          <w:rFonts w:ascii="Titillium" w:hAnsi="Titillium"/>
          <w:sz w:val="22"/>
        </w:rPr>
        <w:t xml:space="preserve"> Sie erhalten dann eine Benachrichtigung, sobald ein neues Dokument verfügbar ist.</w:t>
      </w:r>
      <w:r>
        <w:t xml:space="preserve"> </w:t>
      </w:r>
      <w:r>
        <w:rPr>
          <w:rFonts w:ascii="Titillium" w:hAnsi="Titillium"/>
          <w:sz w:val="22"/>
        </w:rPr>
        <w:t>Vergessen Sie nicht, Ihre E-Mail-Adresse anzugeben, um diese Benachrichtigungen zu erhalten.</w:t>
      </w:r>
    </w:p>
    <w:p w14:paraId="51C1C56F" w14:textId="4A82BB05" w:rsidR="002E504B" w:rsidRDefault="00D74877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  <w:hyperlink r:id="rId16" w:history="1">
        <w:r w:rsidR="00ED3422">
          <w:rPr>
            <w:rStyle w:val="Lienhypertexte"/>
            <w:rFonts w:ascii="Titillium" w:hAnsi="Titillium"/>
            <w:sz w:val="22"/>
          </w:rPr>
          <w:t>Weitere Informationen</w:t>
        </w:r>
      </w:hyperlink>
      <w:r w:rsidR="00ED3422">
        <w:rPr>
          <w:rStyle w:val="Lienhypertexte"/>
          <w:rFonts w:ascii="Titillium" w:hAnsi="Titillium"/>
          <w:sz w:val="22"/>
        </w:rPr>
        <w:t xml:space="preserve"> zur eBox</w:t>
      </w:r>
    </w:p>
    <w:p w14:paraId="5A0F6031" w14:textId="218B288D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29F8070" w14:textId="1E24CA57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68C26D8" w14:textId="2340ED14" w:rsidR="00016DA5" w:rsidRPr="0043212B" w:rsidRDefault="00731410">
      <w:pPr>
        <w:spacing w:after="0" w:line="264" w:lineRule="auto"/>
        <w:rPr>
          <w:rFonts w:ascii="Titillium" w:eastAsiaTheme="majorEastAsia" w:hAnsi="Titillium" w:cstheme="majorBidi"/>
          <w:sz w:val="22"/>
        </w:rPr>
      </w:pPr>
      <w:r>
        <w:rPr>
          <w:rFonts w:ascii="Titillium" w:hAnsi="Titillium"/>
          <w:sz w:val="22"/>
        </w:rPr>
        <w:t xml:space="preserve">(*) Anruf unter 02 572 57 57: nachdem Sie die Sprache ausgewählt haben, wählen Sie </w:t>
      </w:r>
      <w:r>
        <w:rPr>
          <w:rFonts w:ascii="Titillium" w:hAnsi="Titillium"/>
          <w:b/>
          <w:sz w:val="22"/>
        </w:rPr>
        <w:t>2</w:t>
      </w:r>
      <w:r>
        <w:rPr>
          <w:rFonts w:ascii="Titillium" w:hAnsi="Titillium"/>
          <w:sz w:val="22"/>
        </w:rPr>
        <w:t xml:space="preserve"> (kein Code) &gt; </w:t>
      </w:r>
      <w:r>
        <w:rPr>
          <w:rFonts w:ascii="Titillium" w:hAnsi="Titillium"/>
          <w:b/>
          <w:sz w:val="22"/>
        </w:rPr>
        <w:t>1</w:t>
      </w:r>
      <w:r>
        <w:rPr>
          <w:rFonts w:ascii="Titillium" w:hAnsi="Titillium"/>
          <w:sz w:val="22"/>
        </w:rPr>
        <w:t xml:space="preserve"> (Steuer) &gt; </w:t>
      </w:r>
      <w:r>
        <w:rPr>
          <w:rFonts w:ascii="Titillium" w:hAnsi="Titillium"/>
          <w:b/>
          <w:sz w:val="22"/>
        </w:rPr>
        <w:t xml:space="preserve">1 </w:t>
      </w:r>
      <w:r>
        <w:rPr>
          <w:rFonts w:ascii="Titillium" w:hAnsi="Titillium"/>
          <w:sz w:val="22"/>
        </w:rPr>
        <w:t xml:space="preserve">(Steuer der natürlichen Personen) &gt; </w:t>
      </w:r>
      <w:r>
        <w:rPr>
          <w:rFonts w:ascii="Titillium" w:hAnsi="Titillium"/>
          <w:b/>
          <w:sz w:val="22"/>
        </w:rPr>
        <w:t>2</w:t>
      </w:r>
      <w:r>
        <w:rPr>
          <w:rFonts w:ascii="Titillium" w:hAnsi="Titillium"/>
          <w:sz w:val="22"/>
        </w:rPr>
        <w:t xml:space="preserve"> (kein Selbstständiger) &gt; </w:t>
      </w:r>
      <w:r>
        <w:rPr>
          <w:rFonts w:ascii="Titillium" w:hAnsi="Titillium"/>
          <w:b/>
          <w:sz w:val="22"/>
        </w:rPr>
        <w:t>1</w:t>
      </w:r>
      <w:r>
        <w:rPr>
          <w:rFonts w:ascii="Titillium" w:hAnsi="Titillium"/>
          <w:sz w:val="22"/>
        </w:rPr>
        <w:t xml:space="preserve"> (in Belgien).</w:t>
      </w:r>
    </w:p>
    <w:sectPr w:rsidR="00016DA5" w:rsidRPr="0043212B" w:rsidSect="003C4131"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A1A6A" w14:textId="77777777" w:rsidR="00D74877" w:rsidRDefault="00D74877" w:rsidP="0077775E">
      <w:pPr>
        <w:spacing w:after="0" w:line="240" w:lineRule="auto"/>
      </w:pPr>
      <w:r>
        <w:separator/>
      </w:r>
    </w:p>
  </w:endnote>
  <w:endnote w:type="continuationSeparator" w:id="0">
    <w:p w14:paraId="1393B78F" w14:textId="77777777" w:rsidR="00D74877" w:rsidRDefault="00D74877" w:rsidP="0077775E">
      <w:pPr>
        <w:spacing w:after="0" w:line="240" w:lineRule="auto"/>
      </w:pPr>
      <w:r>
        <w:continuationSeparator/>
      </w:r>
    </w:p>
  </w:endnote>
  <w:endnote w:type="continuationNotice" w:id="1">
    <w:p w14:paraId="7C4B411B" w14:textId="77777777" w:rsidR="00D74877" w:rsidRDefault="00D748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B82BF" w14:textId="7039B13B" w:rsidR="0077775E" w:rsidRDefault="00F241AC">
    <w:pPr>
      <w:pStyle w:val="Pieddepage"/>
    </w:pPr>
    <w:r>
      <w:rPr>
        <w:noProof/>
      </w:rPr>
      <w:drawing>
        <wp:anchor distT="0" distB="0" distL="114300" distR="114300" simplePos="0" relativeHeight="251664387" behindDoc="1" locked="0" layoutInCell="1" allowOverlap="1" wp14:anchorId="70510B75" wp14:editId="6668185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6660" cy="11664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7" t="90575" r="609" b="1426"/>
                  <a:stretch/>
                </pic:blipFill>
                <pic:spPr bwMode="auto">
                  <a:xfrm>
                    <a:off x="0" y="0"/>
                    <a:ext cx="7566660" cy="1166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0FC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55DF779" wp14:editId="0664B622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3197CC81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</w:rPr>
                            <w:fldChar w:fldCharType="separate"/>
                          </w:r>
                          <w:r w:rsidR="003408CF">
                            <w:rPr>
                              <w:sz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</w:rPr>
                            <w:fldChar w:fldCharType="separate"/>
                          </w:r>
                          <w:r w:rsidR="003408CF">
                            <w:rPr>
                              <w:sz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3197CC81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</w:rPr>
                      <w:fldChar w:fldCharType="begin"/>
                    </w:r>
                    <w:r w:rsidRPr="001130FC">
                      <w:rPr>
                        <w:sz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</w:rPr>
                      <w:fldChar w:fldCharType="separate"/>
                    </w:r>
                    <w:r w:rsidR="003408CF">
                      <w:rPr>
                        <w:sz w:val="16"/>
                      </w:rPr>
                      <w:t>2</w:t>
                    </w:r>
                    <w:r w:rsidRPr="001130FC"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Pr="001130FC">
                      <w:rPr>
                        <w:sz w:val="16"/>
                      </w:rPr>
                      <w:fldChar w:fldCharType="begin"/>
                    </w:r>
                    <w:r w:rsidRPr="001130FC">
                      <w:rPr>
                        <w:sz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</w:rPr>
                      <w:fldChar w:fldCharType="separate"/>
                    </w:r>
                    <w:r w:rsidR="003408CF">
                      <w:rPr>
                        <w:sz w:val="16"/>
                      </w:rPr>
                      <w:t>2</w:t>
                    </w:r>
                    <w:r w:rsidRPr="001130FC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A4071">
      <w:rPr>
        <w:noProof/>
      </w:rPr>
      <w:drawing>
        <wp:anchor distT="0" distB="0" distL="114300" distR="114300" simplePos="0" relativeHeight="251662339" behindDoc="1" locked="0" layoutInCell="1" allowOverlap="1" wp14:anchorId="77E33B6A" wp14:editId="23F664CF">
          <wp:simplePos x="0" y="0"/>
          <wp:positionH relativeFrom="page">
            <wp:posOffset>1312545</wp:posOffset>
          </wp:positionH>
          <wp:positionV relativeFrom="page">
            <wp:posOffset>10096500</wp:posOffset>
          </wp:positionV>
          <wp:extent cx="7559710" cy="10693332"/>
          <wp:effectExtent l="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79D4" w14:textId="2CB13FA5" w:rsidR="001130FC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0357B57F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0357B57F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EFA81" w14:textId="77777777" w:rsidR="00D74877" w:rsidRDefault="00D74877" w:rsidP="0077775E">
      <w:pPr>
        <w:spacing w:after="0" w:line="240" w:lineRule="auto"/>
      </w:pPr>
      <w:r>
        <w:separator/>
      </w:r>
    </w:p>
  </w:footnote>
  <w:footnote w:type="continuationSeparator" w:id="0">
    <w:p w14:paraId="43E235CC" w14:textId="77777777" w:rsidR="00D74877" w:rsidRDefault="00D74877" w:rsidP="0077775E">
      <w:pPr>
        <w:spacing w:after="0" w:line="240" w:lineRule="auto"/>
      </w:pPr>
      <w:r>
        <w:continuationSeparator/>
      </w:r>
    </w:p>
  </w:footnote>
  <w:footnote w:type="continuationNotice" w:id="1">
    <w:p w14:paraId="4408DE49" w14:textId="77777777" w:rsidR="00D74877" w:rsidRDefault="00D748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42A8" w14:textId="2D0F04B5" w:rsidR="003C4131" w:rsidRDefault="007A4071" w:rsidP="008E353C">
    <w:pPr>
      <w:pStyle w:val="En-tte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60291" behindDoc="1" locked="0" layoutInCell="1" allowOverlap="1" wp14:anchorId="3434613B" wp14:editId="0157AA27">
          <wp:simplePos x="0" y="0"/>
          <wp:positionH relativeFrom="page">
            <wp:align>left</wp:align>
          </wp:positionH>
          <wp:positionV relativeFrom="page">
            <wp:posOffset>6350</wp:posOffset>
          </wp:positionV>
          <wp:extent cx="7559710" cy="10693332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131">
      <w:rPr>
        <w:noProof/>
      </w:rPr>
      <w:drawing>
        <wp:anchor distT="0" distB="0" distL="114300" distR="114300" simplePos="0" relativeHeight="251658240" behindDoc="1" locked="0" layoutInCell="1" allowOverlap="1" wp14:anchorId="15067AB3" wp14:editId="505E6C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10" cy="10693333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131">
      <w:tab/>
    </w:r>
  </w:p>
  <w:p w14:paraId="632A0D29" w14:textId="3F35F49F" w:rsidR="003C4131" w:rsidRDefault="003C4131">
    <w:pPr>
      <w:pStyle w:val="En-tte"/>
      <w:rPr>
        <w:noProof/>
      </w:rPr>
    </w:pPr>
  </w:p>
  <w:p w14:paraId="62A1BC71" w14:textId="77777777" w:rsidR="003C4131" w:rsidRDefault="003C4131">
    <w:pPr>
      <w:pStyle w:val="En-tte"/>
      <w:rPr>
        <w:noProof/>
      </w:rPr>
    </w:pPr>
  </w:p>
  <w:p w14:paraId="5560FC84" w14:textId="77777777" w:rsidR="003C4131" w:rsidRDefault="003C4131">
    <w:pPr>
      <w:pStyle w:val="En-tte"/>
      <w:rPr>
        <w:noProof/>
      </w:rPr>
    </w:pPr>
  </w:p>
  <w:p w14:paraId="75069773" w14:textId="77777777" w:rsidR="003C4131" w:rsidRDefault="003C4131">
    <w:pPr>
      <w:pStyle w:val="En-tte"/>
      <w:rPr>
        <w:noProof/>
      </w:rPr>
    </w:pPr>
  </w:p>
  <w:p w14:paraId="4D364E8B" w14:textId="56D33C37" w:rsidR="0077775E" w:rsidRDefault="00777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13FB"/>
    <w:multiLevelType w:val="hybridMultilevel"/>
    <w:tmpl w:val="5F8018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2E2A"/>
    <w:multiLevelType w:val="hybridMultilevel"/>
    <w:tmpl w:val="5A34FC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45BB"/>
    <w:multiLevelType w:val="hybridMultilevel"/>
    <w:tmpl w:val="B7F250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2D58"/>
    <w:multiLevelType w:val="hybridMultilevel"/>
    <w:tmpl w:val="68C0F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C68FD"/>
    <w:multiLevelType w:val="hybridMultilevel"/>
    <w:tmpl w:val="16FAC2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77182"/>
    <w:multiLevelType w:val="hybridMultilevel"/>
    <w:tmpl w:val="33B8A5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016DA5"/>
    <w:rsid w:val="00023D7B"/>
    <w:rsid w:val="000279E3"/>
    <w:rsid w:val="00030769"/>
    <w:rsid w:val="000307C0"/>
    <w:rsid w:val="0006170D"/>
    <w:rsid w:val="00080A27"/>
    <w:rsid w:val="000958C2"/>
    <w:rsid w:val="00096E72"/>
    <w:rsid w:val="000A29C2"/>
    <w:rsid w:val="000C0770"/>
    <w:rsid w:val="000C6938"/>
    <w:rsid w:val="000E6574"/>
    <w:rsid w:val="000E79BF"/>
    <w:rsid w:val="00105368"/>
    <w:rsid w:val="00111175"/>
    <w:rsid w:val="001130FC"/>
    <w:rsid w:val="00115295"/>
    <w:rsid w:val="00131FC7"/>
    <w:rsid w:val="00143748"/>
    <w:rsid w:val="00155D4C"/>
    <w:rsid w:val="00170921"/>
    <w:rsid w:val="00171AC6"/>
    <w:rsid w:val="00183873"/>
    <w:rsid w:val="00183DA9"/>
    <w:rsid w:val="001A649A"/>
    <w:rsid w:val="001A7D0E"/>
    <w:rsid w:val="001C26C8"/>
    <w:rsid w:val="001D02C0"/>
    <w:rsid w:val="001E73F6"/>
    <w:rsid w:val="001F1DD8"/>
    <w:rsid w:val="00216F30"/>
    <w:rsid w:val="00221D29"/>
    <w:rsid w:val="0024179F"/>
    <w:rsid w:val="00281663"/>
    <w:rsid w:val="00297596"/>
    <w:rsid w:val="002D2A69"/>
    <w:rsid w:val="002E504B"/>
    <w:rsid w:val="003105AB"/>
    <w:rsid w:val="003146DE"/>
    <w:rsid w:val="0032555E"/>
    <w:rsid w:val="0032719A"/>
    <w:rsid w:val="0033089D"/>
    <w:rsid w:val="00337772"/>
    <w:rsid w:val="003408CF"/>
    <w:rsid w:val="00344088"/>
    <w:rsid w:val="00346993"/>
    <w:rsid w:val="00373A4D"/>
    <w:rsid w:val="00394CD0"/>
    <w:rsid w:val="003A2926"/>
    <w:rsid w:val="003B1A9C"/>
    <w:rsid w:val="003B77E1"/>
    <w:rsid w:val="003C4131"/>
    <w:rsid w:val="003D0366"/>
    <w:rsid w:val="003D32AC"/>
    <w:rsid w:val="003D4B3D"/>
    <w:rsid w:val="003E115C"/>
    <w:rsid w:val="003F3567"/>
    <w:rsid w:val="004240E5"/>
    <w:rsid w:val="0043212B"/>
    <w:rsid w:val="00432617"/>
    <w:rsid w:val="00450D72"/>
    <w:rsid w:val="004A085A"/>
    <w:rsid w:val="004A4269"/>
    <w:rsid w:val="004C2A92"/>
    <w:rsid w:val="004D19F5"/>
    <w:rsid w:val="004D429F"/>
    <w:rsid w:val="004E1246"/>
    <w:rsid w:val="004E4E88"/>
    <w:rsid w:val="004E78D8"/>
    <w:rsid w:val="00516008"/>
    <w:rsid w:val="00520901"/>
    <w:rsid w:val="0054703D"/>
    <w:rsid w:val="00551B4D"/>
    <w:rsid w:val="00561704"/>
    <w:rsid w:val="00573DA8"/>
    <w:rsid w:val="00577E89"/>
    <w:rsid w:val="005B3F02"/>
    <w:rsid w:val="005C1954"/>
    <w:rsid w:val="005C4079"/>
    <w:rsid w:val="00600470"/>
    <w:rsid w:val="00612BCE"/>
    <w:rsid w:val="006259F2"/>
    <w:rsid w:val="0063383C"/>
    <w:rsid w:val="0066379B"/>
    <w:rsid w:val="00663CDD"/>
    <w:rsid w:val="00670A8A"/>
    <w:rsid w:val="006847EE"/>
    <w:rsid w:val="006921A5"/>
    <w:rsid w:val="006A47BF"/>
    <w:rsid w:val="006E635D"/>
    <w:rsid w:val="006F2CC3"/>
    <w:rsid w:val="006F4BF4"/>
    <w:rsid w:val="006F5908"/>
    <w:rsid w:val="00707EF2"/>
    <w:rsid w:val="00713159"/>
    <w:rsid w:val="00713D41"/>
    <w:rsid w:val="00720594"/>
    <w:rsid w:val="00731410"/>
    <w:rsid w:val="00734088"/>
    <w:rsid w:val="00745CE7"/>
    <w:rsid w:val="007507CD"/>
    <w:rsid w:val="0075101F"/>
    <w:rsid w:val="00753035"/>
    <w:rsid w:val="007747F5"/>
    <w:rsid w:val="007755EE"/>
    <w:rsid w:val="0077775E"/>
    <w:rsid w:val="007A4071"/>
    <w:rsid w:val="007B6DD4"/>
    <w:rsid w:val="007D6848"/>
    <w:rsid w:val="007F16BC"/>
    <w:rsid w:val="007F5E1C"/>
    <w:rsid w:val="00806CD7"/>
    <w:rsid w:val="00812549"/>
    <w:rsid w:val="00813BCF"/>
    <w:rsid w:val="008159D6"/>
    <w:rsid w:val="008265DE"/>
    <w:rsid w:val="008510D6"/>
    <w:rsid w:val="00866A70"/>
    <w:rsid w:val="0087362E"/>
    <w:rsid w:val="00897D60"/>
    <w:rsid w:val="008D4199"/>
    <w:rsid w:val="008E26DB"/>
    <w:rsid w:val="008E29CC"/>
    <w:rsid w:val="008E353C"/>
    <w:rsid w:val="008E4B1C"/>
    <w:rsid w:val="008F4655"/>
    <w:rsid w:val="0091700D"/>
    <w:rsid w:val="00931A20"/>
    <w:rsid w:val="00934F13"/>
    <w:rsid w:val="00953AE5"/>
    <w:rsid w:val="00976C47"/>
    <w:rsid w:val="00995FB3"/>
    <w:rsid w:val="009A76B0"/>
    <w:rsid w:val="009C1061"/>
    <w:rsid w:val="009E3249"/>
    <w:rsid w:val="009E4501"/>
    <w:rsid w:val="009F03B5"/>
    <w:rsid w:val="009F08DA"/>
    <w:rsid w:val="009F667A"/>
    <w:rsid w:val="00A127DC"/>
    <w:rsid w:val="00A163CC"/>
    <w:rsid w:val="00A21240"/>
    <w:rsid w:val="00A35BBA"/>
    <w:rsid w:val="00A5424F"/>
    <w:rsid w:val="00A55904"/>
    <w:rsid w:val="00A56D24"/>
    <w:rsid w:val="00A571FA"/>
    <w:rsid w:val="00A773D3"/>
    <w:rsid w:val="00A93119"/>
    <w:rsid w:val="00AA555D"/>
    <w:rsid w:val="00AB608C"/>
    <w:rsid w:val="00AF1F96"/>
    <w:rsid w:val="00B33762"/>
    <w:rsid w:val="00B33D6A"/>
    <w:rsid w:val="00B43256"/>
    <w:rsid w:val="00B500DC"/>
    <w:rsid w:val="00B6498C"/>
    <w:rsid w:val="00B65622"/>
    <w:rsid w:val="00B66E0E"/>
    <w:rsid w:val="00B70E5B"/>
    <w:rsid w:val="00B94400"/>
    <w:rsid w:val="00BB4EA3"/>
    <w:rsid w:val="00BC285C"/>
    <w:rsid w:val="00BD1B70"/>
    <w:rsid w:val="00BE1CE4"/>
    <w:rsid w:val="00BF006E"/>
    <w:rsid w:val="00BF6DCD"/>
    <w:rsid w:val="00C02FE1"/>
    <w:rsid w:val="00C1588D"/>
    <w:rsid w:val="00C419E3"/>
    <w:rsid w:val="00C423DA"/>
    <w:rsid w:val="00C54CD1"/>
    <w:rsid w:val="00C6749E"/>
    <w:rsid w:val="00C8060F"/>
    <w:rsid w:val="00C864BA"/>
    <w:rsid w:val="00CA133C"/>
    <w:rsid w:val="00CE546F"/>
    <w:rsid w:val="00D174EF"/>
    <w:rsid w:val="00D25001"/>
    <w:rsid w:val="00D5173C"/>
    <w:rsid w:val="00D5431C"/>
    <w:rsid w:val="00D54A7B"/>
    <w:rsid w:val="00D55EC3"/>
    <w:rsid w:val="00D62B5E"/>
    <w:rsid w:val="00D70A8B"/>
    <w:rsid w:val="00D74877"/>
    <w:rsid w:val="00D77AAF"/>
    <w:rsid w:val="00D77B41"/>
    <w:rsid w:val="00D829F2"/>
    <w:rsid w:val="00D905DB"/>
    <w:rsid w:val="00DA6131"/>
    <w:rsid w:val="00DF141A"/>
    <w:rsid w:val="00E135C7"/>
    <w:rsid w:val="00E23ECB"/>
    <w:rsid w:val="00E31CAC"/>
    <w:rsid w:val="00E4761C"/>
    <w:rsid w:val="00E53B6C"/>
    <w:rsid w:val="00E6683C"/>
    <w:rsid w:val="00E66D0E"/>
    <w:rsid w:val="00E7033C"/>
    <w:rsid w:val="00E8192E"/>
    <w:rsid w:val="00E84C27"/>
    <w:rsid w:val="00EA3E65"/>
    <w:rsid w:val="00EB035F"/>
    <w:rsid w:val="00EB3E98"/>
    <w:rsid w:val="00EC6E2D"/>
    <w:rsid w:val="00ED3422"/>
    <w:rsid w:val="00F1593A"/>
    <w:rsid w:val="00F23FA1"/>
    <w:rsid w:val="00F241AC"/>
    <w:rsid w:val="00F2423F"/>
    <w:rsid w:val="00F253F5"/>
    <w:rsid w:val="00F3046F"/>
    <w:rsid w:val="00F32F1B"/>
    <w:rsid w:val="00F4423F"/>
    <w:rsid w:val="00F55A9C"/>
    <w:rsid w:val="00F6478B"/>
    <w:rsid w:val="00F70C93"/>
    <w:rsid w:val="00F745C2"/>
    <w:rsid w:val="00F76D1E"/>
    <w:rsid w:val="00F8646D"/>
    <w:rsid w:val="00F87EAB"/>
    <w:rsid w:val="00FB248B"/>
    <w:rsid w:val="00FC5B78"/>
    <w:rsid w:val="00FE51FA"/>
    <w:rsid w:val="00FF001B"/>
    <w:rsid w:val="00FF026B"/>
    <w:rsid w:val="4DAFC8F3"/>
    <w:rsid w:val="72A9B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A2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13D41"/>
    <w:pPr>
      <w:keepNext/>
      <w:keepLines/>
      <w:spacing w:after="120" w:line="240" w:lineRule="auto"/>
      <w:jc w:val="left"/>
      <w:outlineLvl w:val="0"/>
    </w:pPr>
    <w:rPr>
      <w:rFonts w:eastAsiaTheme="majorEastAsia" w:cstheme="majorBidi"/>
      <w:caps/>
      <w:color w:val="004EA2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13D41"/>
    <w:pPr>
      <w:keepNext/>
      <w:keepLines/>
      <w:shd w:val="clear" w:color="004EA2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6"/>
      <w:shd w:val="clear" w:color="auto" w:fill="004EA2" w:themeFill="accent1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13D41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4EA2" w:themeColor="accent1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13D41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4EA2" w:themeColor="accent1"/>
      <w:sz w:val="24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D77AAF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1F88CF" w:themeColor="accent5"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7AAF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1F88CF" w:themeColor="accent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aliases w:val="Objet de courrier"/>
    <w:basedOn w:val="Policepardfaut"/>
    <w:uiPriority w:val="22"/>
    <w:qFormat/>
    <w:rsid w:val="00346993"/>
    <w:rPr>
      <w:rFonts w:ascii="Arial" w:hAnsi="Arial"/>
      <w:b/>
      <w:bCs/>
    </w:rPr>
  </w:style>
  <w:style w:type="paragraph" w:styleId="Sansinterligne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713D41"/>
    <w:rPr>
      <w:rFonts w:ascii="Arial" w:eastAsiaTheme="majorEastAsia" w:hAnsi="Arial" w:cstheme="majorBidi"/>
      <w:caps/>
      <w:color w:val="004EA2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3D41"/>
    <w:rPr>
      <w:rFonts w:ascii="Arial" w:eastAsiaTheme="majorEastAsia" w:hAnsi="Arial" w:cstheme="majorBidi"/>
      <w:caps/>
      <w:color w:val="FFFFFF" w:themeColor="background1"/>
      <w:sz w:val="28"/>
      <w:szCs w:val="26"/>
      <w:shd w:val="clear" w:color="004EA2" w:themeColor="accent1" w:fill="auto"/>
    </w:rPr>
  </w:style>
  <w:style w:type="character" w:customStyle="1" w:styleId="Titre3Car">
    <w:name w:val="Titre 3 Car"/>
    <w:basedOn w:val="Policepardfaut"/>
    <w:link w:val="Titre3"/>
    <w:uiPriority w:val="9"/>
    <w:rsid w:val="00713D41"/>
    <w:rPr>
      <w:rFonts w:ascii="Arial" w:eastAsiaTheme="majorEastAsia" w:hAnsi="Arial" w:cstheme="majorBidi"/>
      <w:caps/>
      <w:color w:val="004EA2" w:themeColor="accent1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13D41"/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127DC"/>
    <w:rPr>
      <w:rFonts w:ascii="Arial" w:eastAsiaTheme="majorEastAsia" w:hAnsi="Arial" w:cstheme="majorBidi"/>
      <w:color w:val="004EA2" w:themeColor="accent1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77AAF"/>
    <w:rPr>
      <w:rFonts w:ascii="Arial" w:eastAsiaTheme="majorEastAsia" w:hAnsi="Arial" w:cstheme="majorBidi"/>
      <w:color w:val="1F88CF" w:themeColor="accent5"/>
    </w:rPr>
  </w:style>
  <w:style w:type="paragraph" w:styleId="En-tte">
    <w:name w:val="header"/>
    <w:basedOn w:val="Normal"/>
    <w:link w:val="En-tt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5E"/>
    <w:rPr>
      <w:rFonts w:ascii="Titillium Lt" w:hAnsi="Titillium L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5E"/>
    <w:rPr>
      <w:rFonts w:ascii="Titillium Lt" w:hAnsi="Titillium Lt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Accentuationintense">
    <w:name w:val="Intense Emphasis"/>
    <w:basedOn w:val="Policepardfaut"/>
    <w:uiPriority w:val="21"/>
    <w:qFormat/>
    <w:rsid w:val="00346993"/>
    <w:rPr>
      <w:rFonts w:ascii="Arial" w:hAnsi="Arial"/>
      <w:i/>
      <w:iCs/>
      <w:color w:val="004EA2" w:themeColor="accent1"/>
    </w:rPr>
  </w:style>
  <w:style w:type="character" w:customStyle="1" w:styleId="Titre7Car">
    <w:name w:val="Titre 7 Car"/>
    <w:basedOn w:val="Policepardfaut"/>
    <w:link w:val="Titre7"/>
    <w:uiPriority w:val="9"/>
    <w:rsid w:val="00D77AAF"/>
    <w:rPr>
      <w:rFonts w:asciiTheme="majorHAnsi" w:eastAsiaTheme="majorEastAsia" w:hAnsiTheme="majorHAnsi" w:cstheme="majorBidi"/>
      <w:iCs/>
      <w:color w:val="1F88CF" w:themeColor="accent5"/>
      <w:sz w:val="20"/>
    </w:rPr>
  </w:style>
  <w:style w:type="character" w:styleId="Accentuationlgre">
    <w:name w:val="Subtle Emphasis"/>
    <w:basedOn w:val="Policepardfaut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Accentuation">
    <w:name w:val="Emphasis"/>
    <w:basedOn w:val="Policepardfaut"/>
    <w:uiPriority w:val="20"/>
    <w:qFormat/>
    <w:rsid w:val="00346993"/>
    <w:rPr>
      <w:rFonts w:ascii="Arial" w:hAnsi="Arial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993"/>
    <w:pPr>
      <w:pBdr>
        <w:top w:val="single" w:sz="4" w:space="10" w:color="004EA2" w:themeColor="accent1"/>
        <w:bottom w:val="single" w:sz="4" w:space="10" w:color="004EA2" w:themeColor="accent1"/>
      </w:pBdr>
      <w:spacing w:before="360" w:after="360"/>
      <w:ind w:left="864" w:right="864"/>
      <w:jc w:val="center"/>
    </w:pPr>
    <w:rPr>
      <w:i/>
      <w:iCs/>
      <w:color w:val="004EA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993"/>
    <w:rPr>
      <w:rFonts w:ascii="Arial" w:hAnsi="Arial"/>
      <w:i/>
      <w:iCs/>
      <w:color w:val="004EA2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346993"/>
    <w:rPr>
      <w:smallCaps/>
      <w:color w:val="A1A1A1" w:themeColor="text1" w:themeTint="A5"/>
    </w:rPr>
  </w:style>
  <w:style w:type="character" w:styleId="Rfrenceintense">
    <w:name w:val="Intense Reference"/>
    <w:basedOn w:val="Policepardfaut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redulivre">
    <w:name w:val="Book Title"/>
    <w:basedOn w:val="Policepardfaut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34699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6683C"/>
    <w:rPr>
      <w:color w:val="1F89CE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5FB3"/>
    <w:rPr>
      <w:color w:val="1F89C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03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2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2FE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02FE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FE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6E2D"/>
    <w:pPr>
      <w:spacing w:after="0" w:line="240" w:lineRule="auto"/>
    </w:pPr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4A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18" Type="http://schemas.openxmlformats.org/officeDocument/2006/relationships/header" Target="header1.xml"/>
	<Relationship Id="rId3" Type="http://schemas.openxmlformats.org/officeDocument/2006/relationships/styles" Target="styles.xml"/>
	<Relationship Id="rId21" Type="http://schemas.openxmlformats.org/officeDocument/2006/relationships/theme" Target="theme/theme1.xml"/>
	<Relationship Id="rId7" Type="http://schemas.openxmlformats.org/officeDocument/2006/relationships/endnotes" Target="endnotes.xml"/>
	<Relationship Id="rId12" Type="http://schemas.openxmlformats.org/officeDocument/2006/relationships/hyperlink" Target="http://?" TargetMode="External"/>
	<Relationship Id="rId17" Type="http://schemas.openxmlformats.org/officeDocument/2006/relationships/footer" Target="footer1.xml"/>
	<Relationship Id="rId2" Type="http://schemas.openxmlformats.org/officeDocument/2006/relationships/numbering" Target="numbering.xml"/>
	<Relationship Id="rId16" Type="http://schemas.openxmlformats.org/officeDocument/2006/relationships/hyperlink" Target="http://?" TargetMode="External"/>
	<Relationship Id="rId20" Type="http://schemas.openxmlformats.org/officeDocument/2006/relationships/fontTable" Target="fontTable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openxmlformats.org/officeDocument/2006/relationships/hyperlink" Target="http://?" TargetMode="External"/>
	<Relationship Id="rId10" Type="http://schemas.openxmlformats.org/officeDocument/2006/relationships/hyperlink" Target="http://?" TargetMode="External"/>
	<Relationship Id="rId19" Type="http://schemas.openxmlformats.org/officeDocument/2006/relationships/footer" Target="footer2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NCHARTE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4EA2"/>
      </a:accent1>
      <a:accent2>
        <a:srgbClr val="75C3A5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703C-35E5-4A70-A1D7-BF54B18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2022-04-26T12:34:00Z</dcterms:created>
  <dcterms:modified xsi:type="dcterms:W3CDTF">2022-04-26T12:34:00Z</dcterms:modified>
</cp:coreProperties>
</file>