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898F" w14:textId="1741D826" w:rsidR="005174B9" w:rsidRDefault="003A7881">
      <w:pPr>
        <w:spacing w:after="200" w:line="276" w:lineRule="auto"/>
        <w:rPr>
          <w:b/>
          <w:highlight w:val="magenta"/>
          <w:u w:val="single"/>
        </w:rPr>
      </w:pPr>
      <w:r w:rsidRPr="006843B9">
        <w:rPr>
          <w:noProof/>
          <w:sz w:val="32"/>
          <w:szCs w:val="32"/>
          <w:lang w:val="fr-BE" w:eastAsia="fr-BE"/>
        </w:rPr>
        <mc:AlternateContent>
          <mc:Choice Requires="wps">
            <w:drawing>
              <wp:anchor distT="0" distB="0" distL="114300" distR="114300" simplePos="0" relativeHeight="251642880" behindDoc="0" locked="0" layoutInCell="1" allowOverlap="1" wp14:anchorId="02539073" wp14:editId="30D8A81F">
                <wp:simplePos x="0" y="0"/>
                <wp:positionH relativeFrom="column">
                  <wp:posOffset>-556895</wp:posOffset>
                </wp:positionH>
                <wp:positionV relativeFrom="paragraph">
                  <wp:posOffset>-414020</wp:posOffset>
                </wp:positionV>
                <wp:extent cx="219075" cy="9753600"/>
                <wp:effectExtent l="0" t="0" r="9525" b="0"/>
                <wp:wrapNone/>
                <wp:docPr id="115" name="Rectangle 115"/>
                <wp:cNvGraphicFramePr/>
                <a:graphic xmlns:a="http://schemas.openxmlformats.org/drawingml/2006/main">
                  <a:graphicData uri="http://schemas.microsoft.com/office/word/2010/wordprocessingShape">
                    <wps:wsp>
                      <wps:cNvSpPr/>
                      <wps:spPr>
                        <a:xfrm>
                          <a:off x="0" y="0"/>
                          <a:ext cx="219075" cy="9753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BA7AF" id="Rectangle 115" o:spid="_x0000_s1026" style="position:absolute;margin-left:-43.85pt;margin-top:-32.6pt;width:17.25pt;height:76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" fillcolor="#4f81bd [3204]" stroked="f" strokeweight="2pt"/>
            </w:pict>
          </mc:Fallback>
        </mc:AlternateContent>
      </w:r>
      <w:r w:rsidR="00945630" w:rsidRPr="006843B9">
        <w:rPr>
          <w:noProof/>
          <w:sz w:val="32"/>
          <w:szCs w:val="32"/>
          <w:lang w:val="fr-BE" w:eastAsia="fr-BE"/>
        </w:rPr>
        <mc:AlternateContent>
          <mc:Choice Requires="wps">
            <w:drawing>
              <wp:anchor distT="0" distB="0" distL="114300" distR="114300" simplePos="0" relativeHeight="251644928" behindDoc="0" locked="0" layoutInCell="1" allowOverlap="1" wp14:anchorId="389B5F11" wp14:editId="0643B124">
                <wp:simplePos x="0" y="0"/>
                <wp:positionH relativeFrom="page">
                  <wp:posOffset>1311275</wp:posOffset>
                </wp:positionH>
                <wp:positionV relativeFrom="page">
                  <wp:posOffset>1483995</wp:posOffset>
                </wp:positionV>
                <wp:extent cx="5546090" cy="3776345"/>
                <wp:effectExtent l="0" t="0" r="0" b="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377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0D9FF" w14:textId="77777777" w:rsidR="005B484B" w:rsidRPr="00575B2A" w:rsidRDefault="00BE462A" w:rsidP="00892BCF">
                            <w:pPr>
                              <w:pStyle w:val="Sansinterligne"/>
                              <w:jc w:val="right"/>
                              <w:rPr>
                                <w:rFonts w:ascii="Calibri" w:hAnsi="Calibri"/>
                                <w:b/>
                                <w:caps/>
                                <w:color w:val="4F81BD" w:themeColor="accent1"/>
                                <w:sz w:val="40"/>
                                <w:szCs w:val="40"/>
                              </w:rPr>
                            </w:pPr>
                            <w:sdt>
                              <w:sdtPr>
                                <w:rPr>
                                  <w:rFonts w:ascii="Calibri" w:hAnsi="Calibri"/>
                                  <w:b/>
                                  <w:caps/>
                                  <w:color w:val="4F81BD" w:themeColor="accent1"/>
                                  <w:sz w:val="40"/>
                                  <w:szCs w:val="40"/>
                                </w:rPr>
                                <w:alias w:val="Titre"/>
                                <w:tag w:val=""/>
                                <w:id w:val="85274498"/>
                                <w:dataBinding w:prefixMappings="xmlns:ns0='http://purl.org/dc/elements/1.1/' xmlns:ns1='http://schemas.openxmlformats.org/package/2006/metadata/core-properties' " w:xpath="/ns1:coreProperties[1]/ns0:title[1]" w:storeItemID="{6C3C8BC8-F283-45AE-878A-BAB7291924A1}"/>
                                <w:text w:multiLine="1"/>
                              </w:sdtPr>
                              <w:sdtEndPr/>
                              <w:sdtContent>
                                <w:r w:rsidR="005B484B">
                                  <w:rPr>
                                    <w:rFonts w:ascii="Calibri" w:hAnsi="Calibri"/>
                                    <w:b/>
                                    <w:caps/>
                                    <w:color w:val="4F81BD" w:themeColor="accent1"/>
                                    <w:sz w:val="40"/>
                                    <w:szCs w:val="40"/>
                                  </w:rPr>
                                  <w:t>Circulaire relative à l’élaboration des budgets des communes de la Région walloNne</w:t>
                                </w:r>
                              </w:sdtContent>
                            </w:sdt>
                          </w:p>
                          <w:sdt>
                            <w:sdtPr>
                              <w:rPr>
                                <w:rFonts w:ascii="Calibri" w:hAnsi="Calibri"/>
                                <w:smallCaps/>
                                <w:color w:val="4F81BD" w:themeColor="accent1"/>
                                <w:sz w:val="36"/>
                                <w:szCs w:val="36"/>
                              </w:rPr>
                              <w:alias w:val="Sous-titre"/>
                              <w:tag w:val=""/>
                              <w:id w:val="-633786734"/>
                              <w:showingPlcHdr/>
                              <w:dataBinding w:prefixMappings="xmlns:ns0='http://purl.org/dc/elements/1.1/' xmlns:ns1='http://schemas.openxmlformats.org/package/2006/metadata/core-properties' " w:xpath="/ns1:coreProperties[1]/ns0:subject[1]" w:storeItemID="{6C3C8BC8-F283-45AE-878A-BAB7291924A1}"/>
                              <w:text/>
                            </w:sdtPr>
                            <w:sdtEndPr/>
                            <w:sdtContent>
                              <w:p w14:paraId="2D77C4CF" w14:textId="77777777" w:rsidR="005B484B" w:rsidRPr="00575B2A" w:rsidRDefault="005B484B">
                                <w:pPr>
                                  <w:pStyle w:val="Sansinterligne"/>
                                  <w:jc w:val="right"/>
                                  <w:rPr>
                                    <w:rFonts w:ascii="Calibri" w:hAnsi="Calibri"/>
                                    <w:smallCaps/>
                                    <w:color w:val="4F81BD" w:themeColor="accent1"/>
                                    <w:sz w:val="36"/>
                                    <w:szCs w:val="36"/>
                                  </w:rPr>
                                </w:pPr>
                                <w:r>
                                  <w:rPr>
                                    <w:rFonts w:ascii="Calibri" w:hAnsi="Calibri"/>
                                    <w:smallCaps/>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89B5F11" id="_x0000_t202" coordsize="21600,21600" o:spt="202" path="m,l,21600r21600,l21600,xe">
                <v:stroke joinstyle="miter"/>
                <v:path gradientshapeok="t" o:connecttype="rect"/>
              </v:shapetype>
              <v:shape id="Zone de texte 113" o:spid="_x0000_s1026" type="#_x0000_t202" style="position:absolute;margin-left:103.25pt;margin-top:116.85pt;width:436.7pt;height:297.35pt;z-index:25164492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" filled="f" stroked="f" strokeweight=".5pt">
                <v:textbox inset="0,0,0,0">
                  <w:txbxContent>
                    <w:p w14:paraId="1CC0D9FF" w14:textId="77777777" w:rsidR="005B484B" w:rsidRPr="00575B2A" w:rsidRDefault="00BE462A" w:rsidP="00892BCF">
                      <w:pPr>
                        <w:pStyle w:val="Sansinterligne"/>
                        <w:jc w:val="right"/>
                        <w:rPr>
                          <w:rFonts w:ascii="Calibri" w:hAnsi="Calibri"/>
                          <w:b/>
                          <w:caps/>
                          <w:color w:val="4F81BD" w:themeColor="accent1"/>
                          <w:sz w:val="40"/>
                          <w:szCs w:val="40"/>
                        </w:rPr>
                      </w:pPr>
                      <w:sdt>
                        <w:sdtPr>
                          <w:rPr>
                            <w:rFonts w:ascii="Calibri" w:hAnsi="Calibri"/>
                            <w:b/>
                            <w:caps/>
                            <w:color w:val="4F81BD" w:themeColor="accent1"/>
                            <w:sz w:val="40"/>
                            <w:szCs w:val="40"/>
                          </w:rPr>
                          <w:alias w:val="Titre"/>
                          <w:tag w:val=""/>
                          <w:id w:val="85274498"/>
                          <w:dataBinding w:prefixMappings="xmlns:ns0='http://purl.org/dc/elements/1.1/' xmlns:ns1='http://schemas.openxmlformats.org/package/2006/metadata/core-properties' " w:xpath="/ns1:coreProperties[1]/ns0:title[1]" w:storeItemID="{6C3C8BC8-F283-45AE-878A-BAB7291924A1}"/>
                          <w:text w:multiLine="1"/>
                        </w:sdtPr>
                        <w:sdtEndPr/>
                        <w:sdtContent>
                          <w:r w:rsidR="005B484B">
                            <w:rPr>
                              <w:rFonts w:ascii="Calibri" w:hAnsi="Calibri"/>
                              <w:b/>
                              <w:caps/>
                              <w:color w:val="4F81BD" w:themeColor="accent1"/>
                              <w:sz w:val="40"/>
                              <w:szCs w:val="40"/>
                            </w:rPr>
                            <w:t>Circulaire relative à l’élaboration des budgets des communes de la Région walloNne</w:t>
                          </w:r>
                        </w:sdtContent>
                      </w:sdt>
                    </w:p>
                    <w:sdt>
                      <w:sdtPr>
                        <w:rPr>
                          <w:rFonts w:ascii="Calibri" w:hAnsi="Calibri"/>
                          <w:smallCaps/>
                          <w:color w:val="4F81BD" w:themeColor="accent1"/>
                          <w:sz w:val="36"/>
                          <w:szCs w:val="36"/>
                        </w:rPr>
                        <w:alias w:val="Sous-titre"/>
                        <w:tag w:val=""/>
                        <w:id w:val="-633786734"/>
                        <w:showingPlcHdr/>
                        <w:dataBinding w:prefixMappings="xmlns:ns0='http://purl.org/dc/elements/1.1/' xmlns:ns1='http://schemas.openxmlformats.org/package/2006/metadata/core-properties' " w:xpath="/ns1:coreProperties[1]/ns0:subject[1]" w:storeItemID="{6C3C8BC8-F283-45AE-878A-BAB7291924A1}"/>
                        <w:text/>
                      </w:sdtPr>
                      <w:sdtEndPr/>
                      <w:sdtContent>
                        <w:p w14:paraId="2D77C4CF" w14:textId="77777777" w:rsidR="005B484B" w:rsidRPr="00575B2A" w:rsidRDefault="005B484B">
                          <w:pPr>
                            <w:pStyle w:val="Sansinterligne"/>
                            <w:jc w:val="right"/>
                            <w:rPr>
                              <w:rFonts w:ascii="Calibri" w:hAnsi="Calibri"/>
                              <w:smallCaps/>
                              <w:color w:val="4F81BD" w:themeColor="accent1"/>
                              <w:sz w:val="36"/>
                              <w:szCs w:val="36"/>
                            </w:rPr>
                          </w:pPr>
                          <w:r>
                            <w:rPr>
                              <w:rFonts w:ascii="Calibri" w:hAnsi="Calibri"/>
                              <w:smallCaps/>
                              <w:color w:val="4F81BD" w:themeColor="accent1"/>
                              <w:sz w:val="36"/>
                              <w:szCs w:val="36"/>
                            </w:rPr>
                            <w:t xml:space="preserve">     </w:t>
                          </w:r>
                        </w:p>
                      </w:sdtContent>
                    </w:sdt>
                  </w:txbxContent>
                </v:textbox>
                <w10:wrap type="square" anchorx="page" anchory="page"/>
              </v:shape>
            </w:pict>
          </mc:Fallback>
        </mc:AlternateContent>
      </w:r>
      <w:r w:rsidR="00945630" w:rsidRPr="006843B9">
        <w:rPr>
          <w:noProof/>
          <w:sz w:val="32"/>
          <w:szCs w:val="32"/>
          <w:lang w:val="fr-BE" w:eastAsia="fr-BE"/>
        </w:rPr>
        <mc:AlternateContent>
          <mc:Choice Requires="wps">
            <w:drawing>
              <wp:anchor distT="0" distB="0" distL="114300" distR="114300" simplePos="0" relativeHeight="251645952" behindDoc="0" locked="0" layoutInCell="1" allowOverlap="1" wp14:anchorId="3B9AEE09" wp14:editId="770D18D6">
                <wp:simplePos x="0" y="0"/>
                <wp:positionH relativeFrom="page">
                  <wp:posOffset>1303020</wp:posOffset>
                </wp:positionH>
                <wp:positionV relativeFrom="page">
                  <wp:posOffset>9603105</wp:posOffset>
                </wp:positionV>
                <wp:extent cx="5547360" cy="850900"/>
                <wp:effectExtent l="0" t="0" r="0" b="0"/>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36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aps/>
                                <w:color w:val="4F81BD" w:themeColor="accent1"/>
                                <w:sz w:val="40"/>
                                <w:szCs w:val="40"/>
                              </w:rPr>
                              <w:alias w:val="Auteur"/>
                              <w:tag w:val=""/>
                              <w:id w:val="1335877750"/>
                              <w:dataBinding w:prefixMappings="xmlns:ns0='http://purl.org/dc/elements/1.1/' xmlns:ns1='http://schemas.openxmlformats.org/package/2006/metadata/core-properties' " w:xpath="/ns1:coreProperties[1]/ns0:creator[1]" w:storeItemID="{6C3C8BC8-F283-45AE-878A-BAB7291924A1}"/>
                              <w:text/>
                            </w:sdtPr>
                            <w:sdtEndPr/>
                            <w:sdtContent>
                              <w:p w14:paraId="557C7355" w14:textId="031E3A66" w:rsidR="005B484B" w:rsidRPr="00575B2A" w:rsidRDefault="00D1182E">
                                <w:pPr>
                                  <w:pStyle w:val="Sansinterligne"/>
                                  <w:jc w:val="right"/>
                                  <w:rPr>
                                    <w:rFonts w:ascii="Calibri" w:hAnsi="Calibri"/>
                                    <w:caps/>
                                    <w:color w:val="4F81BD" w:themeColor="accent1"/>
                                    <w:sz w:val="40"/>
                                    <w:szCs w:val="40"/>
                                  </w:rPr>
                                </w:pPr>
                                <w:r w:rsidRPr="00900C39">
                                  <w:rPr>
                                    <w:rFonts w:ascii="Calibri" w:hAnsi="Calibri"/>
                                    <w:caps/>
                                    <w:color w:val="4F81BD" w:themeColor="accent1"/>
                                    <w:sz w:val="40"/>
                                    <w:szCs w:val="40"/>
                                  </w:rPr>
                                  <w:t xml:space="preserve">Année </w:t>
                                </w:r>
                                <w:r w:rsidRPr="00900C39">
                                  <w:rPr>
                                    <w:rFonts w:ascii="Calibri" w:hAnsi="Calibri"/>
                                    <w:caps/>
                                    <w:color w:val="4F81BD" w:themeColor="accent1"/>
                                    <w:sz w:val="40"/>
                                    <w:szCs w:val="40"/>
                                    <w:lang w:val="fr-FR"/>
                                  </w:rPr>
                                  <w:t>202</w:t>
                                </w:r>
                                <w:r>
                                  <w:rPr>
                                    <w:rFonts w:ascii="Calibri" w:hAnsi="Calibri"/>
                                    <w:caps/>
                                    <w:color w:val="4F81BD" w:themeColor="accent1"/>
                                    <w:sz w:val="40"/>
                                    <w:szCs w:val="40"/>
                                    <w:lang w:val="fr-FR"/>
                                  </w:rPr>
                                  <w:t>3</w:t>
                                </w:r>
                              </w:p>
                            </w:sdtContent>
                          </w:sdt>
                          <w:p w14:paraId="22616E94" w14:textId="77777777" w:rsidR="005B484B" w:rsidRDefault="005B484B">
                            <w:pPr>
                              <w:pStyle w:val="Sansinterligne"/>
                              <w:jc w:val="right"/>
                              <w:rPr>
                                <w:caps/>
                                <w:color w:val="262626" w:themeColor="text1" w:themeTint="D9"/>
                              </w:rPr>
                            </w:pPr>
                          </w:p>
                          <w:p w14:paraId="0EDBF06C" w14:textId="77777777" w:rsidR="005B484B" w:rsidRDefault="005B484B">
                            <w:pPr>
                              <w:pStyle w:val="Sansinterligne"/>
                              <w:jc w:val="right"/>
                              <w:rPr>
                                <w:caps/>
                                <w:color w:val="262626" w:themeColor="text1" w:themeTint="D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B9AEE09" id="Zone de texte 112" o:spid="_x0000_s1027" type="#_x0000_t202" style="position:absolute;margin-left:102.6pt;margin-top:756.15pt;width:436.8pt;height:67pt;z-index:25164595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" filled="f" stroked="f" strokeweight=".5pt">
                <v:textbox inset="0,0,0,0">
                  <w:txbxContent>
                    <w:sdt>
                      <w:sdtPr>
                        <w:rPr>
                          <w:rFonts w:ascii="Calibri" w:hAnsi="Calibri"/>
                          <w:caps/>
                          <w:color w:val="4F81BD" w:themeColor="accent1"/>
                          <w:sz w:val="40"/>
                          <w:szCs w:val="40"/>
                        </w:rPr>
                        <w:alias w:val="Auteur"/>
                        <w:tag w:val=""/>
                        <w:id w:val="1335877750"/>
                        <w:dataBinding w:prefixMappings="xmlns:ns0='http://purl.org/dc/elements/1.1/' xmlns:ns1='http://schemas.openxmlformats.org/package/2006/metadata/core-properties' " w:xpath="/ns1:coreProperties[1]/ns0:creator[1]" w:storeItemID="{6C3C8BC8-F283-45AE-878A-BAB7291924A1}"/>
                        <w:text/>
                      </w:sdtPr>
                      <w:sdtEndPr/>
                      <w:sdtContent>
                        <w:p w14:paraId="557C7355" w14:textId="031E3A66" w:rsidR="005B484B" w:rsidRPr="00575B2A" w:rsidRDefault="00D1182E">
                          <w:pPr>
                            <w:pStyle w:val="Sansinterligne"/>
                            <w:jc w:val="right"/>
                            <w:rPr>
                              <w:rFonts w:ascii="Calibri" w:hAnsi="Calibri"/>
                              <w:caps/>
                              <w:color w:val="4F81BD" w:themeColor="accent1"/>
                              <w:sz w:val="40"/>
                              <w:szCs w:val="40"/>
                            </w:rPr>
                          </w:pPr>
                          <w:r w:rsidRPr="00900C39">
                            <w:rPr>
                              <w:rFonts w:ascii="Calibri" w:hAnsi="Calibri"/>
                              <w:caps/>
                              <w:color w:val="4F81BD" w:themeColor="accent1"/>
                              <w:sz w:val="40"/>
                              <w:szCs w:val="40"/>
                            </w:rPr>
                            <w:t xml:space="preserve">Année </w:t>
                          </w:r>
                          <w:r w:rsidRPr="00900C39">
                            <w:rPr>
                              <w:rFonts w:ascii="Calibri" w:hAnsi="Calibri"/>
                              <w:caps/>
                              <w:color w:val="4F81BD" w:themeColor="accent1"/>
                              <w:sz w:val="40"/>
                              <w:szCs w:val="40"/>
                              <w:lang w:val="fr-FR"/>
                            </w:rPr>
                            <w:t>202</w:t>
                          </w:r>
                          <w:r>
                            <w:rPr>
                              <w:rFonts w:ascii="Calibri" w:hAnsi="Calibri"/>
                              <w:caps/>
                              <w:color w:val="4F81BD" w:themeColor="accent1"/>
                              <w:sz w:val="40"/>
                              <w:szCs w:val="40"/>
                              <w:lang w:val="fr-FR"/>
                            </w:rPr>
                            <w:t>3</w:t>
                          </w:r>
                        </w:p>
                      </w:sdtContent>
                    </w:sdt>
                    <w:p w14:paraId="22616E94" w14:textId="77777777" w:rsidR="005B484B" w:rsidRDefault="005B484B">
                      <w:pPr>
                        <w:pStyle w:val="Sansinterligne"/>
                        <w:jc w:val="right"/>
                        <w:rPr>
                          <w:caps/>
                          <w:color w:val="262626" w:themeColor="text1" w:themeTint="D9"/>
                        </w:rPr>
                      </w:pPr>
                    </w:p>
                    <w:p w14:paraId="0EDBF06C" w14:textId="77777777" w:rsidR="005B484B" w:rsidRDefault="005B484B">
                      <w:pPr>
                        <w:pStyle w:val="Sansinterligne"/>
                        <w:jc w:val="right"/>
                        <w:rPr>
                          <w:caps/>
                          <w:color w:val="262626" w:themeColor="text1" w:themeTint="D9"/>
                        </w:rPr>
                      </w:pPr>
                    </w:p>
                  </w:txbxContent>
                </v:textbox>
                <w10:wrap type="square" anchorx="page" anchory="page"/>
              </v:shape>
            </w:pict>
          </mc:Fallback>
        </mc:AlternateContent>
      </w:r>
    </w:p>
    <w:p w14:paraId="2CBD4DDA" w14:textId="79B43CF1" w:rsidR="00A26A3F" w:rsidRDefault="00A26A3F">
      <w:pPr>
        <w:spacing w:after="200" w:line="276" w:lineRule="auto"/>
        <w:rPr>
          <w:b/>
          <w:u w:val="single"/>
        </w:rPr>
      </w:pPr>
      <w:r>
        <w:rPr>
          <w:b/>
          <w:u w:val="single"/>
        </w:rPr>
        <w:br w:type="page"/>
      </w:r>
    </w:p>
    <w:p w14:paraId="756068FA" w14:textId="77777777" w:rsidR="00B608A5" w:rsidRPr="001E1353" w:rsidRDefault="00AE6EFD" w:rsidP="00575B2A">
      <w:pPr>
        <w:spacing w:after="200" w:line="276" w:lineRule="auto"/>
      </w:pPr>
      <w:r w:rsidRPr="002A7E7A">
        <w:rPr>
          <w:b/>
          <w:u w:val="single"/>
        </w:rPr>
        <w:lastRenderedPageBreak/>
        <w:t>Table des matières</w:t>
      </w:r>
    </w:p>
    <w:p w14:paraId="7481CBDF" w14:textId="51F1047F" w:rsidR="007F1AC5" w:rsidRDefault="00C10E4F">
      <w:pPr>
        <w:pStyle w:val="TM1"/>
        <w:rPr>
          <w:rFonts w:eastAsiaTheme="minorEastAsia" w:cstheme="minorBidi"/>
          <w:b w:val="0"/>
          <w:bCs w:val="0"/>
          <w:noProof/>
          <w:sz w:val="22"/>
          <w:szCs w:val="22"/>
        </w:rPr>
      </w:pPr>
      <w:r>
        <w:fldChar w:fldCharType="begin"/>
      </w:r>
      <w:r w:rsidR="001026FA">
        <w:instrText xml:space="preserve"> TOC \h \z \t "Sam 1;1;Sam 2;2;Sam 3;3;Sam 5;5;Sam 4;4" </w:instrText>
      </w:r>
      <w:r>
        <w:fldChar w:fldCharType="separate"/>
      </w:r>
      <w:hyperlink w:anchor="_Toc74557536" w:history="1">
        <w:r w:rsidR="007F1AC5" w:rsidRPr="001C5F87">
          <w:rPr>
            <w:rStyle w:val="Lienhypertexte"/>
            <w:iCs/>
            <w:noProof/>
          </w:rPr>
          <w:t>I.</w:t>
        </w:r>
        <w:r w:rsidR="007F1AC5">
          <w:rPr>
            <w:rFonts w:eastAsiaTheme="minorEastAsia" w:cstheme="minorBidi"/>
            <w:b w:val="0"/>
            <w:bCs w:val="0"/>
            <w:noProof/>
            <w:sz w:val="22"/>
            <w:szCs w:val="22"/>
          </w:rPr>
          <w:tab/>
        </w:r>
        <w:r w:rsidR="007F1AC5" w:rsidRPr="001C5F87">
          <w:rPr>
            <w:rStyle w:val="Lienhypertexte"/>
            <w:iCs/>
            <w:noProof/>
          </w:rPr>
          <w:t>REFORMES EN COURS</w:t>
        </w:r>
        <w:r w:rsidR="007F1AC5">
          <w:rPr>
            <w:noProof/>
            <w:webHidden/>
          </w:rPr>
          <w:tab/>
        </w:r>
        <w:r w:rsidR="007F1AC5">
          <w:rPr>
            <w:noProof/>
            <w:webHidden/>
          </w:rPr>
          <w:fldChar w:fldCharType="begin"/>
        </w:r>
        <w:r w:rsidR="007F1AC5">
          <w:rPr>
            <w:noProof/>
            <w:webHidden/>
          </w:rPr>
          <w:instrText xml:space="preserve"> PAGEREF _Toc74557536 \h </w:instrText>
        </w:r>
        <w:r w:rsidR="007F1AC5">
          <w:rPr>
            <w:noProof/>
            <w:webHidden/>
          </w:rPr>
        </w:r>
        <w:r w:rsidR="007F1AC5">
          <w:rPr>
            <w:noProof/>
            <w:webHidden/>
          </w:rPr>
          <w:fldChar w:fldCharType="separate"/>
        </w:r>
        <w:r w:rsidR="00B44836">
          <w:rPr>
            <w:noProof/>
            <w:webHidden/>
          </w:rPr>
          <w:t>8</w:t>
        </w:r>
        <w:r w:rsidR="007F1AC5">
          <w:rPr>
            <w:noProof/>
            <w:webHidden/>
          </w:rPr>
          <w:fldChar w:fldCharType="end"/>
        </w:r>
      </w:hyperlink>
    </w:p>
    <w:p w14:paraId="3277274B" w14:textId="5CBAD8B4" w:rsidR="007F1AC5" w:rsidRDefault="00BE462A">
      <w:pPr>
        <w:pStyle w:val="TM2"/>
        <w:tabs>
          <w:tab w:val="left" w:pos="1701"/>
          <w:tab w:val="right" w:leader="underscore" w:pos="9062"/>
        </w:tabs>
        <w:rPr>
          <w:rFonts w:eastAsiaTheme="minorEastAsia" w:cstheme="minorBidi"/>
          <w:b w:val="0"/>
          <w:bCs w:val="0"/>
          <w:noProof/>
        </w:rPr>
      </w:pPr>
      <w:hyperlink w:anchor="_Toc74557537" w:history="1">
        <w:r w:rsidR="007F1AC5" w:rsidRPr="001C5F87">
          <w:rPr>
            <w:rStyle w:val="Lienhypertexte"/>
            <w:noProof/>
          </w:rPr>
          <w:t>I.1.</w:t>
        </w:r>
        <w:r w:rsidR="007F1AC5">
          <w:rPr>
            <w:rFonts w:eastAsiaTheme="minorEastAsia" w:cstheme="minorBidi"/>
            <w:b w:val="0"/>
            <w:bCs w:val="0"/>
            <w:noProof/>
          </w:rPr>
          <w:tab/>
        </w:r>
        <w:r w:rsidR="007F1AC5" w:rsidRPr="001C5F87">
          <w:rPr>
            <w:rStyle w:val="Lienhypertexte"/>
            <w:noProof/>
          </w:rPr>
          <w:t>Programme stratégique transversal</w:t>
        </w:r>
        <w:r w:rsidR="007F1AC5">
          <w:rPr>
            <w:noProof/>
            <w:webHidden/>
          </w:rPr>
          <w:tab/>
        </w:r>
        <w:r w:rsidR="007F1AC5">
          <w:rPr>
            <w:noProof/>
            <w:webHidden/>
          </w:rPr>
          <w:fldChar w:fldCharType="begin"/>
        </w:r>
        <w:r w:rsidR="007F1AC5">
          <w:rPr>
            <w:noProof/>
            <w:webHidden/>
          </w:rPr>
          <w:instrText xml:space="preserve"> PAGEREF _Toc74557537 \h </w:instrText>
        </w:r>
        <w:r w:rsidR="007F1AC5">
          <w:rPr>
            <w:noProof/>
            <w:webHidden/>
          </w:rPr>
        </w:r>
        <w:r w:rsidR="007F1AC5">
          <w:rPr>
            <w:noProof/>
            <w:webHidden/>
          </w:rPr>
          <w:fldChar w:fldCharType="separate"/>
        </w:r>
        <w:r w:rsidR="00B44836">
          <w:rPr>
            <w:noProof/>
            <w:webHidden/>
          </w:rPr>
          <w:t>8</w:t>
        </w:r>
        <w:r w:rsidR="007F1AC5">
          <w:rPr>
            <w:noProof/>
            <w:webHidden/>
          </w:rPr>
          <w:fldChar w:fldCharType="end"/>
        </w:r>
      </w:hyperlink>
    </w:p>
    <w:p w14:paraId="202B36B3" w14:textId="4AC5BFB3" w:rsidR="007F1AC5" w:rsidRDefault="00BE462A">
      <w:pPr>
        <w:pStyle w:val="TM2"/>
        <w:tabs>
          <w:tab w:val="left" w:pos="1701"/>
          <w:tab w:val="right" w:leader="underscore" w:pos="9062"/>
        </w:tabs>
        <w:rPr>
          <w:rFonts w:eastAsiaTheme="minorEastAsia" w:cstheme="minorBidi"/>
          <w:b w:val="0"/>
          <w:bCs w:val="0"/>
          <w:noProof/>
        </w:rPr>
      </w:pPr>
      <w:hyperlink w:anchor="_Toc74557538" w:history="1">
        <w:r w:rsidR="007F1AC5" w:rsidRPr="001C5F87">
          <w:rPr>
            <w:rStyle w:val="Lienhypertexte"/>
            <w:noProof/>
          </w:rPr>
          <w:t>I.2.</w:t>
        </w:r>
        <w:r w:rsidR="007F1AC5">
          <w:rPr>
            <w:rFonts w:eastAsiaTheme="minorEastAsia" w:cstheme="minorBidi"/>
            <w:b w:val="0"/>
            <w:bCs w:val="0"/>
            <w:noProof/>
          </w:rPr>
          <w:tab/>
        </w:r>
        <w:r w:rsidR="007F1AC5" w:rsidRPr="001C5F87">
          <w:rPr>
            <w:rStyle w:val="Lienhypertexte"/>
            <w:noProof/>
          </w:rPr>
          <w:t xml:space="preserve">Code de recouvrement </w:t>
        </w:r>
        <w:r w:rsidR="007F1AC5">
          <w:rPr>
            <w:noProof/>
            <w:webHidden/>
          </w:rPr>
          <w:tab/>
        </w:r>
        <w:r w:rsidR="007F1AC5">
          <w:rPr>
            <w:noProof/>
            <w:webHidden/>
          </w:rPr>
          <w:fldChar w:fldCharType="begin"/>
        </w:r>
        <w:r w:rsidR="007F1AC5">
          <w:rPr>
            <w:noProof/>
            <w:webHidden/>
          </w:rPr>
          <w:instrText xml:space="preserve"> PAGEREF _Toc74557538 \h </w:instrText>
        </w:r>
        <w:r w:rsidR="007F1AC5">
          <w:rPr>
            <w:noProof/>
            <w:webHidden/>
          </w:rPr>
        </w:r>
        <w:r w:rsidR="007F1AC5">
          <w:rPr>
            <w:noProof/>
            <w:webHidden/>
          </w:rPr>
          <w:fldChar w:fldCharType="separate"/>
        </w:r>
        <w:r w:rsidR="00B44836">
          <w:rPr>
            <w:noProof/>
            <w:webHidden/>
          </w:rPr>
          <w:t>8</w:t>
        </w:r>
        <w:r w:rsidR="007F1AC5">
          <w:rPr>
            <w:noProof/>
            <w:webHidden/>
          </w:rPr>
          <w:fldChar w:fldCharType="end"/>
        </w:r>
      </w:hyperlink>
    </w:p>
    <w:p w14:paraId="34DE2B53" w14:textId="106E28EF" w:rsidR="007F1AC5" w:rsidRDefault="00BE462A">
      <w:pPr>
        <w:pStyle w:val="TM2"/>
        <w:tabs>
          <w:tab w:val="left" w:pos="1701"/>
          <w:tab w:val="right" w:leader="underscore" w:pos="9062"/>
        </w:tabs>
        <w:rPr>
          <w:rFonts w:eastAsiaTheme="minorEastAsia" w:cstheme="minorBidi"/>
          <w:b w:val="0"/>
          <w:bCs w:val="0"/>
          <w:noProof/>
        </w:rPr>
      </w:pPr>
      <w:hyperlink w:anchor="_Toc74557539" w:history="1">
        <w:r w:rsidR="007F1AC5" w:rsidRPr="001C5F87">
          <w:rPr>
            <w:rStyle w:val="Lienhypertexte"/>
            <w:noProof/>
          </w:rPr>
          <w:t>I.3.</w:t>
        </w:r>
        <w:r w:rsidR="007F1AC5">
          <w:rPr>
            <w:rFonts w:eastAsiaTheme="minorEastAsia" w:cstheme="minorBidi"/>
            <w:b w:val="0"/>
            <w:bCs w:val="0"/>
            <w:noProof/>
          </w:rPr>
          <w:tab/>
        </w:r>
        <w:r w:rsidR="007F1AC5" w:rsidRPr="001C5F87">
          <w:rPr>
            <w:rStyle w:val="Lienhypertexte"/>
            <w:noProof/>
          </w:rPr>
          <w:t>Recouvrement amiable et forcé</w:t>
        </w:r>
        <w:r w:rsidR="007F1AC5">
          <w:rPr>
            <w:noProof/>
            <w:webHidden/>
          </w:rPr>
          <w:tab/>
        </w:r>
        <w:r w:rsidR="007F1AC5">
          <w:rPr>
            <w:noProof/>
            <w:webHidden/>
          </w:rPr>
          <w:fldChar w:fldCharType="begin"/>
        </w:r>
        <w:r w:rsidR="007F1AC5">
          <w:rPr>
            <w:noProof/>
            <w:webHidden/>
          </w:rPr>
          <w:instrText xml:space="preserve"> PAGEREF _Toc74557539 \h </w:instrText>
        </w:r>
        <w:r w:rsidR="007F1AC5">
          <w:rPr>
            <w:noProof/>
            <w:webHidden/>
          </w:rPr>
        </w:r>
        <w:r w:rsidR="007F1AC5">
          <w:rPr>
            <w:noProof/>
            <w:webHidden/>
          </w:rPr>
          <w:fldChar w:fldCharType="separate"/>
        </w:r>
        <w:r w:rsidR="00B44836">
          <w:rPr>
            <w:noProof/>
            <w:webHidden/>
          </w:rPr>
          <w:t>9</w:t>
        </w:r>
        <w:r w:rsidR="007F1AC5">
          <w:rPr>
            <w:noProof/>
            <w:webHidden/>
          </w:rPr>
          <w:fldChar w:fldCharType="end"/>
        </w:r>
      </w:hyperlink>
    </w:p>
    <w:p w14:paraId="4A30CEC4" w14:textId="4529EB8B" w:rsidR="007F1AC5" w:rsidRDefault="00BE462A">
      <w:pPr>
        <w:pStyle w:val="TM2"/>
        <w:tabs>
          <w:tab w:val="left" w:pos="1701"/>
          <w:tab w:val="right" w:leader="underscore" w:pos="9062"/>
        </w:tabs>
        <w:rPr>
          <w:rFonts w:eastAsiaTheme="minorEastAsia" w:cstheme="minorBidi"/>
          <w:b w:val="0"/>
          <w:bCs w:val="0"/>
          <w:noProof/>
        </w:rPr>
      </w:pPr>
      <w:hyperlink w:anchor="_Toc74557540" w:history="1">
        <w:r w:rsidR="007F1AC5" w:rsidRPr="001C5F87">
          <w:rPr>
            <w:rStyle w:val="Lienhypertexte"/>
            <w:noProof/>
          </w:rPr>
          <w:t>I.4.</w:t>
        </w:r>
        <w:r w:rsidR="007F1AC5">
          <w:rPr>
            <w:rFonts w:eastAsiaTheme="minorEastAsia" w:cstheme="minorBidi"/>
            <w:b w:val="0"/>
            <w:bCs w:val="0"/>
            <w:noProof/>
          </w:rPr>
          <w:tab/>
        </w:r>
        <w:r w:rsidR="007F1AC5" w:rsidRPr="001C5F87">
          <w:rPr>
            <w:rStyle w:val="Lienhypertexte"/>
            <w:noProof/>
          </w:rPr>
          <w:t>Fusion volontaire des communes</w:t>
        </w:r>
        <w:r w:rsidR="007F1AC5">
          <w:rPr>
            <w:noProof/>
            <w:webHidden/>
          </w:rPr>
          <w:tab/>
        </w:r>
        <w:r w:rsidR="007F1AC5">
          <w:rPr>
            <w:noProof/>
            <w:webHidden/>
          </w:rPr>
          <w:fldChar w:fldCharType="begin"/>
        </w:r>
        <w:r w:rsidR="007F1AC5">
          <w:rPr>
            <w:noProof/>
            <w:webHidden/>
          </w:rPr>
          <w:instrText xml:space="preserve"> PAGEREF _Toc74557540 \h </w:instrText>
        </w:r>
        <w:r w:rsidR="007F1AC5">
          <w:rPr>
            <w:noProof/>
            <w:webHidden/>
          </w:rPr>
        </w:r>
        <w:r w:rsidR="007F1AC5">
          <w:rPr>
            <w:noProof/>
            <w:webHidden/>
          </w:rPr>
          <w:fldChar w:fldCharType="separate"/>
        </w:r>
        <w:r w:rsidR="00B44836">
          <w:rPr>
            <w:noProof/>
            <w:webHidden/>
          </w:rPr>
          <w:t>10</w:t>
        </w:r>
        <w:r w:rsidR="007F1AC5">
          <w:rPr>
            <w:noProof/>
            <w:webHidden/>
          </w:rPr>
          <w:fldChar w:fldCharType="end"/>
        </w:r>
      </w:hyperlink>
    </w:p>
    <w:p w14:paraId="4D791735" w14:textId="0DA3561F" w:rsidR="007F1AC5" w:rsidRDefault="00BE462A">
      <w:pPr>
        <w:pStyle w:val="TM2"/>
        <w:tabs>
          <w:tab w:val="left" w:pos="1701"/>
          <w:tab w:val="right" w:leader="underscore" w:pos="9062"/>
        </w:tabs>
        <w:rPr>
          <w:rFonts w:eastAsiaTheme="minorEastAsia" w:cstheme="minorBidi"/>
          <w:b w:val="0"/>
          <w:bCs w:val="0"/>
          <w:noProof/>
        </w:rPr>
      </w:pPr>
      <w:hyperlink w:anchor="_Toc74557542" w:history="1">
        <w:r w:rsidR="007F1AC5" w:rsidRPr="001C5F87">
          <w:rPr>
            <w:rStyle w:val="Lienhypertexte"/>
            <w:rFonts w:cstheme="minorHAnsi"/>
            <w:noProof/>
          </w:rPr>
          <w:t>I.5.</w:t>
        </w:r>
        <w:r w:rsidR="007F1AC5">
          <w:rPr>
            <w:rFonts w:eastAsiaTheme="minorEastAsia" w:cstheme="minorBidi"/>
            <w:b w:val="0"/>
            <w:bCs w:val="0"/>
            <w:noProof/>
          </w:rPr>
          <w:tab/>
        </w:r>
        <w:r w:rsidR="007F1AC5" w:rsidRPr="001C5F87">
          <w:rPr>
            <w:rStyle w:val="Lienhypertexte"/>
            <w:rFonts w:cstheme="minorHAnsi"/>
            <w:noProof/>
          </w:rPr>
          <w:t>Taxe sur les mâts, pylônes et antennes GSM</w:t>
        </w:r>
        <w:r w:rsidR="007F1AC5">
          <w:rPr>
            <w:noProof/>
            <w:webHidden/>
          </w:rPr>
          <w:tab/>
        </w:r>
        <w:r w:rsidR="007F1AC5">
          <w:rPr>
            <w:noProof/>
            <w:webHidden/>
          </w:rPr>
          <w:fldChar w:fldCharType="begin"/>
        </w:r>
        <w:r w:rsidR="007F1AC5">
          <w:rPr>
            <w:noProof/>
            <w:webHidden/>
          </w:rPr>
          <w:instrText xml:space="preserve"> PAGEREF _Toc74557542 \h </w:instrText>
        </w:r>
        <w:r w:rsidR="007F1AC5">
          <w:rPr>
            <w:noProof/>
            <w:webHidden/>
          </w:rPr>
        </w:r>
        <w:r w:rsidR="007F1AC5">
          <w:rPr>
            <w:noProof/>
            <w:webHidden/>
          </w:rPr>
          <w:fldChar w:fldCharType="separate"/>
        </w:r>
        <w:r w:rsidR="00B44836">
          <w:rPr>
            <w:noProof/>
            <w:webHidden/>
          </w:rPr>
          <w:t>10</w:t>
        </w:r>
        <w:r w:rsidR="007F1AC5">
          <w:rPr>
            <w:noProof/>
            <w:webHidden/>
          </w:rPr>
          <w:fldChar w:fldCharType="end"/>
        </w:r>
      </w:hyperlink>
    </w:p>
    <w:p w14:paraId="397C3C92" w14:textId="7A901354" w:rsidR="007F1AC5" w:rsidRDefault="00BE462A">
      <w:pPr>
        <w:pStyle w:val="TM2"/>
        <w:tabs>
          <w:tab w:val="left" w:pos="1701"/>
          <w:tab w:val="right" w:leader="underscore" w:pos="9062"/>
        </w:tabs>
        <w:rPr>
          <w:rFonts w:eastAsiaTheme="minorEastAsia" w:cstheme="minorBidi"/>
          <w:b w:val="0"/>
          <w:bCs w:val="0"/>
          <w:noProof/>
        </w:rPr>
      </w:pPr>
      <w:hyperlink w:anchor="_Toc74557543" w:history="1">
        <w:r w:rsidR="007F1AC5" w:rsidRPr="001C5F87">
          <w:rPr>
            <w:rStyle w:val="Lienhypertexte"/>
            <w:noProof/>
          </w:rPr>
          <w:t>I.6.</w:t>
        </w:r>
        <w:r w:rsidR="007F1AC5">
          <w:rPr>
            <w:rFonts w:eastAsiaTheme="minorEastAsia" w:cstheme="minorBidi"/>
            <w:b w:val="0"/>
            <w:bCs w:val="0"/>
            <w:noProof/>
          </w:rPr>
          <w:tab/>
        </w:r>
        <w:r w:rsidR="007F1AC5" w:rsidRPr="001C5F87">
          <w:rPr>
            <w:rStyle w:val="Lienhypertexte"/>
            <w:noProof/>
          </w:rPr>
          <w:t>Motivation des règlements-taxes et règlements-redevances</w:t>
        </w:r>
        <w:r w:rsidR="007F1AC5">
          <w:rPr>
            <w:noProof/>
            <w:webHidden/>
          </w:rPr>
          <w:tab/>
        </w:r>
        <w:r w:rsidR="007F1AC5">
          <w:rPr>
            <w:noProof/>
            <w:webHidden/>
          </w:rPr>
          <w:fldChar w:fldCharType="begin"/>
        </w:r>
        <w:r w:rsidR="007F1AC5">
          <w:rPr>
            <w:noProof/>
            <w:webHidden/>
          </w:rPr>
          <w:instrText xml:space="preserve"> PAGEREF _Toc74557543 \h </w:instrText>
        </w:r>
        <w:r w:rsidR="007F1AC5">
          <w:rPr>
            <w:noProof/>
            <w:webHidden/>
          </w:rPr>
        </w:r>
        <w:r w:rsidR="007F1AC5">
          <w:rPr>
            <w:noProof/>
            <w:webHidden/>
          </w:rPr>
          <w:fldChar w:fldCharType="separate"/>
        </w:r>
        <w:r w:rsidR="00B44836">
          <w:rPr>
            <w:noProof/>
            <w:webHidden/>
          </w:rPr>
          <w:t>11</w:t>
        </w:r>
        <w:r w:rsidR="007F1AC5">
          <w:rPr>
            <w:noProof/>
            <w:webHidden/>
          </w:rPr>
          <w:fldChar w:fldCharType="end"/>
        </w:r>
      </w:hyperlink>
    </w:p>
    <w:p w14:paraId="6E2C9197" w14:textId="0FC8B35D" w:rsidR="007F1AC5" w:rsidRDefault="00BE462A">
      <w:pPr>
        <w:pStyle w:val="TM2"/>
        <w:tabs>
          <w:tab w:val="left" w:pos="1701"/>
          <w:tab w:val="right" w:leader="underscore" w:pos="9062"/>
        </w:tabs>
        <w:rPr>
          <w:rFonts w:eastAsiaTheme="minorEastAsia" w:cstheme="minorBidi"/>
          <w:b w:val="0"/>
          <w:bCs w:val="0"/>
          <w:noProof/>
        </w:rPr>
      </w:pPr>
      <w:hyperlink w:anchor="_Toc74557544" w:history="1">
        <w:r w:rsidR="007F1AC5" w:rsidRPr="001C5F87">
          <w:rPr>
            <w:rStyle w:val="Lienhypertexte"/>
            <w:noProof/>
          </w:rPr>
          <w:t>I.7.</w:t>
        </w:r>
        <w:r w:rsidR="007F1AC5">
          <w:rPr>
            <w:rFonts w:eastAsiaTheme="minorEastAsia" w:cstheme="minorBidi"/>
            <w:b w:val="0"/>
            <w:bCs w:val="0"/>
            <w:noProof/>
          </w:rPr>
          <w:tab/>
        </w:r>
        <w:r w:rsidR="001A6813">
          <w:rPr>
            <w:rFonts w:eastAsiaTheme="minorEastAsia" w:cstheme="minorBidi"/>
            <w:b w:val="0"/>
            <w:bCs w:val="0"/>
            <w:noProof/>
          </w:rPr>
          <w:t>Taxe forfaitaire sur une activité économique</w:t>
        </w:r>
        <w:r w:rsidR="007F1AC5">
          <w:rPr>
            <w:noProof/>
            <w:webHidden/>
          </w:rPr>
          <w:tab/>
        </w:r>
        <w:r w:rsidR="007F1AC5">
          <w:rPr>
            <w:noProof/>
            <w:webHidden/>
          </w:rPr>
          <w:fldChar w:fldCharType="begin"/>
        </w:r>
        <w:r w:rsidR="007F1AC5">
          <w:rPr>
            <w:noProof/>
            <w:webHidden/>
          </w:rPr>
          <w:instrText xml:space="preserve"> PAGEREF _Toc74557544 \h </w:instrText>
        </w:r>
        <w:r w:rsidR="007F1AC5">
          <w:rPr>
            <w:noProof/>
            <w:webHidden/>
          </w:rPr>
        </w:r>
        <w:r w:rsidR="007F1AC5">
          <w:rPr>
            <w:noProof/>
            <w:webHidden/>
          </w:rPr>
          <w:fldChar w:fldCharType="separate"/>
        </w:r>
        <w:r w:rsidR="00B44836">
          <w:rPr>
            <w:noProof/>
            <w:webHidden/>
          </w:rPr>
          <w:t>11</w:t>
        </w:r>
        <w:r w:rsidR="007F1AC5">
          <w:rPr>
            <w:noProof/>
            <w:webHidden/>
          </w:rPr>
          <w:fldChar w:fldCharType="end"/>
        </w:r>
      </w:hyperlink>
    </w:p>
    <w:p w14:paraId="3EDA44EB" w14:textId="06109396" w:rsidR="007F1AC5" w:rsidRDefault="00BE462A">
      <w:pPr>
        <w:pStyle w:val="TM2"/>
        <w:tabs>
          <w:tab w:val="left" w:pos="1701"/>
          <w:tab w:val="right" w:leader="underscore" w:pos="9062"/>
        </w:tabs>
        <w:rPr>
          <w:rFonts w:eastAsiaTheme="minorEastAsia" w:cstheme="minorBidi"/>
          <w:b w:val="0"/>
          <w:bCs w:val="0"/>
          <w:noProof/>
        </w:rPr>
      </w:pPr>
      <w:hyperlink w:anchor="_Toc74557545" w:history="1">
        <w:r w:rsidR="007F1AC5" w:rsidRPr="001C5F87">
          <w:rPr>
            <w:rStyle w:val="Lienhypertexte"/>
            <w:noProof/>
          </w:rPr>
          <w:t>I.8.</w:t>
        </w:r>
        <w:r w:rsidR="007F1AC5">
          <w:rPr>
            <w:rFonts w:eastAsiaTheme="minorEastAsia" w:cstheme="minorBidi"/>
            <w:b w:val="0"/>
            <w:bCs w:val="0"/>
            <w:noProof/>
          </w:rPr>
          <w:tab/>
        </w:r>
        <w:r w:rsidR="007F1AC5" w:rsidRPr="001C5F87">
          <w:rPr>
            <w:rStyle w:val="Lienhypertexte"/>
            <w:noProof/>
          </w:rPr>
          <w:t>Les investissements « hors balise » sur demande</w:t>
        </w:r>
        <w:r w:rsidR="00B02481">
          <w:rPr>
            <w:rStyle w:val="Lienhypertexte"/>
            <w:noProof/>
          </w:rPr>
          <w:t xml:space="preserve"> et automatiques</w:t>
        </w:r>
        <w:r w:rsidR="00DC2E24">
          <w:rPr>
            <w:rStyle w:val="Lienhypertexte"/>
            <w:noProof/>
          </w:rPr>
          <w:t xml:space="preserve"> et les ratios </w:t>
        </w:r>
        <w:r w:rsidR="00513B3C">
          <w:rPr>
            <w:rStyle w:val="Lienhypertexte"/>
            <w:noProof/>
          </w:rPr>
          <w:tab/>
        </w:r>
        <w:r w:rsidR="00DC2E24">
          <w:rPr>
            <w:rStyle w:val="Lienhypertexte"/>
            <w:noProof/>
          </w:rPr>
          <w:t>de charge de dette et d’endettement</w:t>
        </w:r>
        <w:r w:rsidR="007F1AC5">
          <w:rPr>
            <w:noProof/>
            <w:webHidden/>
          </w:rPr>
          <w:tab/>
        </w:r>
        <w:r w:rsidR="007F1AC5">
          <w:rPr>
            <w:noProof/>
            <w:webHidden/>
          </w:rPr>
          <w:fldChar w:fldCharType="begin"/>
        </w:r>
        <w:r w:rsidR="007F1AC5">
          <w:rPr>
            <w:noProof/>
            <w:webHidden/>
          </w:rPr>
          <w:instrText xml:space="preserve"> PAGEREF _Toc74557545 \h </w:instrText>
        </w:r>
        <w:r w:rsidR="007F1AC5">
          <w:rPr>
            <w:noProof/>
            <w:webHidden/>
          </w:rPr>
        </w:r>
        <w:r w:rsidR="007F1AC5">
          <w:rPr>
            <w:noProof/>
            <w:webHidden/>
          </w:rPr>
          <w:fldChar w:fldCharType="separate"/>
        </w:r>
        <w:r w:rsidR="00B44836">
          <w:rPr>
            <w:noProof/>
            <w:webHidden/>
          </w:rPr>
          <w:t>13</w:t>
        </w:r>
        <w:r w:rsidR="007F1AC5">
          <w:rPr>
            <w:noProof/>
            <w:webHidden/>
          </w:rPr>
          <w:fldChar w:fldCharType="end"/>
        </w:r>
      </w:hyperlink>
    </w:p>
    <w:p w14:paraId="5692B6F9" w14:textId="5A6B5B79" w:rsidR="007F1AC5" w:rsidRDefault="00BE462A">
      <w:pPr>
        <w:pStyle w:val="TM2"/>
        <w:tabs>
          <w:tab w:val="left" w:pos="1701"/>
          <w:tab w:val="right" w:leader="underscore" w:pos="9062"/>
        </w:tabs>
        <w:rPr>
          <w:noProof/>
        </w:rPr>
      </w:pPr>
      <w:hyperlink w:anchor="_Toc74557547" w:history="1">
        <w:r w:rsidR="007F1AC5" w:rsidRPr="001C5F87">
          <w:rPr>
            <w:rStyle w:val="Lienhypertexte"/>
            <w:noProof/>
          </w:rPr>
          <w:t>I.9.</w:t>
        </w:r>
        <w:r w:rsidR="007F1AC5">
          <w:rPr>
            <w:rFonts w:eastAsiaTheme="minorEastAsia" w:cstheme="minorBidi"/>
            <w:b w:val="0"/>
            <w:bCs w:val="0"/>
            <w:noProof/>
          </w:rPr>
          <w:tab/>
        </w:r>
        <w:r w:rsidR="007F1AC5" w:rsidRPr="001C5F87">
          <w:rPr>
            <w:rStyle w:val="Lienhypertexte"/>
            <w:noProof/>
          </w:rPr>
          <w:t>Nouvelle méthodologie pour les tableaux de bord prospectifs (TBP)</w:t>
        </w:r>
        <w:r w:rsidR="007F1AC5">
          <w:rPr>
            <w:noProof/>
            <w:webHidden/>
          </w:rPr>
          <w:tab/>
        </w:r>
        <w:r w:rsidR="00A04586">
          <w:rPr>
            <w:noProof/>
            <w:webHidden/>
          </w:rPr>
          <w:t>14</w:t>
        </w:r>
      </w:hyperlink>
    </w:p>
    <w:p w14:paraId="63A11B81" w14:textId="5535E7ED" w:rsidR="001A6813" w:rsidRPr="00513B3C" w:rsidRDefault="001A6813">
      <w:pPr>
        <w:pStyle w:val="TM2"/>
        <w:tabs>
          <w:tab w:val="left" w:pos="1701"/>
          <w:tab w:val="right" w:leader="underscore" w:pos="9062"/>
        </w:tabs>
      </w:pPr>
      <w:r>
        <w:t xml:space="preserve">I.10. </w:t>
      </w:r>
      <w:r>
        <w:tab/>
        <w:t>Crédit spécial de recettes</w:t>
      </w:r>
      <w:r>
        <w:tab/>
        <w:t>14</w:t>
      </w:r>
    </w:p>
    <w:p w14:paraId="53D79D98" w14:textId="0427CFBC" w:rsidR="00DA04E9" w:rsidRDefault="00DA04E9" w:rsidP="00DA04E9">
      <w:pPr>
        <w:pStyle w:val="TM2"/>
        <w:tabs>
          <w:tab w:val="left" w:pos="1701"/>
          <w:tab w:val="right" w:leader="underscore" w:pos="9062"/>
        </w:tabs>
        <w:rPr>
          <w:rFonts w:eastAsiaTheme="minorEastAsia"/>
        </w:rPr>
      </w:pPr>
      <w:r>
        <w:rPr>
          <w:rFonts w:eastAsiaTheme="minorEastAsia"/>
        </w:rPr>
        <w:t>I.1</w:t>
      </w:r>
      <w:r w:rsidR="001A6813">
        <w:rPr>
          <w:rFonts w:eastAsiaTheme="minorEastAsia"/>
        </w:rPr>
        <w:t>1</w:t>
      </w:r>
      <w:r>
        <w:rPr>
          <w:rFonts w:eastAsiaTheme="minorEastAsia"/>
        </w:rPr>
        <w:t>.</w:t>
      </w:r>
      <w:r>
        <w:rPr>
          <w:rFonts w:eastAsiaTheme="minorEastAsia"/>
        </w:rPr>
        <w:tab/>
        <w:t>Réforme APE</w:t>
      </w:r>
      <w:r>
        <w:rPr>
          <w:rFonts w:eastAsiaTheme="minorEastAsia"/>
        </w:rPr>
        <w:tab/>
      </w:r>
      <w:r w:rsidR="00A04586">
        <w:rPr>
          <w:rFonts w:eastAsiaTheme="minorEastAsia"/>
        </w:rPr>
        <w:t>1</w:t>
      </w:r>
      <w:r w:rsidR="001A6813">
        <w:rPr>
          <w:rFonts w:eastAsiaTheme="minorEastAsia"/>
        </w:rPr>
        <w:t>5</w:t>
      </w:r>
    </w:p>
    <w:p w14:paraId="1C04D4CC" w14:textId="207FFB22" w:rsidR="00606113" w:rsidRDefault="00606113" w:rsidP="00606113">
      <w:pPr>
        <w:pStyle w:val="TM2"/>
        <w:tabs>
          <w:tab w:val="left" w:pos="1701"/>
          <w:tab w:val="right" w:leader="underscore" w:pos="9062"/>
        </w:tabs>
        <w:rPr>
          <w:rFonts w:eastAsiaTheme="minorEastAsia"/>
        </w:rPr>
      </w:pPr>
      <w:bookmarkStart w:id="0" w:name="_Hlk106110965"/>
      <w:r>
        <w:rPr>
          <w:rFonts w:eastAsiaTheme="minorEastAsia"/>
        </w:rPr>
        <w:t>I.1</w:t>
      </w:r>
      <w:r w:rsidR="001A6813">
        <w:rPr>
          <w:rFonts w:eastAsiaTheme="minorEastAsia"/>
        </w:rPr>
        <w:t>2</w:t>
      </w:r>
      <w:r>
        <w:rPr>
          <w:rFonts w:eastAsiaTheme="minorEastAsia"/>
        </w:rPr>
        <w:t>.</w:t>
      </w:r>
      <w:r>
        <w:rPr>
          <w:rFonts w:eastAsiaTheme="minorEastAsia"/>
        </w:rPr>
        <w:tab/>
        <w:t>Participation aux frais de fonctionnement des zones de secours</w:t>
      </w:r>
      <w:r>
        <w:rPr>
          <w:rFonts w:eastAsiaTheme="minorEastAsia"/>
        </w:rPr>
        <w:tab/>
        <w:t>1</w:t>
      </w:r>
      <w:r w:rsidR="001A6813">
        <w:rPr>
          <w:rFonts w:eastAsiaTheme="minorEastAsia"/>
        </w:rPr>
        <w:t>5</w:t>
      </w:r>
    </w:p>
    <w:bookmarkEnd w:id="0"/>
    <w:p w14:paraId="1E87808C" w14:textId="501BBA7B" w:rsidR="001A6813" w:rsidRDefault="001A6813" w:rsidP="001A6813">
      <w:pPr>
        <w:pStyle w:val="TM2"/>
        <w:tabs>
          <w:tab w:val="left" w:pos="1701"/>
          <w:tab w:val="right" w:leader="underscore" w:pos="9062"/>
        </w:tabs>
        <w:rPr>
          <w:rFonts w:eastAsiaTheme="minorEastAsia"/>
        </w:rPr>
      </w:pPr>
      <w:r>
        <w:rPr>
          <w:rFonts w:eastAsiaTheme="minorEastAsia"/>
        </w:rPr>
        <w:t>I.13.</w:t>
      </w:r>
      <w:r>
        <w:rPr>
          <w:rFonts w:eastAsiaTheme="minorEastAsia"/>
        </w:rPr>
        <w:tab/>
        <w:t>Complément régional Plan Marshal</w:t>
      </w:r>
      <w:r>
        <w:rPr>
          <w:rFonts w:eastAsiaTheme="minorEastAsia"/>
        </w:rPr>
        <w:tab/>
        <w:t>15</w:t>
      </w:r>
    </w:p>
    <w:p w14:paraId="2D487F9C" w14:textId="3D67C24F" w:rsidR="001A6813" w:rsidRDefault="001A6813" w:rsidP="001A6813">
      <w:pPr>
        <w:pStyle w:val="TM2"/>
        <w:tabs>
          <w:tab w:val="left" w:pos="1701"/>
          <w:tab w:val="right" w:leader="underscore" w:pos="9062"/>
        </w:tabs>
        <w:rPr>
          <w:rFonts w:eastAsiaTheme="minorEastAsia"/>
        </w:rPr>
      </w:pPr>
      <w:r>
        <w:rPr>
          <w:rFonts w:eastAsiaTheme="minorEastAsia"/>
        </w:rPr>
        <w:t>I.14.</w:t>
      </w:r>
      <w:r>
        <w:rPr>
          <w:rFonts w:eastAsiaTheme="minorEastAsia"/>
        </w:rPr>
        <w:tab/>
        <w:t>Véhicules de leasing</w:t>
      </w:r>
      <w:r>
        <w:rPr>
          <w:rFonts w:eastAsiaTheme="minorEastAsia"/>
        </w:rPr>
        <w:tab/>
        <w:t>16</w:t>
      </w:r>
    </w:p>
    <w:p w14:paraId="39D144B9" w14:textId="2D69109B" w:rsidR="001A6813" w:rsidRDefault="001A6813" w:rsidP="001A6813">
      <w:pPr>
        <w:pStyle w:val="TM2"/>
        <w:tabs>
          <w:tab w:val="left" w:pos="1701"/>
          <w:tab w:val="right" w:leader="underscore" w:pos="9062"/>
        </w:tabs>
        <w:rPr>
          <w:rFonts w:eastAsiaTheme="minorEastAsia"/>
        </w:rPr>
      </w:pPr>
      <w:r>
        <w:rPr>
          <w:rFonts w:eastAsiaTheme="minorEastAsia"/>
        </w:rPr>
        <w:t>I.15.</w:t>
      </w:r>
      <w:r>
        <w:rPr>
          <w:rFonts w:eastAsiaTheme="minorEastAsia"/>
        </w:rPr>
        <w:tab/>
        <w:t>Taxes et redevances motivées par une situation particulière</w:t>
      </w:r>
      <w:r>
        <w:rPr>
          <w:rFonts w:eastAsiaTheme="minorEastAsia"/>
        </w:rPr>
        <w:tab/>
        <w:t>17</w:t>
      </w:r>
    </w:p>
    <w:p w14:paraId="4A5DB2DF" w14:textId="2ABDCEA7" w:rsidR="001A6813" w:rsidRDefault="001A6813">
      <w:pPr>
        <w:pStyle w:val="TM2"/>
        <w:tabs>
          <w:tab w:val="left" w:pos="1701"/>
          <w:tab w:val="right" w:leader="underscore" w:pos="9062"/>
        </w:tabs>
        <w:rPr>
          <w:rFonts w:eastAsiaTheme="minorEastAsia"/>
        </w:rPr>
      </w:pPr>
      <w:bookmarkStart w:id="1" w:name="_Hlk108165166"/>
      <w:r>
        <w:rPr>
          <w:rFonts w:eastAsiaTheme="minorEastAsia"/>
        </w:rPr>
        <w:t>I.16.</w:t>
      </w:r>
      <w:r>
        <w:rPr>
          <w:rFonts w:eastAsiaTheme="minorEastAsia"/>
        </w:rPr>
        <w:tab/>
        <w:t>Sites d'activité économique désaffectés</w:t>
      </w:r>
      <w:r>
        <w:rPr>
          <w:rFonts w:eastAsiaTheme="minorEastAsia"/>
        </w:rPr>
        <w:tab/>
        <w:t>18</w:t>
      </w:r>
    </w:p>
    <w:bookmarkEnd w:id="1"/>
    <w:p w14:paraId="6BE4F2AE" w14:textId="1A9BBE5B" w:rsidR="006D2A01" w:rsidRDefault="006D2A01" w:rsidP="006D2A01">
      <w:pPr>
        <w:pStyle w:val="TM2"/>
        <w:tabs>
          <w:tab w:val="left" w:pos="1701"/>
          <w:tab w:val="right" w:leader="underscore" w:pos="9062"/>
        </w:tabs>
        <w:rPr>
          <w:rFonts w:eastAsiaTheme="minorEastAsia"/>
        </w:rPr>
      </w:pPr>
      <w:r>
        <w:rPr>
          <w:rFonts w:eastAsiaTheme="minorEastAsia"/>
        </w:rPr>
        <w:t>I.17.</w:t>
      </w:r>
      <w:r>
        <w:rPr>
          <w:rFonts w:eastAsiaTheme="minorEastAsia"/>
        </w:rPr>
        <w:tab/>
        <w:t>Fin des dérogations aux règles budgétaires - crise Covid</w:t>
      </w:r>
      <w:r>
        <w:rPr>
          <w:rFonts w:eastAsiaTheme="minorEastAsia"/>
        </w:rPr>
        <w:tab/>
        <w:t>18</w:t>
      </w:r>
    </w:p>
    <w:p w14:paraId="558252DC" w14:textId="282EAA17" w:rsidR="007F1AC5" w:rsidRDefault="00BE462A">
      <w:pPr>
        <w:pStyle w:val="TM1"/>
        <w:rPr>
          <w:rFonts w:eastAsiaTheme="minorEastAsia" w:cstheme="minorBidi"/>
          <w:b w:val="0"/>
          <w:bCs w:val="0"/>
          <w:noProof/>
          <w:sz w:val="22"/>
          <w:szCs w:val="22"/>
        </w:rPr>
      </w:pPr>
      <w:hyperlink w:anchor="_Toc74557548" w:history="1">
        <w:r w:rsidR="007F1AC5" w:rsidRPr="001C5F87">
          <w:rPr>
            <w:rStyle w:val="Lienhypertexte"/>
            <w:noProof/>
          </w:rPr>
          <w:t>II.</w:t>
        </w:r>
        <w:r w:rsidR="007F1AC5">
          <w:rPr>
            <w:rFonts w:eastAsiaTheme="minorEastAsia" w:cstheme="minorBidi"/>
            <w:b w:val="0"/>
            <w:bCs w:val="0"/>
            <w:noProof/>
            <w:sz w:val="22"/>
            <w:szCs w:val="22"/>
          </w:rPr>
          <w:tab/>
        </w:r>
        <w:r w:rsidR="007F1AC5" w:rsidRPr="001C5F87">
          <w:rPr>
            <w:rStyle w:val="Lienhypertexte"/>
            <w:noProof/>
          </w:rPr>
          <w:t>DISPOSITIONS GÉNÉRALES</w:t>
        </w:r>
        <w:r w:rsidR="007F1AC5">
          <w:rPr>
            <w:noProof/>
            <w:webHidden/>
          </w:rPr>
          <w:tab/>
        </w:r>
        <w:r w:rsidR="00A04586">
          <w:rPr>
            <w:noProof/>
            <w:webHidden/>
          </w:rPr>
          <w:t>1</w:t>
        </w:r>
        <w:r w:rsidR="00606113">
          <w:rPr>
            <w:noProof/>
            <w:webHidden/>
          </w:rPr>
          <w:t>5</w:t>
        </w:r>
      </w:hyperlink>
    </w:p>
    <w:p w14:paraId="03B1AB0D" w14:textId="213FFC37" w:rsidR="007F1AC5" w:rsidRDefault="00BE462A">
      <w:pPr>
        <w:pStyle w:val="TM2"/>
        <w:tabs>
          <w:tab w:val="left" w:pos="1701"/>
          <w:tab w:val="right" w:leader="underscore" w:pos="9062"/>
        </w:tabs>
        <w:rPr>
          <w:rFonts w:eastAsiaTheme="minorEastAsia" w:cstheme="minorBidi"/>
          <w:b w:val="0"/>
          <w:bCs w:val="0"/>
          <w:noProof/>
        </w:rPr>
      </w:pPr>
      <w:hyperlink w:anchor="_Toc74557549" w:history="1">
        <w:r w:rsidR="007F1AC5" w:rsidRPr="001C5F87">
          <w:rPr>
            <w:rStyle w:val="Lienhypertexte"/>
            <w:noProof/>
          </w:rPr>
          <w:t>II.1.</w:t>
        </w:r>
        <w:r w:rsidR="007F1AC5">
          <w:rPr>
            <w:rFonts w:eastAsiaTheme="minorEastAsia" w:cstheme="minorBidi"/>
            <w:b w:val="0"/>
            <w:bCs w:val="0"/>
            <w:noProof/>
          </w:rPr>
          <w:tab/>
        </w:r>
        <w:r w:rsidR="007F1AC5" w:rsidRPr="001C5F87">
          <w:rPr>
            <w:rStyle w:val="Lienhypertexte"/>
            <w:noProof/>
          </w:rPr>
          <w:t>Calendrier légal</w:t>
        </w:r>
        <w:r w:rsidR="007F1AC5">
          <w:rPr>
            <w:noProof/>
            <w:webHidden/>
          </w:rPr>
          <w:tab/>
        </w:r>
        <w:r w:rsidR="00A04586">
          <w:rPr>
            <w:noProof/>
            <w:webHidden/>
          </w:rPr>
          <w:t>1</w:t>
        </w:r>
        <w:r w:rsidR="00606113">
          <w:rPr>
            <w:noProof/>
            <w:webHidden/>
          </w:rPr>
          <w:t>5</w:t>
        </w:r>
      </w:hyperlink>
    </w:p>
    <w:p w14:paraId="51FBBF21" w14:textId="185A963C" w:rsidR="007F1AC5" w:rsidRDefault="00BE462A">
      <w:pPr>
        <w:pStyle w:val="TM2"/>
        <w:tabs>
          <w:tab w:val="left" w:pos="1701"/>
          <w:tab w:val="right" w:leader="underscore" w:pos="9062"/>
        </w:tabs>
        <w:rPr>
          <w:rFonts w:eastAsiaTheme="minorEastAsia" w:cstheme="minorBidi"/>
          <w:b w:val="0"/>
          <w:bCs w:val="0"/>
          <w:noProof/>
        </w:rPr>
      </w:pPr>
      <w:hyperlink w:anchor="_Toc74557550" w:history="1">
        <w:r w:rsidR="007F1AC5" w:rsidRPr="001C5F87">
          <w:rPr>
            <w:rStyle w:val="Lienhypertexte"/>
            <w:noProof/>
          </w:rPr>
          <w:t>II.2.</w:t>
        </w:r>
        <w:r w:rsidR="007F1AC5">
          <w:rPr>
            <w:rFonts w:eastAsiaTheme="minorEastAsia" w:cstheme="minorBidi"/>
            <w:b w:val="0"/>
            <w:bCs w:val="0"/>
            <w:noProof/>
          </w:rPr>
          <w:tab/>
        </w:r>
        <w:r w:rsidR="007F1AC5" w:rsidRPr="001C5F87">
          <w:rPr>
            <w:rStyle w:val="Lienhypertexte"/>
            <w:noProof/>
          </w:rPr>
          <w:t>Règles budgétaires essentielles</w:t>
        </w:r>
        <w:r w:rsidR="007F1AC5">
          <w:rPr>
            <w:noProof/>
            <w:webHidden/>
          </w:rPr>
          <w:tab/>
        </w:r>
        <w:r w:rsidR="00A04586">
          <w:rPr>
            <w:noProof/>
            <w:webHidden/>
          </w:rPr>
          <w:t>16</w:t>
        </w:r>
      </w:hyperlink>
    </w:p>
    <w:p w14:paraId="41E031AD" w14:textId="3F91BCED" w:rsidR="007F1AC5" w:rsidRDefault="00BE462A">
      <w:pPr>
        <w:pStyle w:val="TM3"/>
        <w:rPr>
          <w:rFonts w:eastAsiaTheme="minorEastAsia" w:cstheme="minorBidi"/>
          <w:noProof/>
        </w:rPr>
      </w:pPr>
      <w:hyperlink w:anchor="_Toc74557551" w:history="1">
        <w:r w:rsidR="007F1AC5" w:rsidRPr="001C5F87">
          <w:rPr>
            <w:rStyle w:val="Lienhypertexte"/>
            <w:noProof/>
          </w:rPr>
          <w:t>II.2.1 Règles de fond et de forme</w:t>
        </w:r>
        <w:r w:rsidR="007F1AC5">
          <w:rPr>
            <w:noProof/>
            <w:webHidden/>
          </w:rPr>
          <w:tab/>
        </w:r>
        <w:r w:rsidR="00A04586">
          <w:rPr>
            <w:noProof/>
            <w:webHidden/>
          </w:rPr>
          <w:t>16</w:t>
        </w:r>
      </w:hyperlink>
    </w:p>
    <w:p w14:paraId="50DE87C6" w14:textId="4FE36CAF" w:rsidR="007F1AC5" w:rsidRDefault="00BE462A">
      <w:pPr>
        <w:pStyle w:val="TM4"/>
        <w:rPr>
          <w:rFonts w:eastAsiaTheme="minorEastAsia" w:cstheme="minorBidi"/>
          <w:noProof/>
          <w:sz w:val="22"/>
          <w:szCs w:val="22"/>
        </w:rPr>
      </w:pPr>
      <w:hyperlink w:anchor="_Toc74557552"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Equilibre budgétaire</w:t>
        </w:r>
        <w:r w:rsidR="007F1AC5">
          <w:rPr>
            <w:noProof/>
            <w:webHidden/>
          </w:rPr>
          <w:tab/>
        </w:r>
        <w:r w:rsidR="00A04586">
          <w:rPr>
            <w:noProof/>
            <w:webHidden/>
          </w:rPr>
          <w:t>17</w:t>
        </w:r>
      </w:hyperlink>
    </w:p>
    <w:p w14:paraId="040B8D2D" w14:textId="67606617" w:rsidR="007F1AC5" w:rsidRDefault="00BE462A">
      <w:pPr>
        <w:pStyle w:val="TM4"/>
        <w:rPr>
          <w:rFonts w:eastAsiaTheme="minorEastAsia" w:cstheme="minorBidi"/>
          <w:noProof/>
          <w:sz w:val="22"/>
          <w:szCs w:val="22"/>
        </w:rPr>
      </w:pPr>
      <w:hyperlink w:anchor="_Toc74557553"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Plan de convergence</w:t>
        </w:r>
        <w:r w:rsidR="007F1AC5">
          <w:rPr>
            <w:noProof/>
            <w:webHidden/>
          </w:rPr>
          <w:tab/>
        </w:r>
        <w:r w:rsidR="00A04586">
          <w:rPr>
            <w:noProof/>
            <w:webHidden/>
          </w:rPr>
          <w:t>17</w:t>
        </w:r>
      </w:hyperlink>
    </w:p>
    <w:p w14:paraId="4A33AD72" w14:textId="7C313E10" w:rsidR="007F1AC5" w:rsidRDefault="00BE462A">
      <w:pPr>
        <w:pStyle w:val="TM4"/>
        <w:rPr>
          <w:rFonts w:eastAsiaTheme="minorEastAsia" w:cstheme="minorBidi"/>
          <w:noProof/>
          <w:sz w:val="22"/>
          <w:szCs w:val="22"/>
        </w:rPr>
      </w:pPr>
      <w:hyperlink w:anchor="_Toc74557554" w:history="1">
        <w:r w:rsidR="007F1AC5" w:rsidRPr="001C5F87">
          <w:rPr>
            <w:rStyle w:val="Lienhypertexte"/>
            <w:noProof/>
          </w:rPr>
          <w:t>3.</w:t>
        </w:r>
        <w:r w:rsidR="007F1AC5">
          <w:rPr>
            <w:rFonts w:eastAsiaTheme="minorEastAsia" w:cstheme="minorBidi"/>
            <w:noProof/>
            <w:sz w:val="22"/>
            <w:szCs w:val="22"/>
          </w:rPr>
          <w:tab/>
        </w:r>
        <w:r w:rsidR="007F1AC5" w:rsidRPr="001C5F87">
          <w:rPr>
            <w:rStyle w:val="Lienhypertexte"/>
            <w:noProof/>
          </w:rPr>
          <w:t>Crédit budgétaire</w:t>
        </w:r>
        <w:r w:rsidR="007F1AC5">
          <w:rPr>
            <w:noProof/>
            <w:webHidden/>
          </w:rPr>
          <w:tab/>
        </w:r>
        <w:r w:rsidR="00A04586">
          <w:rPr>
            <w:noProof/>
            <w:webHidden/>
          </w:rPr>
          <w:t>17</w:t>
        </w:r>
      </w:hyperlink>
    </w:p>
    <w:p w14:paraId="3B91CDCC" w14:textId="3D542D92" w:rsidR="007F1AC5" w:rsidRDefault="00BE462A">
      <w:pPr>
        <w:pStyle w:val="TM4"/>
        <w:rPr>
          <w:rFonts w:eastAsiaTheme="minorEastAsia" w:cstheme="minorBidi"/>
          <w:noProof/>
          <w:sz w:val="22"/>
          <w:szCs w:val="22"/>
        </w:rPr>
      </w:pPr>
      <w:hyperlink w:anchor="_Toc74557555" w:history="1">
        <w:r w:rsidR="007F1AC5" w:rsidRPr="001C5F87">
          <w:rPr>
            <w:rStyle w:val="Lienhypertexte"/>
            <w:noProof/>
          </w:rPr>
          <w:t>4.</w:t>
        </w:r>
        <w:r w:rsidR="007F1AC5">
          <w:rPr>
            <w:rFonts w:eastAsiaTheme="minorEastAsia" w:cstheme="minorBidi"/>
            <w:noProof/>
            <w:sz w:val="22"/>
            <w:szCs w:val="22"/>
          </w:rPr>
          <w:tab/>
        </w:r>
        <w:r w:rsidR="007F1AC5" w:rsidRPr="001C5F87">
          <w:rPr>
            <w:rStyle w:val="Lienhypertexte"/>
            <w:noProof/>
          </w:rPr>
          <w:t>Classifications fonctionnelle et économique</w:t>
        </w:r>
        <w:r w:rsidR="007F1AC5">
          <w:rPr>
            <w:noProof/>
            <w:webHidden/>
          </w:rPr>
          <w:tab/>
        </w:r>
        <w:r w:rsidR="00A04586">
          <w:rPr>
            <w:noProof/>
            <w:webHidden/>
          </w:rPr>
          <w:t>17</w:t>
        </w:r>
      </w:hyperlink>
    </w:p>
    <w:p w14:paraId="6390EDB7" w14:textId="3F4AA4F1" w:rsidR="007F1AC5" w:rsidRDefault="00BE462A">
      <w:pPr>
        <w:pStyle w:val="TM4"/>
        <w:rPr>
          <w:rFonts w:eastAsiaTheme="minorEastAsia" w:cstheme="minorBidi"/>
          <w:noProof/>
          <w:sz w:val="22"/>
          <w:szCs w:val="22"/>
        </w:rPr>
      </w:pPr>
      <w:hyperlink w:anchor="_Toc74557556" w:history="1">
        <w:r w:rsidR="007F1AC5" w:rsidRPr="001C5F87">
          <w:rPr>
            <w:rStyle w:val="Lienhypertexte"/>
            <w:noProof/>
          </w:rPr>
          <w:t>5.</w:t>
        </w:r>
        <w:r w:rsidR="007F1AC5">
          <w:rPr>
            <w:rFonts w:eastAsiaTheme="minorEastAsia" w:cstheme="minorBidi"/>
            <w:noProof/>
            <w:sz w:val="22"/>
            <w:szCs w:val="22"/>
          </w:rPr>
          <w:tab/>
        </w:r>
        <w:r w:rsidR="007F1AC5" w:rsidRPr="001C5F87">
          <w:rPr>
            <w:rStyle w:val="Lienhypertexte"/>
            <w:noProof/>
          </w:rPr>
          <w:t>Rapport synthétisant le projet de budget</w:t>
        </w:r>
        <w:r w:rsidR="007F1AC5">
          <w:rPr>
            <w:noProof/>
            <w:webHidden/>
          </w:rPr>
          <w:tab/>
        </w:r>
        <w:r w:rsidR="00A04586">
          <w:rPr>
            <w:noProof/>
            <w:webHidden/>
          </w:rPr>
          <w:t>18</w:t>
        </w:r>
      </w:hyperlink>
    </w:p>
    <w:p w14:paraId="49FC60D1" w14:textId="3583FC44" w:rsidR="007F1AC5" w:rsidRDefault="00BE462A">
      <w:pPr>
        <w:pStyle w:val="TM4"/>
        <w:rPr>
          <w:rFonts w:eastAsiaTheme="minorEastAsia" w:cstheme="minorBidi"/>
          <w:noProof/>
          <w:sz w:val="22"/>
          <w:szCs w:val="22"/>
        </w:rPr>
      </w:pPr>
      <w:hyperlink w:anchor="_Toc74557557" w:history="1">
        <w:r w:rsidR="007F1AC5" w:rsidRPr="001C5F87">
          <w:rPr>
            <w:rStyle w:val="Lienhypertexte"/>
            <w:noProof/>
          </w:rPr>
          <w:t>6.</w:t>
        </w:r>
        <w:r w:rsidR="007F1AC5">
          <w:rPr>
            <w:rFonts w:eastAsiaTheme="minorEastAsia" w:cstheme="minorBidi"/>
            <w:noProof/>
            <w:sz w:val="22"/>
            <w:szCs w:val="22"/>
          </w:rPr>
          <w:tab/>
        </w:r>
        <w:r w:rsidR="007F1AC5" w:rsidRPr="001C5F87">
          <w:rPr>
            <w:rStyle w:val="Lienhypertexte"/>
            <w:noProof/>
          </w:rPr>
          <w:t>Commission article 12</w:t>
        </w:r>
        <w:r w:rsidR="007F1AC5">
          <w:rPr>
            <w:noProof/>
            <w:webHidden/>
          </w:rPr>
          <w:tab/>
        </w:r>
        <w:r w:rsidR="00A04586">
          <w:rPr>
            <w:noProof/>
            <w:webHidden/>
          </w:rPr>
          <w:t>18</w:t>
        </w:r>
      </w:hyperlink>
    </w:p>
    <w:p w14:paraId="721B1BDF" w14:textId="673F1357" w:rsidR="007F1AC5" w:rsidRDefault="00BE462A">
      <w:pPr>
        <w:pStyle w:val="TM4"/>
        <w:rPr>
          <w:rFonts w:eastAsiaTheme="minorEastAsia" w:cstheme="minorBidi"/>
          <w:noProof/>
          <w:sz w:val="22"/>
          <w:szCs w:val="22"/>
        </w:rPr>
      </w:pPr>
      <w:hyperlink w:anchor="_Toc74557558" w:history="1">
        <w:r w:rsidR="007F1AC5" w:rsidRPr="001C5F87">
          <w:rPr>
            <w:rStyle w:val="Lienhypertexte"/>
            <w:noProof/>
          </w:rPr>
          <w:t>7.</w:t>
        </w:r>
        <w:r w:rsidR="007F1AC5">
          <w:rPr>
            <w:rFonts w:eastAsiaTheme="minorEastAsia" w:cstheme="minorBidi"/>
            <w:noProof/>
            <w:sz w:val="22"/>
            <w:szCs w:val="22"/>
          </w:rPr>
          <w:tab/>
        </w:r>
        <w:r w:rsidR="007F1AC5" w:rsidRPr="001C5F87">
          <w:rPr>
            <w:rStyle w:val="Lienhypertexte"/>
            <w:noProof/>
          </w:rPr>
          <w:t>Numéro de projet extraordinaire</w:t>
        </w:r>
        <w:r w:rsidR="007F1AC5">
          <w:rPr>
            <w:noProof/>
            <w:webHidden/>
          </w:rPr>
          <w:tab/>
        </w:r>
        <w:r w:rsidR="00A04586">
          <w:rPr>
            <w:noProof/>
            <w:webHidden/>
          </w:rPr>
          <w:t>18</w:t>
        </w:r>
      </w:hyperlink>
    </w:p>
    <w:p w14:paraId="15093413" w14:textId="0F7B12FF" w:rsidR="007F1AC5" w:rsidRDefault="00BE462A">
      <w:pPr>
        <w:pStyle w:val="TM2"/>
        <w:tabs>
          <w:tab w:val="left" w:pos="1701"/>
          <w:tab w:val="right" w:leader="underscore" w:pos="9062"/>
        </w:tabs>
        <w:rPr>
          <w:rFonts w:eastAsiaTheme="minorEastAsia" w:cstheme="minorBidi"/>
          <w:b w:val="0"/>
          <w:bCs w:val="0"/>
          <w:noProof/>
        </w:rPr>
      </w:pPr>
      <w:hyperlink w:anchor="_Toc74557559" w:history="1">
        <w:r w:rsidR="007F1AC5" w:rsidRPr="001C5F87">
          <w:rPr>
            <w:rStyle w:val="Lienhypertexte"/>
            <w:noProof/>
          </w:rPr>
          <w:t>II.3.</w:t>
        </w:r>
        <w:r w:rsidR="007F1AC5">
          <w:rPr>
            <w:rFonts w:eastAsiaTheme="minorEastAsia" w:cstheme="minorBidi"/>
            <w:b w:val="0"/>
            <w:bCs w:val="0"/>
            <w:noProof/>
          </w:rPr>
          <w:tab/>
        </w:r>
        <w:r w:rsidR="007F1AC5" w:rsidRPr="001C5F87">
          <w:rPr>
            <w:rStyle w:val="Lienhypertexte"/>
            <w:noProof/>
          </w:rPr>
          <w:t>Présentation</w:t>
        </w:r>
        <w:r w:rsidR="007F1AC5">
          <w:rPr>
            <w:noProof/>
            <w:webHidden/>
          </w:rPr>
          <w:tab/>
        </w:r>
        <w:r w:rsidR="00A04586">
          <w:rPr>
            <w:noProof/>
            <w:webHidden/>
          </w:rPr>
          <w:t>19</w:t>
        </w:r>
      </w:hyperlink>
    </w:p>
    <w:p w14:paraId="1D1F6C56" w14:textId="0A03BA62" w:rsidR="007F1AC5" w:rsidRDefault="00BE462A">
      <w:pPr>
        <w:pStyle w:val="TM3"/>
        <w:rPr>
          <w:rFonts w:eastAsiaTheme="minorEastAsia" w:cstheme="minorBidi"/>
          <w:noProof/>
        </w:rPr>
      </w:pPr>
      <w:hyperlink w:anchor="_Toc74557560" w:history="1">
        <w:r w:rsidR="007F1AC5" w:rsidRPr="001C5F87">
          <w:rPr>
            <w:rStyle w:val="Lienhypertexte"/>
            <w:noProof/>
          </w:rPr>
          <w:t>II.3.1 Forme</w:t>
        </w:r>
        <w:r w:rsidR="007F1AC5">
          <w:rPr>
            <w:noProof/>
            <w:webHidden/>
          </w:rPr>
          <w:tab/>
        </w:r>
        <w:r w:rsidR="00A04586">
          <w:rPr>
            <w:noProof/>
            <w:webHidden/>
          </w:rPr>
          <w:tab/>
        </w:r>
        <w:r w:rsidR="00A04586">
          <w:rPr>
            <w:noProof/>
            <w:webHidden/>
          </w:rPr>
          <w:tab/>
          <w:t>19</w:t>
        </w:r>
      </w:hyperlink>
    </w:p>
    <w:p w14:paraId="598BD1E4" w14:textId="3D7A0CC2" w:rsidR="007F1AC5" w:rsidRDefault="00BE462A">
      <w:pPr>
        <w:pStyle w:val="TM3"/>
        <w:rPr>
          <w:rFonts w:eastAsiaTheme="minorEastAsia" w:cstheme="minorBidi"/>
          <w:noProof/>
        </w:rPr>
      </w:pPr>
      <w:hyperlink w:anchor="_Toc74557561" w:history="1">
        <w:r w:rsidR="007F1AC5" w:rsidRPr="001C5F87">
          <w:rPr>
            <w:rStyle w:val="Lienhypertexte"/>
            <w:noProof/>
          </w:rPr>
          <w:t>II.3.2 Tableau de synthèse</w:t>
        </w:r>
        <w:r w:rsidR="007F1AC5">
          <w:rPr>
            <w:noProof/>
            <w:webHidden/>
          </w:rPr>
          <w:tab/>
        </w:r>
        <w:r w:rsidR="00A04586">
          <w:rPr>
            <w:noProof/>
            <w:webHidden/>
          </w:rPr>
          <w:t>20</w:t>
        </w:r>
      </w:hyperlink>
    </w:p>
    <w:p w14:paraId="64000FF0" w14:textId="2CDF205B" w:rsidR="007F1AC5" w:rsidRDefault="00BE462A">
      <w:pPr>
        <w:pStyle w:val="TM2"/>
        <w:tabs>
          <w:tab w:val="left" w:pos="1701"/>
          <w:tab w:val="right" w:leader="underscore" w:pos="9062"/>
        </w:tabs>
        <w:rPr>
          <w:rFonts w:eastAsiaTheme="minorEastAsia" w:cstheme="minorBidi"/>
          <w:b w:val="0"/>
          <w:bCs w:val="0"/>
          <w:noProof/>
        </w:rPr>
      </w:pPr>
      <w:hyperlink w:anchor="_Toc74557562" w:history="1">
        <w:r w:rsidR="007F1AC5" w:rsidRPr="001C5F87">
          <w:rPr>
            <w:rStyle w:val="Lienhypertexte"/>
            <w:noProof/>
          </w:rPr>
          <w:t>II.4.</w:t>
        </w:r>
        <w:r w:rsidR="007F1AC5">
          <w:rPr>
            <w:rFonts w:eastAsiaTheme="minorEastAsia" w:cstheme="minorBidi"/>
            <w:b w:val="0"/>
            <w:bCs w:val="0"/>
            <w:noProof/>
          </w:rPr>
          <w:tab/>
        </w:r>
        <w:r w:rsidR="007F1AC5" w:rsidRPr="001C5F87">
          <w:rPr>
            <w:rStyle w:val="Lienhypertexte"/>
            <w:noProof/>
          </w:rPr>
          <w:t>Annexes</w:t>
        </w:r>
        <w:r w:rsidR="007F1AC5">
          <w:rPr>
            <w:noProof/>
            <w:webHidden/>
          </w:rPr>
          <w:tab/>
        </w:r>
        <w:r w:rsidR="00A04586">
          <w:rPr>
            <w:noProof/>
            <w:webHidden/>
          </w:rPr>
          <w:t>22</w:t>
        </w:r>
      </w:hyperlink>
    </w:p>
    <w:p w14:paraId="71704A8B" w14:textId="5F2478DC" w:rsidR="007F1AC5" w:rsidRDefault="00BE462A">
      <w:pPr>
        <w:pStyle w:val="TM2"/>
        <w:tabs>
          <w:tab w:val="left" w:pos="1701"/>
          <w:tab w:val="right" w:leader="underscore" w:pos="9062"/>
        </w:tabs>
        <w:rPr>
          <w:rFonts w:eastAsiaTheme="minorEastAsia" w:cstheme="minorBidi"/>
          <w:b w:val="0"/>
          <w:bCs w:val="0"/>
          <w:noProof/>
        </w:rPr>
      </w:pPr>
      <w:hyperlink w:anchor="_Toc74557563" w:history="1">
        <w:r w:rsidR="007F1AC5" w:rsidRPr="001C5F87">
          <w:rPr>
            <w:rStyle w:val="Lienhypertexte"/>
            <w:noProof/>
          </w:rPr>
          <w:t>II.5.</w:t>
        </w:r>
        <w:r w:rsidR="007F1AC5">
          <w:rPr>
            <w:rFonts w:eastAsiaTheme="minorEastAsia" w:cstheme="minorBidi"/>
            <w:b w:val="0"/>
            <w:bCs w:val="0"/>
            <w:noProof/>
          </w:rPr>
          <w:tab/>
        </w:r>
        <w:r w:rsidR="007F1AC5" w:rsidRPr="001C5F87">
          <w:rPr>
            <w:rStyle w:val="Lienhypertexte"/>
            <w:noProof/>
          </w:rPr>
          <w:t>Crédits provisoires</w:t>
        </w:r>
        <w:r w:rsidR="007F1AC5">
          <w:rPr>
            <w:noProof/>
            <w:webHidden/>
          </w:rPr>
          <w:tab/>
        </w:r>
        <w:r w:rsidR="00A04586">
          <w:rPr>
            <w:noProof/>
            <w:webHidden/>
          </w:rPr>
          <w:t>26</w:t>
        </w:r>
      </w:hyperlink>
    </w:p>
    <w:p w14:paraId="7BE8A6F6" w14:textId="2C5E23FB" w:rsidR="007F1AC5" w:rsidRDefault="00BE462A">
      <w:pPr>
        <w:pStyle w:val="TM2"/>
        <w:tabs>
          <w:tab w:val="left" w:pos="1701"/>
          <w:tab w:val="right" w:leader="underscore" w:pos="9062"/>
        </w:tabs>
        <w:rPr>
          <w:rFonts w:eastAsiaTheme="minorEastAsia" w:cstheme="minorBidi"/>
          <w:b w:val="0"/>
          <w:bCs w:val="0"/>
          <w:noProof/>
        </w:rPr>
      </w:pPr>
      <w:hyperlink w:anchor="_Toc74557564" w:history="1">
        <w:r w:rsidR="007F1AC5" w:rsidRPr="001C5F87">
          <w:rPr>
            <w:rStyle w:val="Lienhypertexte"/>
            <w:noProof/>
          </w:rPr>
          <w:t>II.6.</w:t>
        </w:r>
        <w:r w:rsidR="007F1AC5">
          <w:rPr>
            <w:rFonts w:eastAsiaTheme="minorEastAsia" w:cstheme="minorBidi"/>
            <w:b w:val="0"/>
            <w:bCs w:val="0"/>
            <w:noProof/>
          </w:rPr>
          <w:tab/>
        </w:r>
        <w:r w:rsidR="007F1AC5" w:rsidRPr="001C5F87">
          <w:rPr>
            <w:rStyle w:val="Lienhypertexte"/>
            <w:noProof/>
          </w:rPr>
          <w:t>Report du résultat du compte</w:t>
        </w:r>
        <w:r w:rsidR="007F1AC5">
          <w:rPr>
            <w:noProof/>
            <w:webHidden/>
          </w:rPr>
          <w:tab/>
        </w:r>
        <w:r w:rsidR="00A04586">
          <w:rPr>
            <w:noProof/>
            <w:webHidden/>
          </w:rPr>
          <w:t>26</w:t>
        </w:r>
      </w:hyperlink>
    </w:p>
    <w:p w14:paraId="275A1DEF" w14:textId="2DC8CE76" w:rsidR="007F1AC5" w:rsidRDefault="00BE462A">
      <w:pPr>
        <w:pStyle w:val="TM2"/>
        <w:tabs>
          <w:tab w:val="left" w:pos="1701"/>
          <w:tab w:val="right" w:leader="underscore" w:pos="9062"/>
        </w:tabs>
        <w:rPr>
          <w:rFonts w:eastAsiaTheme="minorEastAsia" w:cstheme="minorBidi"/>
          <w:b w:val="0"/>
          <w:bCs w:val="0"/>
          <w:noProof/>
        </w:rPr>
      </w:pPr>
      <w:hyperlink w:anchor="_Toc74557565" w:history="1">
        <w:r w:rsidR="007F1AC5" w:rsidRPr="001C5F87">
          <w:rPr>
            <w:rStyle w:val="Lienhypertexte"/>
            <w:noProof/>
          </w:rPr>
          <w:t>II.7.</w:t>
        </w:r>
        <w:r w:rsidR="007F1AC5">
          <w:rPr>
            <w:rFonts w:eastAsiaTheme="minorEastAsia" w:cstheme="minorBidi"/>
            <w:b w:val="0"/>
            <w:bCs w:val="0"/>
            <w:noProof/>
          </w:rPr>
          <w:tab/>
        </w:r>
        <w:r w:rsidR="007F1AC5" w:rsidRPr="001C5F87">
          <w:rPr>
            <w:rStyle w:val="Lienhypertexte"/>
            <w:noProof/>
          </w:rPr>
          <w:t>Modifications budgétaires</w:t>
        </w:r>
        <w:r w:rsidR="007F1AC5">
          <w:rPr>
            <w:noProof/>
            <w:webHidden/>
          </w:rPr>
          <w:tab/>
        </w:r>
        <w:r w:rsidR="00A04586">
          <w:rPr>
            <w:noProof/>
            <w:webHidden/>
          </w:rPr>
          <w:t>26</w:t>
        </w:r>
      </w:hyperlink>
    </w:p>
    <w:p w14:paraId="473B2953" w14:textId="32464B33" w:rsidR="007F1AC5" w:rsidRDefault="00BE462A">
      <w:pPr>
        <w:pStyle w:val="TM2"/>
        <w:tabs>
          <w:tab w:val="left" w:pos="1701"/>
          <w:tab w:val="right" w:leader="underscore" w:pos="9062"/>
        </w:tabs>
        <w:rPr>
          <w:rFonts w:eastAsiaTheme="minorEastAsia" w:cstheme="minorBidi"/>
          <w:b w:val="0"/>
          <w:bCs w:val="0"/>
          <w:noProof/>
        </w:rPr>
      </w:pPr>
      <w:hyperlink w:anchor="_Toc74557566" w:history="1">
        <w:r w:rsidR="007F1AC5" w:rsidRPr="001C5F87">
          <w:rPr>
            <w:rStyle w:val="Lienhypertexte"/>
            <w:noProof/>
          </w:rPr>
          <w:t>II.8.</w:t>
        </w:r>
        <w:r w:rsidR="007F1AC5">
          <w:rPr>
            <w:rFonts w:eastAsiaTheme="minorEastAsia" w:cstheme="minorBidi"/>
            <w:b w:val="0"/>
            <w:bCs w:val="0"/>
            <w:noProof/>
          </w:rPr>
          <w:tab/>
        </w:r>
        <w:r w:rsidR="007F1AC5" w:rsidRPr="001C5F87">
          <w:rPr>
            <w:rStyle w:val="Lienhypertexte"/>
            <w:noProof/>
          </w:rPr>
          <w:t>Engagements des dépenses</w:t>
        </w:r>
        <w:r w:rsidR="007F1AC5">
          <w:rPr>
            <w:noProof/>
            <w:webHidden/>
          </w:rPr>
          <w:tab/>
        </w:r>
        <w:r w:rsidR="00A04586">
          <w:rPr>
            <w:noProof/>
            <w:webHidden/>
          </w:rPr>
          <w:t>27</w:t>
        </w:r>
      </w:hyperlink>
    </w:p>
    <w:p w14:paraId="43AD2447" w14:textId="0D88DABA" w:rsidR="007F1AC5" w:rsidRDefault="00BE462A">
      <w:pPr>
        <w:pStyle w:val="TM3"/>
        <w:rPr>
          <w:rFonts w:eastAsiaTheme="minorEastAsia" w:cstheme="minorBidi"/>
          <w:noProof/>
        </w:rPr>
      </w:pPr>
      <w:hyperlink w:anchor="_Toc74557567" w:history="1">
        <w:r w:rsidR="007F1AC5" w:rsidRPr="001C5F87">
          <w:rPr>
            <w:rStyle w:val="Lienhypertexte"/>
            <w:noProof/>
          </w:rPr>
          <w:t>II.8.1 Exercices antérieurs</w:t>
        </w:r>
        <w:r w:rsidR="007F1AC5">
          <w:rPr>
            <w:noProof/>
            <w:webHidden/>
          </w:rPr>
          <w:tab/>
        </w:r>
        <w:r w:rsidR="00A04586">
          <w:rPr>
            <w:noProof/>
            <w:webHidden/>
          </w:rPr>
          <w:t>27</w:t>
        </w:r>
      </w:hyperlink>
    </w:p>
    <w:p w14:paraId="64558A70" w14:textId="2A7AE77B" w:rsidR="007F1AC5" w:rsidRDefault="00BE462A">
      <w:pPr>
        <w:pStyle w:val="TM3"/>
        <w:rPr>
          <w:rFonts w:eastAsiaTheme="minorEastAsia" w:cstheme="minorBidi"/>
          <w:noProof/>
        </w:rPr>
      </w:pPr>
      <w:hyperlink w:anchor="_Toc74557568" w:history="1">
        <w:r w:rsidR="007F1AC5" w:rsidRPr="001C5F87">
          <w:rPr>
            <w:rStyle w:val="Lienhypertexte"/>
            <w:noProof/>
          </w:rPr>
          <w:t>II.8.2 Date limite des engagements</w:t>
        </w:r>
        <w:r w:rsidR="007F1AC5">
          <w:rPr>
            <w:noProof/>
            <w:webHidden/>
          </w:rPr>
          <w:tab/>
        </w:r>
        <w:r w:rsidR="00A04586">
          <w:rPr>
            <w:noProof/>
            <w:webHidden/>
          </w:rPr>
          <w:t>27</w:t>
        </w:r>
      </w:hyperlink>
    </w:p>
    <w:p w14:paraId="40ACD1F0" w14:textId="366F82F6" w:rsidR="007F1AC5" w:rsidRDefault="00BE462A">
      <w:pPr>
        <w:pStyle w:val="TM3"/>
        <w:rPr>
          <w:rFonts w:eastAsiaTheme="minorEastAsia" w:cstheme="minorBidi"/>
          <w:noProof/>
        </w:rPr>
      </w:pPr>
      <w:hyperlink w:anchor="_Toc74557569" w:history="1">
        <w:r w:rsidR="007F1AC5" w:rsidRPr="001C5F87">
          <w:rPr>
            <w:rStyle w:val="Lienhypertexte"/>
            <w:noProof/>
          </w:rPr>
          <w:t>II.8.3 Engagements reportés</w:t>
        </w:r>
        <w:r w:rsidR="007F1AC5">
          <w:rPr>
            <w:noProof/>
            <w:webHidden/>
          </w:rPr>
          <w:tab/>
        </w:r>
        <w:r w:rsidR="00A04586">
          <w:rPr>
            <w:noProof/>
            <w:webHidden/>
          </w:rPr>
          <w:t>27</w:t>
        </w:r>
      </w:hyperlink>
    </w:p>
    <w:p w14:paraId="40FEC991" w14:textId="775AF6E4" w:rsidR="007F1AC5" w:rsidRDefault="00BE462A">
      <w:pPr>
        <w:pStyle w:val="TM3"/>
        <w:rPr>
          <w:rFonts w:eastAsiaTheme="minorEastAsia" w:cstheme="minorBidi"/>
          <w:noProof/>
        </w:rPr>
      </w:pPr>
      <w:hyperlink w:anchor="_Toc74557570" w:history="1">
        <w:r w:rsidR="007F1AC5" w:rsidRPr="001C5F87">
          <w:rPr>
            <w:rStyle w:val="Lienhypertexte"/>
            <w:noProof/>
          </w:rPr>
          <w:t>II.8.4 Marchés publics : enregistrement de l'engagement</w:t>
        </w:r>
        <w:r w:rsidR="007F1AC5">
          <w:rPr>
            <w:noProof/>
            <w:webHidden/>
          </w:rPr>
          <w:tab/>
        </w:r>
        <w:r w:rsidR="00A04586">
          <w:rPr>
            <w:noProof/>
            <w:webHidden/>
          </w:rPr>
          <w:t>27</w:t>
        </w:r>
      </w:hyperlink>
    </w:p>
    <w:p w14:paraId="0987904D" w14:textId="31F6B8F7" w:rsidR="007F1AC5" w:rsidRDefault="00BE462A">
      <w:pPr>
        <w:pStyle w:val="TM3"/>
        <w:rPr>
          <w:rFonts w:eastAsiaTheme="minorEastAsia" w:cstheme="minorBidi"/>
          <w:noProof/>
        </w:rPr>
      </w:pPr>
      <w:hyperlink w:anchor="_Toc74557571" w:history="1">
        <w:r w:rsidR="007F1AC5" w:rsidRPr="001C5F87">
          <w:rPr>
            <w:rStyle w:val="Lienhypertexte"/>
            <w:noProof/>
          </w:rPr>
          <w:t>II. 8.5 Engagement de marchés sur la base de crédits approuvés l'exercice précédent</w:t>
        </w:r>
        <w:r w:rsidR="007F1AC5">
          <w:rPr>
            <w:noProof/>
            <w:webHidden/>
          </w:rPr>
          <w:tab/>
        </w:r>
        <w:r w:rsidR="00A04586">
          <w:rPr>
            <w:noProof/>
            <w:webHidden/>
          </w:rPr>
          <w:t>28</w:t>
        </w:r>
      </w:hyperlink>
    </w:p>
    <w:p w14:paraId="30B79E89" w14:textId="314AD9AF" w:rsidR="007F1AC5" w:rsidRDefault="00BE462A">
      <w:pPr>
        <w:pStyle w:val="TM3"/>
        <w:rPr>
          <w:rFonts w:eastAsiaTheme="minorEastAsia" w:cstheme="minorBidi"/>
          <w:noProof/>
        </w:rPr>
      </w:pPr>
      <w:hyperlink w:anchor="_Toc74557572" w:history="1">
        <w:r w:rsidR="007F1AC5" w:rsidRPr="001C5F87">
          <w:rPr>
            <w:rStyle w:val="Lienhypertexte"/>
            <w:noProof/>
          </w:rPr>
          <w:t>II. 8.6 Précisions sur l'option des « bons de commande »</w:t>
        </w:r>
        <w:r w:rsidR="007F1AC5">
          <w:rPr>
            <w:noProof/>
            <w:webHidden/>
          </w:rPr>
          <w:tab/>
        </w:r>
        <w:r w:rsidR="00A04586">
          <w:rPr>
            <w:noProof/>
            <w:webHidden/>
          </w:rPr>
          <w:t>28</w:t>
        </w:r>
      </w:hyperlink>
    </w:p>
    <w:p w14:paraId="0F49A8F7" w14:textId="429D24E8" w:rsidR="007F1AC5" w:rsidRDefault="00BE462A">
      <w:pPr>
        <w:pStyle w:val="TM2"/>
        <w:tabs>
          <w:tab w:val="left" w:pos="1701"/>
          <w:tab w:val="right" w:leader="underscore" w:pos="9062"/>
        </w:tabs>
        <w:rPr>
          <w:rFonts w:eastAsiaTheme="minorEastAsia" w:cstheme="minorBidi"/>
          <w:b w:val="0"/>
          <w:bCs w:val="0"/>
          <w:noProof/>
        </w:rPr>
      </w:pPr>
      <w:hyperlink w:anchor="_Toc74557573" w:history="1">
        <w:r w:rsidR="007F1AC5" w:rsidRPr="001C5F87">
          <w:rPr>
            <w:rStyle w:val="Lienhypertexte"/>
            <w:noProof/>
          </w:rPr>
          <w:t>II.9.</w:t>
        </w:r>
        <w:r w:rsidR="007F1AC5">
          <w:rPr>
            <w:rFonts w:eastAsiaTheme="minorEastAsia" w:cstheme="minorBidi"/>
            <w:b w:val="0"/>
            <w:bCs w:val="0"/>
            <w:noProof/>
          </w:rPr>
          <w:tab/>
        </w:r>
        <w:r w:rsidR="007F1AC5" w:rsidRPr="001C5F87">
          <w:rPr>
            <w:rStyle w:val="Lienhypertexte"/>
            <w:noProof/>
          </w:rPr>
          <w:t>Additionnels au PRi</w:t>
        </w:r>
        <w:r w:rsidR="007F1AC5">
          <w:rPr>
            <w:noProof/>
            <w:webHidden/>
          </w:rPr>
          <w:tab/>
        </w:r>
        <w:r w:rsidR="00A04586">
          <w:rPr>
            <w:noProof/>
            <w:webHidden/>
          </w:rPr>
          <w:t>28</w:t>
        </w:r>
      </w:hyperlink>
    </w:p>
    <w:p w14:paraId="17E3D23E" w14:textId="07C1033C" w:rsidR="007F1AC5" w:rsidRDefault="00BE462A">
      <w:pPr>
        <w:pStyle w:val="TM2"/>
        <w:tabs>
          <w:tab w:val="left" w:pos="1701"/>
          <w:tab w:val="right" w:leader="underscore" w:pos="9062"/>
        </w:tabs>
        <w:rPr>
          <w:rFonts w:eastAsiaTheme="minorEastAsia" w:cstheme="minorBidi"/>
          <w:b w:val="0"/>
          <w:bCs w:val="0"/>
          <w:noProof/>
        </w:rPr>
      </w:pPr>
      <w:hyperlink w:anchor="_Toc74557574" w:history="1">
        <w:r w:rsidR="007F1AC5" w:rsidRPr="001C5F87">
          <w:rPr>
            <w:rStyle w:val="Lienhypertexte"/>
            <w:noProof/>
          </w:rPr>
          <w:t>II.10.</w:t>
        </w:r>
        <w:r w:rsidR="007F1AC5">
          <w:rPr>
            <w:rFonts w:eastAsiaTheme="minorEastAsia" w:cstheme="minorBidi"/>
            <w:b w:val="0"/>
            <w:bCs w:val="0"/>
            <w:noProof/>
          </w:rPr>
          <w:tab/>
        </w:r>
        <w:r w:rsidR="007F1AC5" w:rsidRPr="001C5F87">
          <w:rPr>
            <w:rStyle w:val="Lienhypertexte"/>
            <w:noProof/>
          </w:rPr>
          <w:t>Additionnels à l’IPP</w:t>
        </w:r>
        <w:r w:rsidR="007F1AC5">
          <w:rPr>
            <w:noProof/>
            <w:webHidden/>
          </w:rPr>
          <w:tab/>
        </w:r>
        <w:r w:rsidR="00A04586">
          <w:rPr>
            <w:noProof/>
            <w:webHidden/>
          </w:rPr>
          <w:t>28</w:t>
        </w:r>
      </w:hyperlink>
    </w:p>
    <w:p w14:paraId="1A054514" w14:textId="46D2F9DD" w:rsidR="007F1AC5" w:rsidRDefault="00BE462A">
      <w:pPr>
        <w:pStyle w:val="TM2"/>
        <w:tabs>
          <w:tab w:val="left" w:pos="1701"/>
          <w:tab w:val="right" w:leader="underscore" w:pos="9062"/>
        </w:tabs>
        <w:rPr>
          <w:rFonts w:eastAsiaTheme="minorEastAsia" w:cstheme="minorBidi"/>
          <w:b w:val="0"/>
          <w:bCs w:val="0"/>
          <w:noProof/>
        </w:rPr>
      </w:pPr>
      <w:hyperlink w:anchor="_Toc74557575" w:history="1">
        <w:r w:rsidR="007F1AC5" w:rsidRPr="001C5F87">
          <w:rPr>
            <w:rStyle w:val="Lienhypertexte"/>
            <w:noProof/>
          </w:rPr>
          <w:t>II.11.</w:t>
        </w:r>
        <w:r w:rsidR="007F1AC5">
          <w:rPr>
            <w:rFonts w:eastAsiaTheme="minorEastAsia" w:cstheme="minorBidi"/>
            <w:b w:val="0"/>
            <w:bCs w:val="0"/>
            <w:noProof/>
          </w:rPr>
          <w:tab/>
        </w:r>
        <w:r w:rsidR="007F1AC5" w:rsidRPr="001C5F87">
          <w:rPr>
            <w:rStyle w:val="Lienhypertexte"/>
            <w:noProof/>
          </w:rPr>
          <w:t>Perception des recettes</w:t>
        </w:r>
        <w:r w:rsidR="007F1AC5">
          <w:rPr>
            <w:noProof/>
            <w:webHidden/>
          </w:rPr>
          <w:tab/>
        </w:r>
        <w:r w:rsidR="00A04586">
          <w:rPr>
            <w:noProof/>
            <w:webHidden/>
          </w:rPr>
          <w:t>28</w:t>
        </w:r>
      </w:hyperlink>
    </w:p>
    <w:p w14:paraId="5737DEB7" w14:textId="17D36FFF" w:rsidR="007F1AC5" w:rsidRDefault="00BE462A">
      <w:pPr>
        <w:pStyle w:val="TM2"/>
        <w:tabs>
          <w:tab w:val="left" w:pos="1701"/>
          <w:tab w:val="right" w:leader="underscore" w:pos="9062"/>
        </w:tabs>
        <w:rPr>
          <w:rFonts w:eastAsiaTheme="minorEastAsia" w:cstheme="minorBidi"/>
          <w:b w:val="0"/>
          <w:bCs w:val="0"/>
          <w:noProof/>
        </w:rPr>
      </w:pPr>
      <w:hyperlink w:anchor="_Toc74557576" w:history="1">
        <w:r w:rsidR="007F1AC5" w:rsidRPr="001C5F87">
          <w:rPr>
            <w:rStyle w:val="Lienhypertexte"/>
            <w:noProof/>
          </w:rPr>
          <w:t>II.12.</w:t>
        </w:r>
        <w:r w:rsidR="007F1AC5">
          <w:rPr>
            <w:rFonts w:eastAsiaTheme="minorEastAsia" w:cstheme="minorBidi"/>
            <w:b w:val="0"/>
            <w:bCs w:val="0"/>
            <w:noProof/>
          </w:rPr>
          <w:tab/>
        </w:r>
        <w:r w:rsidR="007F1AC5" w:rsidRPr="001C5F87">
          <w:rPr>
            <w:rStyle w:val="Lienhypertexte"/>
            <w:noProof/>
          </w:rPr>
          <w:t>Réévaluation annuelle des biens du patrimoine immobilier</w:t>
        </w:r>
        <w:r w:rsidR="007F1AC5">
          <w:rPr>
            <w:noProof/>
            <w:webHidden/>
          </w:rPr>
          <w:tab/>
        </w:r>
        <w:r w:rsidR="00A04586">
          <w:rPr>
            <w:noProof/>
            <w:webHidden/>
          </w:rPr>
          <w:t>30</w:t>
        </w:r>
      </w:hyperlink>
    </w:p>
    <w:p w14:paraId="1567F324" w14:textId="6260B77B" w:rsidR="007F1AC5" w:rsidRDefault="00BE462A">
      <w:pPr>
        <w:pStyle w:val="TM2"/>
        <w:tabs>
          <w:tab w:val="left" w:pos="1701"/>
          <w:tab w:val="right" w:leader="underscore" w:pos="9062"/>
        </w:tabs>
        <w:rPr>
          <w:rFonts w:eastAsiaTheme="minorEastAsia" w:cstheme="minorBidi"/>
          <w:b w:val="0"/>
          <w:bCs w:val="0"/>
          <w:noProof/>
        </w:rPr>
      </w:pPr>
      <w:hyperlink w:anchor="_Toc74557577" w:history="1">
        <w:r w:rsidR="007F1AC5" w:rsidRPr="001C5F87">
          <w:rPr>
            <w:rStyle w:val="Lienhypertexte"/>
            <w:noProof/>
          </w:rPr>
          <w:t>II.13.</w:t>
        </w:r>
        <w:r w:rsidR="007F1AC5">
          <w:rPr>
            <w:rFonts w:eastAsiaTheme="minorEastAsia" w:cstheme="minorBidi"/>
            <w:b w:val="0"/>
            <w:bCs w:val="0"/>
            <w:noProof/>
          </w:rPr>
          <w:tab/>
        </w:r>
        <w:r w:rsidR="007F1AC5" w:rsidRPr="001C5F87">
          <w:rPr>
            <w:rStyle w:val="Lienhypertexte"/>
            <w:noProof/>
          </w:rPr>
          <w:t>Placements</w:t>
        </w:r>
        <w:r w:rsidR="007F1AC5">
          <w:rPr>
            <w:noProof/>
            <w:webHidden/>
          </w:rPr>
          <w:tab/>
        </w:r>
        <w:r w:rsidR="00A04586">
          <w:rPr>
            <w:noProof/>
            <w:webHidden/>
          </w:rPr>
          <w:t>30</w:t>
        </w:r>
      </w:hyperlink>
    </w:p>
    <w:p w14:paraId="4FE76BB1" w14:textId="41044F46" w:rsidR="007F1AC5" w:rsidRDefault="00BE462A">
      <w:pPr>
        <w:pStyle w:val="TM2"/>
        <w:tabs>
          <w:tab w:val="left" w:pos="1701"/>
          <w:tab w:val="right" w:leader="underscore" w:pos="9062"/>
        </w:tabs>
        <w:rPr>
          <w:rFonts w:eastAsiaTheme="minorEastAsia" w:cstheme="minorBidi"/>
          <w:b w:val="0"/>
          <w:bCs w:val="0"/>
          <w:noProof/>
        </w:rPr>
      </w:pPr>
      <w:hyperlink w:anchor="_Toc74557578" w:history="1">
        <w:r w:rsidR="007F1AC5" w:rsidRPr="001C5F87">
          <w:rPr>
            <w:rStyle w:val="Lienhypertexte"/>
            <w:noProof/>
          </w:rPr>
          <w:t>II.14.</w:t>
        </w:r>
        <w:r w:rsidR="007F1AC5">
          <w:rPr>
            <w:rFonts w:eastAsiaTheme="minorEastAsia" w:cstheme="minorBidi"/>
            <w:b w:val="0"/>
            <w:bCs w:val="0"/>
            <w:noProof/>
          </w:rPr>
          <w:tab/>
        </w:r>
        <w:r w:rsidR="007F1AC5" w:rsidRPr="001C5F87">
          <w:rPr>
            <w:rStyle w:val="Lienhypertexte"/>
            <w:noProof/>
          </w:rPr>
          <w:t>Transmission électronique des extraits de comptes</w:t>
        </w:r>
        <w:r w:rsidR="007F1AC5">
          <w:rPr>
            <w:noProof/>
            <w:webHidden/>
          </w:rPr>
          <w:tab/>
        </w:r>
        <w:r w:rsidR="00A04586">
          <w:rPr>
            <w:noProof/>
            <w:webHidden/>
          </w:rPr>
          <w:t>30</w:t>
        </w:r>
      </w:hyperlink>
    </w:p>
    <w:p w14:paraId="7C1B474E" w14:textId="0629E1DD" w:rsidR="007F1AC5" w:rsidRDefault="00BE462A">
      <w:pPr>
        <w:pStyle w:val="TM2"/>
        <w:tabs>
          <w:tab w:val="left" w:pos="1701"/>
          <w:tab w:val="right" w:leader="underscore" w:pos="9062"/>
        </w:tabs>
        <w:rPr>
          <w:rFonts w:eastAsiaTheme="minorEastAsia" w:cstheme="minorBidi"/>
          <w:b w:val="0"/>
          <w:bCs w:val="0"/>
          <w:noProof/>
        </w:rPr>
      </w:pPr>
      <w:hyperlink w:anchor="_Toc74557579" w:history="1">
        <w:r w:rsidR="007F1AC5" w:rsidRPr="001C5F87">
          <w:rPr>
            <w:rStyle w:val="Lienhypertexte"/>
            <w:noProof/>
          </w:rPr>
          <w:t>II.15.</w:t>
        </w:r>
        <w:r w:rsidR="007F1AC5">
          <w:rPr>
            <w:rFonts w:eastAsiaTheme="minorEastAsia" w:cstheme="minorBidi"/>
            <w:b w:val="0"/>
            <w:bCs w:val="0"/>
            <w:noProof/>
          </w:rPr>
          <w:tab/>
        </w:r>
        <w:r w:rsidR="007F1AC5" w:rsidRPr="001C5F87">
          <w:rPr>
            <w:rStyle w:val="Lienhypertexte"/>
            <w:noProof/>
          </w:rPr>
          <w:t>Avances de fonds</w:t>
        </w:r>
        <w:r w:rsidR="007F1AC5">
          <w:rPr>
            <w:noProof/>
            <w:webHidden/>
          </w:rPr>
          <w:tab/>
        </w:r>
        <w:r w:rsidR="00A04586">
          <w:rPr>
            <w:noProof/>
            <w:webHidden/>
          </w:rPr>
          <w:t>30</w:t>
        </w:r>
      </w:hyperlink>
    </w:p>
    <w:p w14:paraId="3D8B6BA7" w14:textId="456BE8FD" w:rsidR="007F1AC5" w:rsidRDefault="00BE462A">
      <w:pPr>
        <w:pStyle w:val="TM2"/>
        <w:tabs>
          <w:tab w:val="left" w:pos="1701"/>
          <w:tab w:val="right" w:leader="underscore" w:pos="9062"/>
        </w:tabs>
        <w:rPr>
          <w:rFonts w:eastAsiaTheme="minorEastAsia" w:cstheme="minorBidi"/>
          <w:b w:val="0"/>
          <w:bCs w:val="0"/>
          <w:noProof/>
        </w:rPr>
      </w:pPr>
      <w:hyperlink w:anchor="_Toc74557580" w:history="1">
        <w:r w:rsidR="007F1AC5" w:rsidRPr="001C5F87">
          <w:rPr>
            <w:rStyle w:val="Lienhypertexte"/>
            <w:noProof/>
          </w:rPr>
          <w:t>II.16.</w:t>
        </w:r>
        <w:r w:rsidR="007F1AC5">
          <w:rPr>
            <w:rFonts w:eastAsiaTheme="minorEastAsia" w:cstheme="minorBidi"/>
            <w:b w:val="0"/>
            <w:bCs w:val="0"/>
            <w:noProof/>
          </w:rPr>
          <w:tab/>
        </w:r>
        <w:r w:rsidR="007F1AC5" w:rsidRPr="001C5F87">
          <w:rPr>
            <w:rStyle w:val="Lienhypertexte"/>
            <w:noProof/>
          </w:rPr>
          <w:t>Tutelle</w:t>
        </w:r>
        <w:r w:rsidR="007F1AC5">
          <w:rPr>
            <w:noProof/>
            <w:webHidden/>
          </w:rPr>
          <w:tab/>
        </w:r>
        <w:r w:rsidR="00A04586">
          <w:rPr>
            <w:noProof/>
            <w:webHidden/>
          </w:rPr>
          <w:t>30</w:t>
        </w:r>
      </w:hyperlink>
    </w:p>
    <w:p w14:paraId="28ADCA4C" w14:textId="07297FA8" w:rsidR="007F1AC5" w:rsidRDefault="00BE462A">
      <w:pPr>
        <w:pStyle w:val="TM2"/>
        <w:tabs>
          <w:tab w:val="left" w:pos="1701"/>
          <w:tab w:val="right" w:leader="underscore" w:pos="9062"/>
        </w:tabs>
        <w:rPr>
          <w:rFonts w:eastAsiaTheme="minorEastAsia" w:cstheme="minorBidi"/>
          <w:b w:val="0"/>
          <w:bCs w:val="0"/>
          <w:noProof/>
        </w:rPr>
      </w:pPr>
      <w:hyperlink w:anchor="_Toc74557581" w:history="1">
        <w:r w:rsidR="007F1AC5" w:rsidRPr="001C5F87">
          <w:rPr>
            <w:rStyle w:val="Lienhypertexte"/>
            <w:noProof/>
          </w:rPr>
          <w:t>II.17.</w:t>
        </w:r>
        <w:r w:rsidR="007F1AC5">
          <w:rPr>
            <w:rFonts w:eastAsiaTheme="minorEastAsia" w:cstheme="minorBidi"/>
            <w:b w:val="0"/>
            <w:bCs w:val="0"/>
            <w:noProof/>
          </w:rPr>
          <w:tab/>
        </w:r>
        <w:r w:rsidR="007F1AC5" w:rsidRPr="001C5F87">
          <w:rPr>
            <w:rStyle w:val="Lienhypertexte"/>
            <w:noProof/>
          </w:rPr>
          <w:t>Avis de légalité du Directeur financier</w:t>
        </w:r>
        <w:r w:rsidR="007F1AC5">
          <w:rPr>
            <w:noProof/>
            <w:webHidden/>
          </w:rPr>
          <w:tab/>
        </w:r>
        <w:r w:rsidR="00A04586">
          <w:rPr>
            <w:noProof/>
            <w:webHidden/>
          </w:rPr>
          <w:t>31</w:t>
        </w:r>
      </w:hyperlink>
    </w:p>
    <w:p w14:paraId="2E369D47" w14:textId="1945D010" w:rsidR="007F1AC5" w:rsidRDefault="00BE462A">
      <w:pPr>
        <w:pStyle w:val="TM2"/>
        <w:tabs>
          <w:tab w:val="left" w:pos="1701"/>
          <w:tab w:val="right" w:leader="underscore" w:pos="9062"/>
        </w:tabs>
        <w:rPr>
          <w:rFonts w:eastAsiaTheme="minorEastAsia" w:cstheme="minorBidi"/>
          <w:b w:val="0"/>
          <w:bCs w:val="0"/>
          <w:noProof/>
        </w:rPr>
      </w:pPr>
      <w:hyperlink w:anchor="_Toc74557582" w:history="1">
        <w:r w:rsidR="007F1AC5" w:rsidRPr="001C5F87">
          <w:rPr>
            <w:rStyle w:val="Lienhypertexte"/>
            <w:noProof/>
          </w:rPr>
          <w:t>II.18.</w:t>
        </w:r>
        <w:r w:rsidR="007F1AC5">
          <w:rPr>
            <w:rFonts w:eastAsiaTheme="minorEastAsia" w:cstheme="minorBidi"/>
            <w:b w:val="0"/>
            <w:bCs w:val="0"/>
            <w:noProof/>
          </w:rPr>
          <w:tab/>
        </w:r>
        <w:r w:rsidR="007F1AC5" w:rsidRPr="001C5F87">
          <w:rPr>
            <w:rStyle w:val="Lienhypertexte"/>
            <w:noProof/>
          </w:rPr>
          <w:t>Droits restants à recouvrer</w:t>
        </w:r>
        <w:r w:rsidR="007F1AC5">
          <w:rPr>
            <w:noProof/>
            <w:webHidden/>
          </w:rPr>
          <w:tab/>
        </w:r>
        <w:r w:rsidR="00A04586">
          <w:rPr>
            <w:noProof/>
            <w:webHidden/>
          </w:rPr>
          <w:t>31</w:t>
        </w:r>
      </w:hyperlink>
    </w:p>
    <w:p w14:paraId="003C7434" w14:textId="3AA0DD7A" w:rsidR="007F1AC5" w:rsidRDefault="00BE462A">
      <w:pPr>
        <w:pStyle w:val="TM2"/>
        <w:tabs>
          <w:tab w:val="left" w:pos="1701"/>
          <w:tab w:val="right" w:leader="underscore" w:pos="9062"/>
        </w:tabs>
        <w:rPr>
          <w:rFonts w:eastAsiaTheme="minorEastAsia" w:cstheme="minorBidi"/>
          <w:b w:val="0"/>
          <w:bCs w:val="0"/>
          <w:noProof/>
        </w:rPr>
      </w:pPr>
      <w:hyperlink w:anchor="_Toc74557583" w:history="1">
        <w:r w:rsidR="007F1AC5" w:rsidRPr="001C5F87">
          <w:rPr>
            <w:rStyle w:val="Lienhypertexte"/>
            <w:noProof/>
          </w:rPr>
          <w:t>II.19.</w:t>
        </w:r>
        <w:r w:rsidR="007F1AC5">
          <w:rPr>
            <w:rFonts w:eastAsiaTheme="minorEastAsia" w:cstheme="minorBidi"/>
            <w:b w:val="0"/>
            <w:bCs w:val="0"/>
            <w:noProof/>
          </w:rPr>
          <w:tab/>
        </w:r>
        <w:r w:rsidR="007F1AC5" w:rsidRPr="001C5F87">
          <w:rPr>
            <w:rStyle w:val="Lienhypertexte"/>
            <w:noProof/>
          </w:rPr>
          <w:t>Encaisse du Directeur financier</w:t>
        </w:r>
        <w:r w:rsidR="007F1AC5">
          <w:rPr>
            <w:noProof/>
            <w:webHidden/>
          </w:rPr>
          <w:tab/>
        </w:r>
        <w:r w:rsidR="00A04586">
          <w:rPr>
            <w:noProof/>
            <w:webHidden/>
          </w:rPr>
          <w:t>31</w:t>
        </w:r>
      </w:hyperlink>
    </w:p>
    <w:p w14:paraId="2A42A657" w14:textId="746D48EF" w:rsidR="007F1AC5" w:rsidRDefault="00BE462A">
      <w:pPr>
        <w:pStyle w:val="TM2"/>
        <w:tabs>
          <w:tab w:val="left" w:pos="1701"/>
          <w:tab w:val="right" w:leader="underscore" w:pos="9062"/>
        </w:tabs>
        <w:rPr>
          <w:rFonts w:eastAsiaTheme="minorEastAsia" w:cstheme="minorBidi"/>
          <w:b w:val="0"/>
          <w:bCs w:val="0"/>
          <w:noProof/>
        </w:rPr>
      </w:pPr>
      <w:hyperlink w:anchor="_Toc74557584" w:history="1">
        <w:r w:rsidR="007F1AC5" w:rsidRPr="001C5F87">
          <w:rPr>
            <w:rStyle w:val="Lienhypertexte"/>
            <w:noProof/>
          </w:rPr>
          <w:t>II.20.</w:t>
        </w:r>
        <w:r w:rsidR="007F1AC5">
          <w:rPr>
            <w:rFonts w:eastAsiaTheme="minorEastAsia" w:cstheme="minorBidi"/>
            <w:b w:val="0"/>
            <w:bCs w:val="0"/>
            <w:noProof/>
          </w:rPr>
          <w:tab/>
        </w:r>
        <w:r w:rsidR="007F1AC5" w:rsidRPr="001C5F87">
          <w:rPr>
            <w:rStyle w:val="Lienhypertexte"/>
            <w:noProof/>
          </w:rPr>
          <w:t>Budget participatif</w:t>
        </w:r>
        <w:r w:rsidR="007F1AC5">
          <w:rPr>
            <w:noProof/>
            <w:webHidden/>
          </w:rPr>
          <w:tab/>
        </w:r>
        <w:r w:rsidR="00A04586">
          <w:rPr>
            <w:noProof/>
            <w:webHidden/>
          </w:rPr>
          <w:t>32</w:t>
        </w:r>
      </w:hyperlink>
    </w:p>
    <w:p w14:paraId="59F41AF7" w14:textId="66E4B7DC" w:rsidR="007F1AC5" w:rsidRDefault="00BE462A">
      <w:pPr>
        <w:pStyle w:val="TM2"/>
        <w:tabs>
          <w:tab w:val="left" w:pos="1701"/>
          <w:tab w:val="right" w:leader="underscore" w:pos="9062"/>
        </w:tabs>
        <w:rPr>
          <w:rFonts w:eastAsiaTheme="minorEastAsia" w:cstheme="minorBidi"/>
          <w:b w:val="0"/>
          <w:bCs w:val="0"/>
          <w:noProof/>
        </w:rPr>
      </w:pPr>
      <w:hyperlink w:anchor="_Toc74557585" w:history="1">
        <w:r w:rsidR="007F1AC5" w:rsidRPr="001C5F87">
          <w:rPr>
            <w:rStyle w:val="Lienhypertexte"/>
            <w:noProof/>
          </w:rPr>
          <w:t>II.21.</w:t>
        </w:r>
        <w:r w:rsidR="007F1AC5">
          <w:rPr>
            <w:rFonts w:eastAsiaTheme="minorEastAsia" w:cstheme="minorBidi"/>
            <w:b w:val="0"/>
            <w:bCs w:val="0"/>
            <w:noProof/>
          </w:rPr>
          <w:tab/>
        </w:r>
        <w:r w:rsidR="007F1AC5" w:rsidRPr="001C5F87">
          <w:rPr>
            <w:rStyle w:val="Lienhypertexte"/>
            <w:noProof/>
          </w:rPr>
          <w:t>Prévisions budgétaires pluriannuelles</w:t>
        </w:r>
        <w:r w:rsidR="007F1AC5">
          <w:rPr>
            <w:noProof/>
            <w:webHidden/>
          </w:rPr>
          <w:tab/>
        </w:r>
        <w:r w:rsidR="00A04586">
          <w:rPr>
            <w:noProof/>
            <w:webHidden/>
          </w:rPr>
          <w:t>32</w:t>
        </w:r>
      </w:hyperlink>
    </w:p>
    <w:p w14:paraId="04BB6946" w14:textId="71767C16" w:rsidR="007F1AC5" w:rsidRDefault="00BE462A">
      <w:pPr>
        <w:pStyle w:val="TM3"/>
        <w:rPr>
          <w:rFonts w:eastAsiaTheme="minorEastAsia" w:cstheme="minorBidi"/>
          <w:noProof/>
        </w:rPr>
      </w:pPr>
      <w:hyperlink w:anchor="_Toc74557586" w:history="1">
        <w:r w:rsidR="007F1AC5" w:rsidRPr="001C5F87">
          <w:rPr>
            <w:rStyle w:val="Lienhypertexte"/>
            <w:noProof/>
          </w:rPr>
          <w:t>II.21.1 Indicateurs socio-économiques pouvant être pris en compte</w:t>
        </w:r>
        <w:r w:rsidR="007F1AC5">
          <w:rPr>
            <w:noProof/>
            <w:webHidden/>
          </w:rPr>
          <w:tab/>
        </w:r>
        <w:r w:rsidR="00A04586">
          <w:rPr>
            <w:noProof/>
            <w:webHidden/>
          </w:rPr>
          <w:t>32</w:t>
        </w:r>
      </w:hyperlink>
    </w:p>
    <w:p w14:paraId="24C2595B" w14:textId="6A11424D" w:rsidR="007F1AC5" w:rsidRDefault="00BE462A">
      <w:pPr>
        <w:pStyle w:val="TM3"/>
        <w:rPr>
          <w:rFonts w:eastAsiaTheme="minorEastAsia" w:cstheme="minorBidi"/>
          <w:noProof/>
        </w:rPr>
      </w:pPr>
      <w:hyperlink w:anchor="_Toc74557587" w:history="1">
        <w:r w:rsidR="007F1AC5" w:rsidRPr="001C5F87">
          <w:rPr>
            <w:rStyle w:val="Lienhypertexte"/>
            <w:noProof/>
          </w:rPr>
          <w:t>II.21.2 Informations communiquées par la Région</w:t>
        </w:r>
        <w:r w:rsidR="007F1AC5">
          <w:rPr>
            <w:noProof/>
            <w:webHidden/>
          </w:rPr>
          <w:tab/>
        </w:r>
        <w:r w:rsidR="00A04586">
          <w:rPr>
            <w:noProof/>
            <w:webHidden/>
          </w:rPr>
          <w:t>33</w:t>
        </w:r>
      </w:hyperlink>
    </w:p>
    <w:p w14:paraId="4EEAB101" w14:textId="23443982" w:rsidR="007F1AC5" w:rsidRDefault="00BE462A">
      <w:pPr>
        <w:pStyle w:val="TM1"/>
        <w:rPr>
          <w:rFonts w:eastAsiaTheme="minorEastAsia" w:cstheme="minorBidi"/>
          <w:b w:val="0"/>
          <w:bCs w:val="0"/>
          <w:noProof/>
          <w:sz w:val="22"/>
          <w:szCs w:val="22"/>
        </w:rPr>
      </w:pPr>
      <w:hyperlink w:anchor="_Toc74557588" w:history="1">
        <w:r w:rsidR="007F1AC5" w:rsidRPr="001C5F87">
          <w:rPr>
            <w:rStyle w:val="Lienhypertexte"/>
            <w:noProof/>
          </w:rPr>
          <w:t>III.</w:t>
        </w:r>
        <w:r w:rsidR="007F1AC5">
          <w:rPr>
            <w:rFonts w:eastAsiaTheme="minorEastAsia" w:cstheme="minorBidi"/>
            <w:b w:val="0"/>
            <w:bCs w:val="0"/>
            <w:noProof/>
            <w:sz w:val="22"/>
            <w:szCs w:val="22"/>
          </w:rPr>
          <w:tab/>
        </w:r>
        <w:r w:rsidR="007F1AC5" w:rsidRPr="001C5F87">
          <w:rPr>
            <w:rStyle w:val="Lienhypertexte"/>
            <w:noProof/>
          </w:rPr>
          <w:t>SERVICE ORDINAIRE — RECETTES</w:t>
        </w:r>
        <w:r w:rsidR="007F1AC5">
          <w:rPr>
            <w:noProof/>
            <w:webHidden/>
          </w:rPr>
          <w:tab/>
        </w:r>
        <w:r w:rsidR="00A04586">
          <w:rPr>
            <w:noProof/>
            <w:webHidden/>
          </w:rPr>
          <w:t>34</w:t>
        </w:r>
      </w:hyperlink>
    </w:p>
    <w:p w14:paraId="1C954F01" w14:textId="16D399BB" w:rsidR="007F1AC5" w:rsidRDefault="00BE462A">
      <w:pPr>
        <w:pStyle w:val="TM2"/>
        <w:tabs>
          <w:tab w:val="left" w:pos="1701"/>
          <w:tab w:val="right" w:leader="underscore" w:pos="9062"/>
        </w:tabs>
        <w:rPr>
          <w:rFonts w:eastAsiaTheme="minorEastAsia" w:cstheme="minorBidi"/>
          <w:b w:val="0"/>
          <w:bCs w:val="0"/>
          <w:noProof/>
        </w:rPr>
      </w:pPr>
      <w:hyperlink w:anchor="_Toc74557589" w:history="1">
        <w:r w:rsidR="007F1AC5" w:rsidRPr="001C5F87">
          <w:rPr>
            <w:rStyle w:val="Lienhypertexte"/>
            <w:noProof/>
          </w:rPr>
          <w:t>III.1.</w:t>
        </w:r>
        <w:r w:rsidR="007F1AC5">
          <w:rPr>
            <w:rFonts w:eastAsiaTheme="minorEastAsia" w:cstheme="minorBidi"/>
            <w:b w:val="0"/>
            <w:bCs w:val="0"/>
            <w:noProof/>
          </w:rPr>
          <w:tab/>
        </w:r>
        <w:r w:rsidR="007F1AC5" w:rsidRPr="001C5F87">
          <w:rPr>
            <w:rStyle w:val="Lienhypertexte"/>
            <w:noProof/>
          </w:rPr>
          <w:t>Financement général des communes</w:t>
        </w:r>
        <w:r w:rsidR="007F1AC5">
          <w:rPr>
            <w:noProof/>
            <w:webHidden/>
          </w:rPr>
          <w:tab/>
        </w:r>
        <w:r w:rsidR="00A04586">
          <w:rPr>
            <w:noProof/>
            <w:webHidden/>
          </w:rPr>
          <w:t>34</w:t>
        </w:r>
      </w:hyperlink>
    </w:p>
    <w:p w14:paraId="27049276" w14:textId="2D43DB47" w:rsidR="007F1AC5" w:rsidRDefault="00BE462A">
      <w:pPr>
        <w:pStyle w:val="TM2"/>
        <w:tabs>
          <w:tab w:val="left" w:pos="1701"/>
          <w:tab w:val="right" w:leader="underscore" w:pos="9062"/>
        </w:tabs>
        <w:rPr>
          <w:rFonts w:eastAsiaTheme="minorEastAsia" w:cstheme="minorBidi"/>
          <w:b w:val="0"/>
          <w:bCs w:val="0"/>
          <w:noProof/>
        </w:rPr>
      </w:pPr>
      <w:hyperlink w:anchor="_Toc74557590" w:history="1">
        <w:r w:rsidR="007F1AC5" w:rsidRPr="001C5F87">
          <w:rPr>
            <w:rStyle w:val="Lienhypertexte"/>
            <w:noProof/>
          </w:rPr>
          <w:t>III.2.</w:t>
        </w:r>
        <w:r w:rsidR="007F1AC5">
          <w:rPr>
            <w:rFonts w:eastAsiaTheme="minorEastAsia" w:cstheme="minorBidi"/>
            <w:b w:val="0"/>
            <w:bCs w:val="0"/>
            <w:noProof/>
          </w:rPr>
          <w:tab/>
        </w:r>
        <w:r w:rsidR="007F1AC5" w:rsidRPr="001C5F87">
          <w:rPr>
            <w:rStyle w:val="Lienhypertexte"/>
            <w:noProof/>
          </w:rPr>
          <w:t>Amendes administratives</w:t>
        </w:r>
        <w:r w:rsidR="007F1AC5">
          <w:rPr>
            <w:noProof/>
            <w:webHidden/>
          </w:rPr>
          <w:tab/>
        </w:r>
        <w:r w:rsidR="00A04586">
          <w:rPr>
            <w:noProof/>
            <w:webHidden/>
          </w:rPr>
          <w:t>35</w:t>
        </w:r>
      </w:hyperlink>
    </w:p>
    <w:p w14:paraId="75737C13" w14:textId="186C750C" w:rsidR="007F1AC5" w:rsidRDefault="00BE462A">
      <w:pPr>
        <w:pStyle w:val="TM2"/>
        <w:tabs>
          <w:tab w:val="left" w:pos="1701"/>
          <w:tab w:val="right" w:leader="underscore" w:pos="9062"/>
        </w:tabs>
        <w:rPr>
          <w:rFonts w:eastAsiaTheme="minorEastAsia" w:cstheme="minorBidi"/>
          <w:b w:val="0"/>
          <w:bCs w:val="0"/>
          <w:noProof/>
        </w:rPr>
      </w:pPr>
      <w:hyperlink w:anchor="_Toc74557591" w:history="1">
        <w:r w:rsidR="007F1AC5" w:rsidRPr="001C5F87">
          <w:rPr>
            <w:rStyle w:val="Lienhypertexte"/>
            <w:noProof/>
          </w:rPr>
          <w:t>III.3.</w:t>
        </w:r>
        <w:r w:rsidR="007F1AC5">
          <w:rPr>
            <w:rFonts w:eastAsiaTheme="minorEastAsia" w:cstheme="minorBidi"/>
            <w:b w:val="0"/>
            <w:bCs w:val="0"/>
            <w:noProof/>
          </w:rPr>
          <w:tab/>
        </w:r>
        <w:r w:rsidR="007F1AC5" w:rsidRPr="001C5F87">
          <w:rPr>
            <w:rStyle w:val="Lienhypertexte"/>
            <w:noProof/>
          </w:rPr>
          <w:t>Dividendes et redevances du secteur intercommunal</w:t>
        </w:r>
        <w:r w:rsidR="007F1AC5">
          <w:rPr>
            <w:noProof/>
            <w:webHidden/>
          </w:rPr>
          <w:tab/>
        </w:r>
        <w:r w:rsidR="00A04586">
          <w:rPr>
            <w:noProof/>
            <w:webHidden/>
          </w:rPr>
          <w:t>35</w:t>
        </w:r>
      </w:hyperlink>
    </w:p>
    <w:p w14:paraId="6A6BE27B" w14:textId="1B2F5CC7" w:rsidR="007F1AC5" w:rsidRDefault="00BE462A">
      <w:pPr>
        <w:pStyle w:val="TM2"/>
        <w:tabs>
          <w:tab w:val="left" w:pos="1701"/>
          <w:tab w:val="right" w:leader="underscore" w:pos="9062"/>
        </w:tabs>
        <w:rPr>
          <w:rFonts w:eastAsiaTheme="minorEastAsia" w:cstheme="minorBidi"/>
          <w:b w:val="0"/>
          <w:bCs w:val="0"/>
          <w:noProof/>
        </w:rPr>
      </w:pPr>
      <w:hyperlink w:anchor="_Toc74557592" w:history="1">
        <w:r w:rsidR="007F1AC5" w:rsidRPr="001C5F87">
          <w:rPr>
            <w:rStyle w:val="Lienhypertexte"/>
            <w:noProof/>
          </w:rPr>
          <w:t>III.4.</w:t>
        </w:r>
        <w:r w:rsidR="007F1AC5">
          <w:rPr>
            <w:rFonts w:eastAsiaTheme="minorEastAsia" w:cstheme="minorBidi"/>
            <w:b w:val="0"/>
            <w:bCs w:val="0"/>
            <w:noProof/>
          </w:rPr>
          <w:tab/>
        </w:r>
        <w:r w:rsidR="007F1AC5" w:rsidRPr="001C5F87">
          <w:rPr>
            <w:rStyle w:val="Lienhypertexte"/>
            <w:noProof/>
          </w:rPr>
          <w:t>Subventions en général</w:t>
        </w:r>
        <w:r w:rsidR="007F1AC5">
          <w:rPr>
            <w:noProof/>
            <w:webHidden/>
          </w:rPr>
          <w:tab/>
        </w:r>
        <w:r w:rsidR="00A04586">
          <w:rPr>
            <w:noProof/>
            <w:webHidden/>
          </w:rPr>
          <w:t>36</w:t>
        </w:r>
      </w:hyperlink>
    </w:p>
    <w:p w14:paraId="47DC7302" w14:textId="6A2385E2" w:rsidR="007F1AC5" w:rsidRDefault="00BE462A">
      <w:pPr>
        <w:pStyle w:val="TM2"/>
        <w:tabs>
          <w:tab w:val="left" w:pos="1701"/>
          <w:tab w:val="right" w:leader="underscore" w:pos="9062"/>
        </w:tabs>
        <w:rPr>
          <w:rFonts w:eastAsiaTheme="minorEastAsia" w:cstheme="minorBidi"/>
          <w:b w:val="0"/>
          <w:bCs w:val="0"/>
          <w:noProof/>
        </w:rPr>
      </w:pPr>
      <w:hyperlink w:anchor="_Toc74557593" w:history="1">
        <w:r w:rsidR="007F1AC5" w:rsidRPr="001C5F87">
          <w:rPr>
            <w:rStyle w:val="Lienhypertexte"/>
            <w:noProof/>
          </w:rPr>
          <w:t>III.5.</w:t>
        </w:r>
        <w:r w:rsidR="007F1AC5">
          <w:rPr>
            <w:rFonts w:eastAsiaTheme="minorEastAsia" w:cstheme="minorBidi"/>
            <w:b w:val="0"/>
            <w:bCs w:val="0"/>
            <w:noProof/>
          </w:rPr>
          <w:tab/>
        </w:r>
        <w:r w:rsidR="007F1AC5" w:rsidRPr="001C5F87">
          <w:rPr>
            <w:rStyle w:val="Lienhypertexte"/>
            <w:noProof/>
          </w:rPr>
          <w:t>Subventions pour la mise en œuvre du plan de cohésion sociale</w:t>
        </w:r>
        <w:r w:rsidR="007F1AC5">
          <w:rPr>
            <w:noProof/>
            <w:webHidden/>
          </w:rPr>
          <w:tab/>
        </w:r>
        <w:r w:rsidR="00A04586">
          <w:rPr>
            <w:noProof/>
            <w:webHidden/>
          </w:rPr>
          <w:t>36</w:t>
        </w:r>
      </w:hyperlink>
    </w:p>
    <w:p w14:paraId="6F34E3E6" w14:textId="359C1C33" w:rsidR="007F1AC5" w:rsidRDefault="00BE462A">
      <w:pPr>
        <w:pStyle w:val="TM2"/>
        <w:tabs>
          <w:tab w:val="left" w:pos="1701"/>
          <w:tab w:val="right" w:leader="underscore" w:pos="9062"/>
        </w:tabs>
        <w:rPr>
          <w:rFonts w:eastAsiaTheme="minorEastAsia" w:cstheme="minorBidi"/>
          <w:b w:val="0"/>
          <w:bCs w:val="0"/>
          <w:noProof/>
        </w:rPr>
      </w:pPr>
      <w:hyperlink w:anchor="_Toc74557594" w:history="1">
        <w:r w:rsidR="007F1AC5" w:rsidRPr="001C5F87">
          <w:rPr>
            <w:rStyle w:val="Lienhypertexte"/>
            <w:noProof/>
          </w:rPr>
          <w:t>III.6.</w:t>
        </w:r>
        <w:r w:rsidR="007F1AC5">
          <w:rPr>
            <w:rFonts w:eastAsiaTheme="minorEastAsia" w:cstheme="minorBidi"/>
            <w:b w:val="0"/>
            <w:bCs w:val="0"/>
            <w:noProof/>
          </w:rPr>
          <w:tab/>
        </w:r>
        <w:r w:rsidR="007F1AC5" w:rsidRPr="001C5F87">
          <w:rPr>
            <w:rStyle w:val="Lienhypertexte"/>
            <w:noProof/>
          </w:rPr>
          <w:t>Crédit spécial de recettes préfigurant les dépenses non engagées de l'exercice</w:t>
        </w:r>
        <w:r w:rsidR="007F1AC5">
          <w:rPr>
            <w:noProof/>
            <w:webHidden/>
          </w:rPr>
          <w:tab/>
        </w:r>
        <w:r w:rsidR="00A04586">
          <w:rPr>
            <w:noProof/>
            <w:webHidden/>
          </w:rPr>
          <w:t>36</w:t>
        </w:r>
      </w:hyperlink>
    </w:p>
    <w:p w14:paraId="5B17D608" w14:textId="552ECA87" w:rsidR="007F1AC5" w:rsidRDefault="00BE462A">
      <w:pPr>
        <w:pStyle w:val="TM1"/>
        <w:rPr>
          <w:rFonts w:eastAsiaTheme="minorEastAsia" w:cstheme="minorBidi"/>
          <w:b w:val="0"/>
          <w:bCs w:val="0"/>
          <w:noProof/>
          <w:sz w:val="22"/>
          <w:szCs w:val="22"/>
        </w:rPr>
      </w:pPr>
      <w:hyperlink w:anchor="_Toc74557595" w:history="1">
        <w:r w:rsidR="007F1AC5" w:rsidRPr="001C5F87">
          <w:rPr>
            <w:rStyle w:val="Lienhypertexte"/>
            <w:noProof/>
          </w:rPr>
          <w:t>IV.</w:t>
        </w:r>
        <w:r w:rsidR="007F1AC5">
          <w:rPr>
            <w:rFonts w:eastAsiaTheme="minorEastAsia" w:cstheme="minorBidi"/>
            <w:b w:val="0"/>
            <w:bCs w:val="0"/>
            <w:noProof/>
            <w:sz w:val="22"/>
            <w:szCs w:val="22"/>
          </w:rPr>
          <w:tab/>
        </w:r>
        <w:r w:rsidR="007F1AC5" w:rsidRPr="001C5F87">
          <w:rPr>
            <w:rStyle w:val="Lienhypertexte"/>
            <w:noProof/>
          </w:rPr>
          <w:t>SERVICE ORDINAIRE — DÉPENSES</w:t>
        </w:r>
        <w:r w:rsidR="007F1AC5">
          <w:rPr>
            <w:noProof/>
            <w:webHidden/>
          </w:rPr>
          <w:tab/>
        </w:r>
        <w:r w:rsidR="00A04586">
          <w:rPr>
            <w:noProof/>
            <w:webHidden/>
          </w:rPr>
          <w:t>38</w:t>
        </w:r>
      </w:hyperlink>
    </w:p>
    <w:p w14:paraId="3C7AC4E7" w14:textId="27F75CB9" w:rsidR="007F1AC5" w:rsidRDefault="00BE462A">
      <w:pPr>
        <w:pStyle w:val="TM2"/>
        <w:tabs>
          <w:tab w:val="left" w:pos="1701"/>
          <w:tab w:val="right" w:leader="underscore" w:pos="9062"/>
        </w:tabs>
        <w:rPr>
          <w:rFonts w:eastAsiaTheme="minorEastAsia" w:cstheme="minorBidi"/>
          <w:b w:val="0"/>
          <w:bCs w:val="0"/>
          <w:noProof/>
        </w:rPr>
      </w:pPr>
      <w:hyperlink w:anchor="_Toc74557596" w:history="1">
        <w:r w:rsidR="007F1AC5" w:rsidRPr="001C5F87">
          <w:rPr>
            <w:rStyle w:val="Lienhypertexte"/>
            <w:noProof/>
          </w:rPr>
          <w:t>IV.1.</w:t>
        </w:r>
        <w:r w:rsidR="007F1AC5">
          <w:rPr>
            <w:rFonts w:eastAsiaTheme="minorEastAsia" w:cstheme="minorBidi"/>
            <w:b w:val="0"/>
            <w:bCs w:val="0"/>
            <w:noProof/>
          </w:rPr>
          <w:tab/>
        </w:r>
        <w:r w:rsidR="007F1AC5" w:rsidRPr="001C5F87">
          <w:rPr>
            <w:rStyle w:val="Lienhypertexte"/>
            <w:noProof/>
          </w:rPr>
          <w:t>Dépenses de personnel</w:t>
        </w:r>
        <w:r w:rsidR="007F1AC5">
          <w:rPr>
            <w:noProof/>
            <w:webHidden/>
          </w:rPr>
          <w:tab/>
        </w:r>
        <w:r w:rsidR="00A04586">
          <w:rPr>
            <w:noProof/>
            <w:webHidden/>
          </w:rPr>
          <w:t>38</w:t>
        </w:r>
      </w:hyperlink>
    </w:p>
    <w:p w14:paraId="4CE09D25" w14:textId="320F4370" w:rsidR="007F1AC5" w:rsidRDefault="00BE462A">
      <w:pPr>
        <w:pStyle w:val="TM2"/>
        <w:tabs>
          <w:tab w:val="left" w:pos="1701"/>
          <w:tab w:val="right" w:leader="underscore" w:pos="9062"/>
        </w:tabs>
        <w:rPr>
          <w:rFonts w:eastAsiaTheme="minorEastAsia" w:cstheme="minorBidi"/>
          <w:b w:val="0"/>
          <w:bCs w:val="0"/>
          <w:noProof/>
        </w:rPr>
      </w:pPr>
      <w:hyperlink w:anchor="_Toc74557597" w:history="1">
        <w:r w:rsidR="007F1AC5" w:rsidRPr="001C5F87">
          <w:rPr>
            <w:rStyle w:val="Lienhypertexte"/>
            <w:noProof/>
          </w:rPr>
          <w:t>IV.2.</w:t>
        </w:r>
        <w:r w:rsidR="007F1AC5">
          <w:rPr>
            <w:rFonts w:eastAsiaTheme="minorEastAsia" w:cstheme="minorBidi"/>
            <w:b w:val="0"/>
            <w:bCs w:val="0"/>
            <w:noProof/>
          </w:rPr>
          <w:tab/>
        </w:r>
        <w:r w:rsidR="007F1AC5" w:rsidRPr="001C5F87">
          <w:rPr>
            <w:rStyle w:val="Lienhypertexte"/>
            <w:noProof/>
          </w:rPr>
          <w:t>Dépenses de fonctionnement</w:t>
        </w:r>
        <w:r w:rsidR="007F1AC5">
          <w:rPr>
            <w:noProof/>
            <w:webHidden/>
          </w:rPr>
          <w:tab/>
        </w:r>
        <w:r w:rsidR="00A04586">
          <w:rPr>
            <w:noProof/>
            <w:webHidden/>
          </w:rPr>
          <w:t>42</w:t>
        </w:r>
      </w:hyperlink>
    </w:p>
    <w:p w14:paraId="5FF97C5E" w14:textId="04AC5BEB" w:rsidR="007F1AC5" w:rsidRDefault="00BE462A">
      <w:pPr>
        <w:pStyle w:val="TM2"/>
        <w:tabs>
          <w:tab w:val="left" w:pos="1701"/>
          <w:tab w:val="right" w:leader="underscore" w:pos="9062"/>
        </w:tabs>
        <w:rPr>
          <w:rFonts w:eastAsiaTheme="minorEastAsia" w:cstheme="minorBidi"/>
          <w:b w:val="0"/>
          <w:bCs w:val="0"/>
          <w:noProof/>
        </w:rPr>
      </w:pPr>
      <w:hyperlink w:anchor="_Toc74557598" w:history="1">
        <w:r w:rsidR="007F1AC5" w:rsidRPr="001C5F87">
          <w:rPr>
            <w:rStyle w:val="Lienhypertexte"/>
            <w:noProof/>
          </w:rPr>
          <w:t>IV.3.</w:t>
        </w:r>
        <w:r w:rsidR="007F1AC5">
          <w:rPr>
            <w:rFonts w:eastAsiaTheme="minorEastAsia" w:cstheme="minorBidi"/>
            <w:b w:val="0"/>
            <w:bCs w:val="0"/>
            <w:noProof/>
          </w:rPr>
          <w:tab/>
        </w:r>
        <w:r w:rsidR="007F1AC5" w:rsidRPr="001C5F87">
          <w:rPr>
            <w:rStyle w:val="Lienhypertexte"/>
            <w:noProof/>
          </w:rPr>
          <w:t>Dépenses de transfert</w:t>
        </w:r>
        <w:r w:rsidR="007F1AC5">
          <w:rPr>
            <w:noProof/>
            <w:webHidden/>
          </w:rPr>
          <w:tab/>
        </w:r>
        <w:r w:rsidR="00A04586">
          <w:rPr>
            <w:noProof/>
            <w:webHidden/>
          </w:rPr>
          <w:t>43</w:t>
        </w:r>
      </w:hyperlink>
    </w:p>
    <w:p w14:paraId="0124F985" w14:textId="24F81540" w:rsidR="007F1AC5" w:rsidRDefault="00BE462A">
      <w:pPr>
        <w:pStyle w:val="TM3"/>
        <w:rPr>
          <w:rFonts w:eastAsiaTheme="minorEastAsia" w:cstheme="minorBidi"/>
          <w:noProof/>
        </w:rPr>
      </w:pPr>
      <w:hyperlink w:anchor="_Toc74557599" w:history="1">
        <w:r w:rsidR="007F1AC5" w:rsidRPr="001C5F87">
          <w:rPr>
            <w:rStyle w:val="Lienhypertexte"/>
            <w:noProof/>
          </w:rPr>
          <w:t>IV.3.1 CPAS</w:t>
        </w:r>
        <w:r w:rsidR="007F1AC5">
          <w:rPr>
            <w:noProof/>
            <w:webHidden/>
          </w:rPr>
          <w:tab/>
        </w:r>
        <w:r w:rsidR="00A04586">
          <w:rPr>
            <w:noProof/>
            <w:webHidden/>
          </w:rPr>
          <w:tab/>
        </w:r>
        <w:r w:rsidR="00A04586">
          <w:rPr>
            <w:noProof/>
            <w:webHidden/>
          </w:rPr>
          <w:tab/>
          <w:t>44</w:t>
        </w:r>
      </w:hyperlink>
    </w:p>
    <w:p w14:paraId="02850EDB" w14:textId="6565A705" w:rsidR="007F1AC5" w:rsidRDefault="00BE462A">
      <w:pPr>
        <w:pStyle w:val="TM3"/>
        <w:rPr>
          <w:rFonts w:eastAsiaTheme="minorEastAsia" w:cstheme="minorBidi"/>
          <w:noProof/>
        </w:rPr>
      </w:pPr>
      <w:hyperlink w:anchor="_Toc74557600" w:history="1">
        <w:r w:rsidR="007F1AC5" w:rsidRPr="001C5F87">
          <w:rPr>
            <w:rStyle w:val="Lienhypertexte"/>
            <w:noProof/>
          </w:rPr>
          <w:t>IV.3.2 Hôpitaux publics, Maisons de repos et MRS</w:t>
        </w:r>
        <w:r w:rsidR="007F1AC5">
          <w:rPr>
            <w:noProof/>
            <w:webHidden/>
          </w:rPr>
          <w:tab/>
        </w:r>
        <w:r w:rsidR="00A04586">
          <w:rPr>
            <w:noProof/>
            <w:webHidden/>
          </w:rPr>
          <w:t>50</w:t>
        </w:r>
      </w:hyperlink>
    </w:p>
    <w:p w14:paraId="45978921" w14:textId="2FFB8736" w:rsidR="007F1AC5" w:rsidRDefault="00BE462A">
      <w:pPr>
        <w:pStyle w:val="TM3"/>
        <w:rPr>
          <w:rFonts w:eastAsiaTheme="minorEastAsia" w:cstheme="minorBidi"/>
          <w:noProof/>
        </w:rPr>
      </w:pPr>
      <w:hyperlink w:anchor="_Toc74557601" w:history="1">
        <w:r w:rsidR="007F1AC5" w:rsidRPr="001C5F87">
          <w:rPr>
            <w:rStyle w:val="Lienhypertexte"/>
            <w:noProof/>
          </w:rPr>
          <w:t>IV.3.3 Zones de police</w:t>
        </w:r>
        <w:r w:rsidR="007F1AC5">
          <w:rPr>
            <w:noProof/>
            <w:webHidden/>
          </w:rPr>
          <w:tab/>
        </w:r>
        <w:r w:rsidR="00A04586">
          <w:rPr>
            <w:noProof/>
            <w:webHidden/>
          </w:rPr>
          <w:t>50</w:t>
        </w:r>
      </w:hyperlink>
    </w:p>
    <w:p w14:paraId="61748459" w14:textId="5F18ACCA" w:rsidR="007F1AC5" w:rsidRDefault="00BE462A">
      <w:pPr>
        <w:pStyle w:val="TM3"/>
        <w:rPr>
          <w:rFonts w:eastAsiaTheme="minorEastAsia" w:cstheme="minorBidi"/>
          <w:noProof/>
        </w:rPr>
      </w:pPr>
      <w:hyperlink w:anchor="_Toc74557602" w:history="1">
        <w:r w:rsidR="007F1AC5" w:rsidRPr="001C5F87">
          <w:rPr>
            <w:rStyle w:val="Lienhypertexte"/>
            <w:noProof/>
          </w:rPr>
          <w:t>IV.3.4 Zones de secours</w:t>
        </w:r>
        <w:r w:rsidR="007F1AC5">
          <w:rPr>
            <w:noProof/>
            <w:webHidden/>
          </w:rPr>
          <w:tab/>
        </w:r>
        <w:r w:rsidR="00A04586">
          <w:rPr>
            <w:noProof/>
            <w:webHidden/>
          </w:rPr>
          <w:t>51</w:t>
        </w:r>
      </w:hyperlink>
    </w:p>
    <w:p w14:paraId="4E063541" w14:textId="02655FE5" w:rsidR="007F1AC5" w:rsidRDefault="00BE462A">
      <w:pPr>
        <w:pStyle w:val="TM3"/>
        <w:rPr>
          <w:rFonts w:eastAsiaTheme="minorEastAsia" w:cstheme="minorBidi"/>
          <w:noProof/>
        </w:rPr>
      </w:pPr>
      <w:hyperlink w:anchor="_Toc74557603" w:history="1">
        <w:r w:rsidR="007F1AC5" w:rsidRPr="001C5F87">
          <w:rPr>
            <w:rStyle w:val="Lienhypertexte"/>
            <w:noProof/>
          </w:rPr>
          <w:t>IV.3.5 Régies et ASBL communales</w:t>
        </w:r>
        <w:r w:rsidR="007F1AC5">
          <w:rPr>
            <w:noProof/>
            <w:webHidden/>
          </w:rPr>
          <w:tab/>
        </w:r>
        <w:r w:rsidR="00A04586">
          <w:rPr>
            <w:noProof/>
            <w:webHidden/>
          </w:rPr>
          <w:t>51</w:t>
        </w:r>
      </w:hyperlink>
    </w:p>
    <w:p w14:paraId="5F35E02B" w14:textId="0A886A6C" w:rsidR="007F1AC5" w:rsidRDefault="00BE462A">
      <w:pPr>
        <w:pStyle w:val="TM3"/>
        <w:rPr>
          <w:rFonts w:eastAsiaTheme="minorEastAsia" w:cstheme="minorBidi"/>
          <w:noProof/>
        </w:rPr>
      </w:pPr>
      <w:hyperlink w:anchor="_Toc74557604" w:history="1">
        <w:r w:rsidR="007F1AC5" w:rsidRPr="001C5F87">
          <w:rPr>
            <w:rStyle w:val="Lienhypertexte"/>
            <w:noProof/>
          </w:rPr>
          <w:t>IV.3.6 Fabriques d'église</w:t>
        </w:r>
        <w:r w:rsidR="007F1AC5">
          <w:rPr>
            <w:noProof/>
            <w:webHidden/>
          </w:rPr>
          <w:tab/>
        </w:r>
        <w:r w:rsidR="00A04586">
          <w:rPr>
            <w:noProof/>
            <w:webHidden/>
          </w:rPr>
          <w:t>52</w:t>
        </w:r>
      </w:hyperlink>
    </w:p>
    <w:p w14:paraId="30E5BE7E" w14:textId="1D3AEA9F" w:rsidR="007F1AC5" w:rsidRDefault="00BE462A">
      <w:pPr>
        <w:pStyle w:val="TM2"/>
        <w:tabs>
          <w:tab w:val="left" w:pos="1701"/>
          <w:tab w:val="right" w:leader="underscore" w:pos="9062"/>
        </w:tabs>
        <w:rPr>
          <w:rFonts w:eastAsiaTheme="minorEastAsia" w:cstheme="minorBidi"/>
          <w:b w:val="0"/>
          <w:bCs w:val="0"/>
          <w:noProof/>
        </w:rPr>
      </w:pPr>
      <w:hyperlink w:anchor="_Toc74557605" w:history="1">
        <w:r w:rsidR="007F1AC5" w:rsidRPr="001C5F87">
          <w:rPr>
            <w:rStyle w:val="Lienhypertexte"/>
            <w:noProof/>
          </w:rPr>
          <w:t>IV.4.</w:t>
        </w:r>
        <w:r w:rsidR="007F1AC5">
          <w:rPr>
            <w:rFonts w:eastAsiaTheme="minorEastAsia" w:cstheme="minorBidi"/>
            <w:b w:val="0"/>
            <w:bCs w:val="0"/>
            <w:noProof/>
          </w:rPr>
          <w:tab/>
        </w:r>
        <w:r w:rsidR="007F1AC5" w:rsidRPr="001C5F87">
          <w:rPr>
            <w:rStyle w:val="Lienhypertexte"/>
            <w:noProof/>
          </w:rPr>
          <w:t>Dépenses de dette</w:t>
        </w:r>
        <w:r w:rsidR="007F1AC5">
          <w:rPr>
            <w:noProof/>
            <w:webHidden/>
          </w:rPr>
          <w:tab/>
        </w:r>
        <w:r w:rsidR="00A04586">
          <w:rPr>
            <w:noProof/>
            <w:webHidden/>
          </w:rPr>
          <w:t>52</w:t>
        </w:r>
      </w:hyperlink>
    </w:p>
    <w:p w14:paraId="78C9BEB0" w14:textId="5F1A351B" w:rsidR="007F1AC5" w:rsidRDefault="00BE462A">
      <w:pPr>
        <w:pStyle w:val="TM3"/>
        <w:rPr>
          <w:rFonts w:eastAsiaTheme="minorEastAsia" w:cstheme="minorBidi"/>
          <w:noProof/>
        </w:rPr>
      </w:pPr>
      <w:hyperlink w:anchor="_Toc74557606" w:history="1">
        <w:r w:rsidR="007F1AC5" w:rsidRPr="001C5F87">
          <w:rPr>
            <w:rStyle w:val="Lienhypertexte"/>
            <w:noProof/>
          </w:rPr>
          <w:t>IV.4.1 Stabilisation de la charge de la dette</w:t>
        </w:r>
        <w:r w:rsidR="007F1AC5">
          <w:rPr>
            <w:noProof/>
            <w:webHidden/>
          </w:rPr>
          <w:tab/>
        </w:r>
        <w:r w:rsidR="00A04586">
          <w:rPr>
            <w:noProof/>
            <w:webHidden/>
          </w:rPr>
          <w:t>52</w:t>
        </w:r>
      </w:hyperlink>
    </w:p>
    <w:p w14:paraId="6EA55AC0" w14:textId="6ED35738" w:rsidR="007F1AC5" w:rsidRDefault="00BE462A">
      <w:pPr>
        <w:pStyle w:val="TM3"/>
        <w:rPr>
          <w:rFonts w:eastAsiaTheme="minorEastAsia" w:cstheme="minorBidi"/>
          <w:noProof/>
        </w:rPr>
      </w:pPr>
      <w:hyperlink w:anchor="_Toc74557607" w:history="1">
        <w:r w:rsidR="007F1AC5" w:rsidRPr="001C5F87">
          <w:rPr>
            <w:rStyle w:val="Lienhypertexte"/>
            <w:noProof/>
          </w:rPr>
          <w:t>IV.4.2 Leasing financier</w:t>
        </w:r>
        <w:r w:rsidR="007F1AC5">
          <w:rPr>
            <w:noProof/>
            <w:webHidden/>
          </w:rPr>
          <w:tab/>
        </w:r>
        <w:r w:rsidR="00A04586">
          <w:rPr>
            <w:noProof/>
            <w:webHidden/>
          </w:rPr>
          <w:t>53</w:t>
        </w:r>
      </w:hyperlink>
    </w:p>
    <w:p w14:paraId="5897587B" w14:textId="155C8CBC" w:rsidR="007F1AC5" w:rsidRDefault="00BE462A">
      <w:pPr>
        <w:pStyle w:val="TM3"/>
        <w:rPr>
          <w:rFonts w:eastAsiaTheme="minorEastAsia" w:cstheme="minorBidi"/>
          <w:noProof/>
        </w:rPr>
      </w:pPr>
      <w:hyperlink w:anchor="_Toc74557608" w:history="1">
        <w:r w:rsidR="007F1AC5" w:rsidRPr="001C5F87">
          <w:rPr>
            <w:rStyle w:val="Lienhypertexte"/>
            <w:noProof/>
          </w:rPr>
          <w:t>IV.4.3 Emprunts à contracter prévus au cours des exercices antérieurs</w:t>
        </w:r>
        <w:r w:rsidR="007F1AC5">
          <w:rPr>
            <w:noProof/>
            <w:webHidden/>
          </w:rPr>
          <w:tab/>
        </w:r>
        <w:r w:rsidR="00A04586">
          <w:rPr>
            <w:noProof/>
            <w:webHidden/>
          </w:rPr>
          <w:t>53</w:t>
        </w:r>
      </w:hyperlink>
    </w:p>
    <w:p w14:paraId="412A53B4" w14:textId="094EEF12" w:rsidR="007F1AC5" w:rsidRDefault="00BE462A">
      <w:pPr>
        <w:pStyle w:val="TM3"/>
        <w:rPr>
          <w:rFonts w:eastAsiaTheme="minorEastAsia" w:cstheme="minorBidi"/>
          <w:noProof/>
        </w:rPr>
      </w:pPr>
      <w:hyperlink w:anchor="_Toc74557609" w:history="1">
        <w:r w:rsidR="007F1AC5" w:rsidRPr="001C5F87">
          <w:rPr>
            <w:rStyle w:val="Lienhypertexte"/>
            <w:noProof/>
          </w:rPr>
          <w:t>IV.4.4 Garanties d'emprunts</w:t>
        </w:r>
        <w:r w:rsidR="007F1AC5">
          <w:rPr>
            <w:noProof/>
            <w:webHidden/>
          </w:rPr>
          <w:tab/>
        </w:r>
        <w:r w:rsidR="00A04586">
          <w:rPr>
            <w:noProof/>
            <w:webHidden/>
          </w:rPr>
          <w:t>53</w:t>
        </w:r>
      </w:hyperlink>
    </w:p>
    <w:p w14:paraId="0FDA053F" w14:textId="64B5AC90" w:rsidR="007F1AC5" w:rsidRDefault="00BE462A">
      <w:pPr>
        <w:pStyle w:val="TM3"/>
        <w:rPr>
          <w:rFonts w:eastAsiaTheme="minorEastAsia" w:cstheme="minorBidi"/>
          <w:noProof/>
        </w:rPr>
      </w:pPr>
      <w:hyperlink w:anchor="_Toc74557610" w:history="1">
        <w:r w:rsidR="007F1AC5" w:rsidRPr="001C5F87">
          <w:rPr>
            <w:rStyle w:val="Lienhypertexte"/>
            <w:noProof/>
          </w:rPr>
          <w:t>IV.4.5 Rééchelonnements d'emprunts</w:t>
        </w:r>
        <w:r w:rsidR="007F1AC5">
          <w:rPr>
            <w:noProof/>
            <w:webHidden/>
          </w:rPr>
          <w:tab/>
        </w:r>
        <w:r w:rsidR="00A04586">
          <w:rPr>
            <w:noProof/>
            <w:webHidden/>
          </w:rPr>
          <w:t>54</w:t>
        </w:r>
      </w:hyperlink>
    </w:p>
    <w:p w14:paraId="3A080818" w14:textId="79B7192F" w:rsidR="007F1AC5" w:rsidRDefault="00BE462A">
      <w:pPr>
        <w:pStyle w:val="TM3"/>
        <w:rPr>
          <w:rFonts w:eastAsiaTheme="minorEastAsia" w:cstheme="minorBidi"/>
          <w:noProof/>
        </w:rPr>
      </w:pPr>
      <w:hyperlink w:anchor="_Toc74557611" w:history="1">
        <w:r w:rsidR="007F1AC5" w:rsidRPr="001C5F87">
          <w:rPr>
            <w:rStyle w:val="Lienhypertexte"/>
            <w:noProof/>
          </w:rPr>
          <w:t>IV.4.6 Charge des nouveaux emprunts</w:t>
        </w:r>
        <w:r w:rsidR="007F1AC5">
          <w:rPr>
            <w:noProof/>
            <w:webHidden/>
          </w:rPr>
          <w:tab/>
        </w:r>
        <w:r w:rsidR="00A04586">
          <w:rPr>
            <w:noProof/>
            <w:webHidden/>
          </w:rPr>
          <w:t>54</w:t>
        </w:r>
      </w:hyperlink>
    </w:p>
    <w:p w14:paraId="612B6220" w14:textId="700CF603" w:rsidR="007F1AC5" w:rsidRDefault="00BE462A">
      <w:pPr>
        <w:pStyle w:val="TM2"/>
        <w:tabs>
          <w:tab w:val="left" w:pos="1701"/>
          <w:tab w:val="right" w:leader="underscore" w:pos="9062"/>
        </w:tabs>
        <w:rPr>
          <w:rFonts w:eastAsiaTheme="minorEastAsia" w:cstheme="minorBidi"/>
          <w:b w:val="0"/>
          <w:bCs w:val="0"/>
          <w:noProof/>
        </w:rPr>
      </w:pPr>
      <w:hyperlink w:anchor="_Toc74557612" w:history="1">
        <w:r w:rsidR="007F1AC5" w:rsidRPr="001C5F87">
          <w:rPr>
            <w:rStyle w:val="Lienhypertexte"/>
            <w:noProof/>
          </w:rPr>
          <w:t>IV.5.</w:t>
        </w:r>
        <w:r w:rsidR="007F1AC5">
          <w:rPr>
            <w:rFonts w:eastAsiaTheme="minorEastAsia" w:cstheme="minorBidi"/>
            <w:b w:val="0"/>
            <w:bCs w:val="0"/>
            <w:noProof/>
          </w:rPr>
          <w:tab/>
        </w:r>
        <w:r w:rsidR="007F1AC5" w:rsidRPr="001C5F87">
          <w:rPr>
            <w:rStyle w:val="Lienhypertexte"/>
            <w:noProof/>
          </w:rPr>
          <w:t>Prélèvements et provisions pour risques et charges</w:t>
        </w:r>
        <w:r w:rsidR="007F1AC5">
          <w:rPr>
            <w:noProof/>
            <w:webHidden/>
          </w:rPr>
          <w:tab/>
        </w:r>
        <w:r w:rsidR="00A04586">
          <w:rPr>
            <w:noProof/>
            <w:webHidden/>
          </w:rPr>
          <w:t>54</w:t>
        </w:r>
      </w:hyperlink>
    </w:p>
    <w:p w14:paraId="5860448F" w14:textId="06A6E588" w:rsidR="007F1AC5" w:rsidRDefault="00BE462A">
      <w:pPr>
        <w:pStyle w:val="TM3"/>
        <w:rPr>
          <w:rFonts w:eastAsiaTheme="minorEastAsia" w:cstheme="minorBidi"/>
          <w:noProof/>
        </w:rPr>
      </w:pPr>
      <w:hyperlink w:anchor="_Toc74557613" w:history="1">
        <w:r w:rsidR="007F1AC5" w:rsidRPr="001C5F87">
          <w:rPr>
            <w:rStyle w:val="Lienhypertexte"/>
            <w:noProof/>
          </w:rPr>
          <w:t>IV.5.1 Prélèvements</w:t>
        </w:r>
        <w:r w:rsidR="007F1AC5">
          <w:rPr>
            <w:noProof/>
            <w:webHidden/>
          </w:rPr>
          <w:tab/>
        </w:r>
        <w:r w:rsidR="00A04586">
          <w:rPr>
            <w:noProof/>
            <w:webHidden/>
          </w:rPr>
          <w:t>54</w:t>
        </w:r>
      </w:hyperlink>
    </w:p>
    <w:p w14:paraId="0033011D" w14:textId="558BFB09" w:rsidR="007F1AC5" w:rsidRDefault="00BE462A">
      <w:pPr>
        <w:pStyle w:val="TM3"/>
        <w:rPr>
          <w:rFonts w:eastAsiaTheme="minorEastAsia" w:cstheme="minorBidi"/>
          <w:noProof/>
        </w:rPr>
      </w:pPr>
      <w:hyperlink w:anchor="_Toc74557614" w:history="1">
        <w:r w:rsidR="007F1AC5" w:rsidRPr="001C5F87">
          <w:rPr>
            <w:rStyle w:val="Lienhypertexte"/>
            <w:noProof/>
          </w:rPr>
          <w:t>IV.5.2 Provisions pour risques et charges</w:t>
        </w:r>
        <w:r w:rsidR="007F1AC5">
          <w:rPr>
            <w:noProof/>
            <w:webHidden/>
          </w:rPr>
          <w:tab/>
        </w:r>
        <w:r w:rsidR="00A04586">
          <w:rPr>
            <w:noProof/>
            <w:webHidden/>
          </w:rPr>
          <w:t>55</w:t>
        </w:r>
      </w:hyperlink>
    </w:p>
    <w:p w14:paraId="3FBE5CDF" w14:textId="7AA4D5E4" w:rsidR="007F1AC5" w:rsidRDefault="00BE462A">
      <w:pPr>
        <w:pStyle w:val="TM2"/>
        <w:tabs>
          <w:tab w:val="left" w:pos="1701"/>
          <w:tab w:val="right" w:leader="underscore" w:pos="9062"/>
        </w:tabs>
        <w:rPr>
          <w:rFonts w:eastAsiaTheme="minorEastAsia" w:cstheme="minorBidi"/>
          <w:b w:val="0"/>
          <w:bCs w:val="0"/>
          <w:noProof/>
        </w:rPr>
      </w:pPr>
      <w:hyperlink w:anchor="_Toc74557615" w:history="1">
        <w:r w:rsidR="007F1AC5" w:rsidRPr="001C5F87">
          <w:rPr>
            <w:rStyle w:val="Lienhypertexte"/>
            <w:noProof/>
          </w:rPr>
          <w:t>IV.6.</w:t>
        </w:r>
        <w:r w:rsidR="007F1AC5">
          <w:rPr>
            <w:rFonts w:eastAsiaTheme="minorEastAsia" w:cstheme="minorBidi"/>
            <w:b w:val="0"/>
            <w:bCs w:val="0"/>
            <w:noProof/>
          </w:rPr>
          <w:tab/>
        </w:r>
        <w:r w:rsidR="007F1AC5" w:rsidRPr="001C5F87">
          <w:rPr>
            <w:rStyle w:val="Lienhypertexte"/>
            <w:noProof/>
          </w:rPr>
          <w:t>Délégation</w:t>
        </w:r>
        <w:r w:rsidR="007F1AC5">
          <w:rPr>
            <w:noProof/>
            <w:webHidden/>
          </w:rPr>
          <w:tab/>
        </w:r>
        <w:r w:rsidR="00A04586">
          <w:rPr>
            <w:noProof/>
            <w:webHidden/>
          </w:rPr>
          <w:t>57</w:t>
        </w:r>
      </w:hyperlink>
    </w:p>
    <w:p w14:paraId="04FDBEB8" w14:textId="575C89DF" w:rsidR="007F1AC5" w:rsidRDefault="00BE462A">
      <w:pPr>
        <w:pStyle w:val="TM1"/>
        <w:rPr>
          <w:rFonts w:eastAsiaTheme="minorEastAsia" w:cstheme="minorBidi"/>
          <w:b w:val="0"/>
          <w:bCs w:val="0"/>
          <w:noProof/>
          <w:sz w:val="22"/>
          <w:szCs w:val="22"/>
        </w:rPr>
      </w:pPr>
      <w:hyperlink w:anchor="_Toc74557616" w:history="1">
        <w:r w:rsidR="007F1AC5" w:rsidRPr="001C5F87">
          <w:rPr>
            <w:rStyle w:val="Lienhypertexte"/>
            <w:noProof/>
          </w:rPr>
          <w:t>V.</w:t>
        </w:r>
        <w:r w:rsidR="007F1AC5">
          <w:rPr>
            <w:rFonts w:eastAsiaTheme="minorEastAsia" w:cstheme="minorBidi"/>
            <w:b w:val="0"/>
            <w:bCs w:val="0"/>
            <w:noProof/>
            <w:sz w:val="22"/>
            <w:szCs w:val="22"/>
          </w:rPr>
          <w:tab/>
        </w:r>
        <w:r w:rsidR="007F1AC5" w:rsidRPr="001C5F87">
          <w:rPr>
            <w:rStyle w:val="Lienhypertexte"/>
            <w:noProof/>
          </w:rPr>
          <w:t>SERVICE EXTRAORDINAIRE</w:t>
        </w:r>
        <w:r w:rsidR="007F1AC5">
          <w:rPr>
            <w:noProof/>
            <w:webHidden/>
          </w:rPr>
          <w:tab/>
        </w:r>
        <w:r w:rsidR="00A04586">
          <w:rPr>
            <w:noProof/>
            <w:webHidden/>
          </w:rPr>
          <w:t>57</w:t>
        </w:r>
      </w:hyperlink>
    </w:p>
    <w:p w14:paraId="158A4355" w14:textId="1E9FE4F2" w:rsidR="007F1AC5" w:rsidRDefault="00BE462A">
      <w:pPr>
        <w:pStyle w:val="TM2"/>
        <w:tabs>
          <w:tab w:val="left" w:pos="1701"/>
          <w:tab w:val="right" w:leader="underscore" w:pos="9062"/>
        </w:tabs>
        <w:rPr>
          <w:rFonts w:eastAsiaTheme="minorEastAsia" w:cstheme="minorBidi"/>
          <w:b w:val="0"/>
          <w:bCs w:val="0"/>
          <w:noProof/>
        </w:rPr>
      </w:pPr>
      <w:hyperlink w:anchor="_Toc74557617" w:history="1">
        <w:r w:rsidR="007F1AC5" w:rsidRPr="001C5F87">
          <w:rPr>
            <w:rStyle w:val="Lienhypertexte"/>
            <w:noProof/>
          </w:rPr>
          <w:t>V.1.</w:t>
        </w:r>
        <w:r w:rsidR="007F1AC5">
          <w:rPr>
            <w:rFonts w:eastAsiaTheme="minorEastAsia" w:cstheme="minorBidi"/>
            <w:b w:val="0"/>
            <w:bCs w:val="0"/>
            <w:noProof/>
          </w:rPr>
          <w:tab/>
        </w:r>
        <w:r w:rsidR="007F1AC5" w:rsidRPr="001C5F87">
          <w:rPr>
            <w:rStyle w:val="Lienhypertexte"/>
            <w:noProof/>
          </w:rPr>
          <w:t>Généralités</w:t>
        </w:r>
        <w:r w:rsidR="007F1AC5">
          <w:rPr>
            <w:noProof/>
            <w:webHidden/>
          </w:rPr>
          <w:tab/>
        </w:r>
        <w:r w:rsidR="00A04586">
          <w:rPr>
            <w:noProof/>
            <w:webHidden/>
          </w:rPr>
          <w:t>57</w:t>
        </w:r>
      </w:hyperlink>
    </w:p>
    <w:p w14:paraId="7445C6FA" w14:textId="7520FCFA" w:rsidR="007F1AC5" w:rsidRDefault="00BE462A">
      <w:pPr>
        <w:pStyle w:val="TM2"/>
        <w:tabs>
          <w:tab w:val="left" w:pos="1701"/>
          <w:tab w:val="right" w:leader="underscore" w:pos="9062"/>
        </w:tabs>
        <w:rPr>
          <w:rFonts w:eastAsiaTheme="minorEastAsia" w:cstheme="minorBidi"/>
          <w:b w:val="0"/>
          <w:bCs w:val="0"/>
          <w:noProof/>
        </w:rPr>
      </w:pPr>
      <w:hyperlink w:anchor="_Toc74557618" w:history="1">
        <w:r w:rsidR="007F1AC5" w:rsidRPr="001C5F87">
          <w:rPr>
            <w:rStyle w:val="Lienhypertexte"/>
            <w:noProof/>
          </w:rPr>
          <w:t>V.2.</w:t>
        </w:r>
        <w:r w:rsidR="007F1AC5">
          <w:rPr>
            <w:rFonts w:eastAsiaTheme="minorEastAsia" w:cstheme="minorBidi"/>
            <w:b w:val="0"/>
            <w:bCs w:val="0"/>
            <w:noProof/>
          </w:rPr>
          <w:tab/>
        </w:r>
        <w:r w:rsidR="007F1AC5" w:rsidRPr="001C5F87">
          <w:rPr>
            <w:rStyle w:val="Lienhypertexte"/>
            <w:noProof/>
          </w:rPr>
          <w:t>La balise d’emprunt</w:t>
        </w:r>
        <w:r w:rsidR="00971431">
          <w:rPr>
            <w:rStyle w:val="Lienhypertexte"/>
            <w:noProof/>
          </w:rPr>
          <w:t xml:space="preserve"> et </w:t>
        </w:r>
        <w:r w:rsidR="006C5698">
          <w:rPr>
            <w:rStyle w:val="Lienhypertexte"/>
            <w:noProof/>
          </w:rPr>
          <w:t>les ratios de charge de dette et d’endettement</w:t>
        </w:r>
        <w:r w:rsidR="007F1AC5">
          <w:rPr>
            <w:noProof/>
            <w:webHidden/>
          </w:rPr>
          <w:tab/>
        </w:r>
        <w:r w:rsidR="00A04586">
          <w:rPr>
            <w:noProof/>
            <w:webHidden/>
          </w:rPr>
          <w:t>57</w:t>
        </w:r>
      </w:hyperlink>
    </w:p>
    <w:p w14:paraId="015130F3" w14:textId="4C8E289C" w:rsidR="007F1AC5" w:rsidRDefault="00BE462A">
      <w:pPr>
        <w:pStyle w:val="TM3"/>
        <w:rPr>
          <w:rFonts w:eastAsiaTheme="minorEastAsia" w:cstheme="minorBidi"/>
          <w:noProof/>
        </w:rPr>
      </w:pPr>
      <w:hyperlink w:anchor="_Toc74557620" w:history="1">
        <w:r w:rsidR="007F1AC5" w:rsidRPr="001C5F87">
          <w:rPr>
            <w:rStyle w:val="Lienhypertexte"/>
            <w:noProof/>
          </w:rPr>
          <w:t>V.2.1 Objectif</w:t>
        </w:r>
        <w:r w:rsidR="007F1AC5">
          <w:rPr>
            <w:noProof/>
            <w:webHidden/>
          </w:rPr>
          <w:tab/>
        </w:r>
        <w:r w:rsidR="00A04586">
          <w:rPr>
            <w:noProof/>
            <w:webHidden/>
          </w:rPr>
          <w:tab/>
        </w:r>
        <w:r w:rsidR="00A04586">
          <w:rPr>
            <w:noProof/>
            <w:webHidden/>
          </w:rPr>
          <w:tab/>
          <w:t>57</w:t>
        </w:r>
      </w:hyperlink>
    </w:p>
    <w:p w14:paraId="22CF873D" w14:textId="62C31A4D" w:rsidR="007F1AC5" w:rsidRDefault="00BE462A">
      <w:pPr>
        <w:pStyle w:val="TM3"/>
        <w:rPr>
          <w:rFonts w:eastAsiaTheme="minorEastAsia" w:cstheme="minorBidi"/>
          <w:noProof/>
        </w:rPr>
      </w:pPr>
      <w:hyperlink w:anchor="_Toc74557621" w:history="1">
        <w:r w:rsidR="007F1AC5" w:rsidRPr="001C5F87">
          <w:rPr>
            <w:rStyle w:val="Lienhypertexte"/>
            <w:noProof/>
          </w:rPr>
          <w:t>V.2.2 Champ d’application</w:t>
        </w:r>
        <w:r w:rsidR="007F1AC5">
          <w:rPr>
            <w:noProof/>
            <w:webHidden/>
          </w:rPr>
          <w:tab/>
        </w:r>
        <w:r w:rsidR="00A04586">
          <w:rPr>
            <w:noProof/>
            <w:webHidden/>
          </w:rPr>
          <w:t>58</w:t>
        </w:r>
      </w:hyperlink>
    </w:p>
    <w:p w14:paraId="0E83E20A" w14:textId="043DCAE8" w:rsidR="007F1AC5" w:rsidRDefault="00BE462A">
      <w:pPr>
        <w:pStyle w:val="TM3"/>
        <w:rPr>
          <w:rFonts w:eastAsiaTheme="minorEastAsia" w:cstheme="minorBidi"/>
          <w:noProof/>
        </w:rPr>
      </w:pPr>
      <w:hyperlink w:anchor="_Toc74557622" w:history="1">
        <w:r w:rsidR="007F1AC5" w:rsidRPr="001C5F87">
          <w:rPr>
            <w:rStyle w:val="Lienhypertexte"/>
            <w:noProof/>
          </w:rPr>
          <w:t>V.2.3 Investissements « hors balise » automatiques</w:t>
        </w:r>
        <w:r w:rsidR="007F1AC5">
          <w:rPr>
            <w:noProof/>
            <w:webHidden/>
          </w:rPr>
          <w:tab/>
        </w:r>
        <w:r w:rsidR="00A04586">
          <w:rPr>
            <w:noProof/>
            <w:webHidden/>
          </w:rPr>
          <w:t>58</w:t>
        </w:r>
      </w:hyperlink>
    </w:p>
    <w:p w14:paraId="6FD6C2E0" w14:textId="1891F27E" w:rsidR="007F1AC5" w:rsidRDefault="00BE462A">
      <w:pPr>
        <w:pStyle w:val="TM4"/>
        <w:rPr>
          <w:rFonts w:eastAsiaTheme="minorEastAsia" w:cstheme="minorBidi"/>
          <w:noProof/>
          <w:sz w:val="22"/>
          <w:szCs w:val="22"/>
        </w:rPr>
      </w:pPr>
      <w:hyperlink w:anchor="_Toc74557624"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Projets antérieurs à 2014</w:t>
        </w:r>
        <w:r w:rsidR="007F1AC5">
          <w:rPr>
            <w:noProof/>
            <w:webHidden/>
          </w:rPr>
          <w:tab/>
        </w:r>
        <w:r w:rsidR="00EF7F4D">
          <w:rPr>
            <w:noProof/>
            <w:webHidden/>
          </w:rPr>
          <w:t>58</w:t>
        </w:r>
      </w:hyperlink>
    </w:p>
    <w:p w14:paraId="1CFEFD7E" w14:textId="34404347" w:rsidR="007F1AC5" w:rsidRDefault="00BE462A">
      <w:pPr>
        <w:pStyle w:val="TM4"/>
        <w:rPr>
          <w:rFonts w:eastAsiaTheme="minorEastAsia" w:cstheme="minorBidi"/>
          <w:noProof/>
          <w:sz w:val="22"/>
          <w:szCs w:val="22"/>
        </w:rPr>
      </w:pPr>
      <w:hyperlink w:anchor="_Toc74557625"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Comptabilisation des emprunts des zones de police et de secours</w:t>
        </w:r>
        <w:r w:rsidR="007F1AC5">
          <w:rPr>
            <w:noProof/>
            <w:webHidden/>
          </w:rPr>
          <w:tab/>
        </w:r>
        <w:r w:rsidR="00EF7F4D">
          <w:rPr>
            <w:noProof/>
            <w:webHidden/>
          </w:rPr>
          <w:t>58</w:t>
        </w:r>
      </w:hyperlink>
    </w:p>
    <w:p w14:paraId="7D4F96D2" w14:textId="3A5B27E9" w:rsidR="007F1AC5" w:rsidRDefault="00BE462A">
      <w:pPr>
        <w:pStyle w:val="TM4"/>
        <w:rPr>
          <w:rFonts w:eastAsiaTheme="minorEastAsia" w:cstheme="minorBidi"/>
          <w:noProof/>
          <w:sz w:val="22"/>
          <w:szCs w:val="22"/>
        </w:rPr>
      </w:pPr>
      <w:hyperlink w:anchor="_Toc74557626" w:history="1">
        <w:r w:rsidR="007F1AC5" w:rsidRPr="001C5F87">
          <w:rPr>
            <w:rStyle w:val="Lienhypertexte"/>
            <w:noProof/>
          </w:rPr>
          <w:t>3.</w:t>
        </w:r>
        <w:r w:rsidR="007F1AC5">
          <w:rPr>
            <w:rFonts w:eastAsiaTheme="minorEastAsia" w:cstheme="minorBidi"/>
            <w:noProof/>
            <w:sz w:val="22"/>
            <w:szCs w:val="22"/>
          </w:rPr>
          <w:tab/>
        </w:r>
        <w:r w:rsidR="007F1AC5" w:rsidRPr="001C5F87">
          <w:rPr>
            <w:rStyle w:val="Lienhypertexte"/>
            <w:noProof/>
          </w:rPr>
          <w:t>FRIC</w:t>
        </w:r>
        <w:r w:rsidR="007F1AC5">
          <w:rPr>
            <w:noProof/>
            <w:webHidden/>
          </w:rPr>
          <w:tab/>
        </w:r>
        <w:r w:rsidR="00EF7F4D">
          <w:rPr>
            <w:noProof/>
            <w:webHidden/>
          </w:rPr>
          <w:t>58</w:t>
        </w:r>
      </w:hyperlink>
    </w:p>
    <w:p w14:paraId="715A0480" w14:textId="215D2EE1" w:rsidR="007F1AC5" w:rsidRDefault="00BE462A">
      <w:pPr>
        <w:pStyle w:val="TM4"/>
        <w:rPr>
          <w:rFonts w:eastAsiaTheme="minorEastAsia" w:cstheme="minorBidi"/>
          <w:noProof/>
          <w:sz w:val="22"/>
          <w:szCs w:val="22"/>
        </w:rPr>
      </w:pPr>
      <w:hyperlink w:anchor="_Toc74557627" w:history="1">
        <w:r w:rsidR="007F1AC5" w:rsidRPr="001C5F87">
          <w:rPr>
            <w:rStyle w:val="Lienhypertexte"/>
            <w:noProof/>
          </w:rPr>
          <w:t>4.</w:t>
        </w:r>
        <w:r w:rsidR="007F1AC5">
          <w:rPr>
            <w:rFonts w:eastAsiaTheme="minorEastAsia" w:cstheme="minorBidi"/>
            <w:noProof/>
            <w:sz w:val="22"/>
            <w:szCs w:val="22"/>
          </w:rPr>
          <w:tab/>
        </w:r>
        <w:r w:rsidR="007F1AC5" w:rsidRPr="001C5F87">
          <w:rPr>
            <w:rStyle w:val="Lienhypertexte"/>
            <w:noProof/>
          </w:rPr>
          <w:t>UREBA</w:t>
        </w:r>
        <w:r w:rsidR="007F1AC5">
          <w:rPr>
            <w:noProof/>
            <w:webHidden/>
          </w:rPr>
          <w:tab/>
        </w:r>
        <w:r w:rsidR="00EF7F4D">
          <w:rPr>
            <w:noProof/>
            <w:webHidden/>
          </w:rPr>
          <w:t>60</w:t>
        </w:r>
      </w:hyperlink>
    </w:p>
    <w:p w14:paraId="256B996A" w14:textId="2C6A1002" w:rsidR="007F1AC5" w:rsidRDefault="00BE462A">
      <w:pPr>
        <w:pStyle w:val="TM4"/>
        <w:rPr>
          <w:rFonts w:eastAsiaTheme="minorEastAsia" w:cstheme="minorBidi"/>
          <w:noProof/>
          <w:sz w:val="22"/>
          <w:szCs w:val="22"/>
        </w:rPr>
      </w:pPr>
      <w:hyperlink w:anchor="_Toc74557628" w:history="1">
        <w:r w:rsidR="007F1AC5" w:rsidRPr="001C5F87">
          <w:rPr>
            <w:rStyle w:val="Lienhypertexte"/>
            <w:noProof/>
          </w:rPr>
          <w:t>5.</w:t>
        </w:r>
        <w:r w:rsidR="007F1AC5">
          <w:rPr>
            <w:rFonts w:eastAsiaTheme="minorEastAsia" w:cstheme="minorBidi"/>
            <w:noProof/>
            <w:sz w:val="22"/>
            <w:szCs w:val="22"/>
          </w:rPr>
          <w:tab/>
        </w:r>
        <w:r w:rsidR="007F1AC5" w:rsidRPr="001C5F87">
          <w:rPr>
            <w:rStyle w:val="Lienhypertexte"/>
            <w:noProof/>
          </w:rPr>
          <w:t>Projets cofinancés par l’Union Européenne par décision du Gouvernement.</w:t>
        </w:r>
        <w:r w:rsidR="007F1AC5">
          <w:rPr>
            <w:noProof/>
            <w:webHidden/>
          </w:rPr>
          <w:tab/>
        </w:r>
        <w:r w:rsidR="00EF7F4D">
          <w:rPr>
            <w:noProof/>
            <w:webHidden/>
          </w:rPr>
          <w:t>60</w:t>
        </w:r>
      </w:hyperlink>
    </w:p>
    <w:p w14:paraId="2BE9352D" w14:textId="5626763B" w:rsidR="007F1AC5" w:rsidRDefault="00BE462A">
      <w:pPr>
        <w:pStyle w:val="TM4"/>
        <w:rPr>
          <w:rFonts w:eastAsiaTheme="minorEastAsia" w:cstheme="minorBidi"/>
          <w:noProof/>
          <w:sz w:val="22"/>
          <w:szCs w:val="22"/>
        </w:rPr>
      </w:pPr>
      <w:hyperlink w:anchor="_Toc74557629" w:history="1">
        <w:r w:rsidR="007F1AC5" w:rsidRPr="001C5F87">
          <w:rPr>
            <w:rStyle w:val="Lienhypertexte"/>
            <w:noProof/>
          </w:rPr>
          <w:t>6.</w:t>
        </w:r>
        <w:r w:rsidR="007F1AC5">
          <w:rPr>
            <w:rFonts w:eastAsiaTheme="minorEastAsia" w:cstheme="minorBidi"/>
            <w:noProof/>
            <w:sz w:val="22"/>
            <w:szCs w:val="22"/>
          </w:rPr>
          <w:tab/>
        </w:r>
        <w:r w:rsidR="007F1AC5" w:rsidRPr="001C5F87">
          <w:rPr>
            <w:rStyle w:val="Lienhypertexte"/>
            <w:noProof/>
          </w:rPr>
          <w:t>Coût-vérité distribution d’eau</w:t>
        </w:r>
        <w:r w:rsidR="007F1AC5">
          <w:rPr>
            <w:noProof/>
            <w:webHidden/>
          </w:rPr>
          <w:tab/>
        </w:r>
        <w:r w:rsidR="00EF7F4D">
          <w:rPr>
            <w:noProof/>
            <w:webHidden/>
          </w:rPr>
          <w:t>60</w:t>
        </w:r>
      </w:hyperlink>
    </w:p>
    <w:p w14:paraId="2CA9C5A2" w14:textId="09925B34" w:rsidR="007F1AC5" w:rsidRDefault="00BE462A">
      <w:pPr>
        <w:pStyle w:val="TM4"/>
        <w:rPr>
          <w:noProof/>
        </w:rPr>
      </w:pPr>
      <w:hyperlink w:anchor="_Toc74557630" w:history="1">
        <w:r w:rsidR="007F1AC5" w:rsidRPr="001C5F87">
          <w:rPr>
            <w:rStyle w:val="Lienhypertexte"/>
            <w:noProof/>
          </w:rPr>
          <w:t>7.</w:t>
        </w:r>
        <w:r w:rsidR="007F1AC5">
          <w:rPr>
            <w:rFonts w:eastAsiaTheme="minorEastAsia" w:cstheme="minorBidi"/>
            <w:noProof/>
            <w:sz w:val="22"/>
            <w:szCs w:val="22"/>
          </w:rPr>
          <w:tab/>
        </w:r>
        <w:r w:rsidR="007F1AC5" w:rsidRPr="001C5F87">
          <w:rPr>
            <w:rStyle w:val="Lienhypertexte"/>
            <w:noProof/>
          </w:rPr>
          <w:t>Entretien et amélioration de l’efficacité énergétique des installations d’éclairage public</w:t>
        </w:r>
        <w:r w:rsidR="007F1AC5">
          <w:rPr>
            <w:noProof/>
            <w:webHidden/>
          </w:rPr>
          <w:tab/>
        </w:r>
        <w:r w:rsidR="00EF7F4D">
          <w:rPr>
            <w:noProof/>
            <w:webHidden/>
          </w:rPr>
          <w:t>60</w:t>
        </w:r>
      </w:hyperlink>
    </w:p>
    <w:p w14:paraId="02C580A9" w14:textId="71424D5D" w:rsidR="0082681A" w:rsidRDefault="0082681A" w:rsidP="0082681A">
      <w:pPr>
        <w:pStyle w:val="TM4"/>
        <w:rPr>
          <w:rFonts w:eastAsiaTheme="minorEastAsia"/>
        </w:rPr>
      </w:pPr>
      <w:r>
        <w:rPr>
          <w:rFonts w:eastAsiaTheme="minorEastAsia"/>
        </w:rPr>
        <w:t>8.</w:t>
      </w:r>
      <w:r>
        <w:rPr>
          <w:rFonts w:eastAsiaTheme="minorEastAsia"/>
        </w:rPr>
        <w:tab/>
        <w:t>Investissements PIV (Politique Intégrées de la Ville)</w:t>
      </w:r>
      <w:r>
        <w:rPr>
          <w:rFonts w:eastAsiaTheme="minorEastAsia"/>
        </w:rPr>
        <w:tab/>
        <w:t>60</w:t>
      </w:r>
    </w:p>
    <w:p w14:paraId="35E499EB" w14:textId="42F60AC5" w:rsidR="0082681A" w:rsidRPr="0082681A" w:rsidRDefault="0082681A" w:rsidP="0082681A">
      <w:pPr>
        <w:pStyle w:val="TM4"/>
        <w:rPr>
          <w:rFonts w:eastAsiaTheme="minorEastAsia"/>
        </w:rPr>
      </w:pPr>
      <w:r>
        <w:rPr>
          <w:rFonts w:eastAsiaTheme="minorEastAsia"/>
        </w:rPr>
        <w:lastRenderedPageBreak/>
        <w:t>9.</w:t>
      </w:r>
      <w:r>
        <w:rPr>
          <w:rFonts w:eastAsiaTheme="minorEastAsia"/>
        </w:rPr>
        <w:tab/>
        <w:t>Investissements Plan de Relance de la Wallonie</w:t>
      </w:r>
      <w:r>
        <w:rPr>
          <w:rFonts w:eastAsiaTheme="minorEastAsia"/>
        </w:rPr>
        <w:tab/>
        <w:t>60</w:t>
      </w:r>
    </w:p>
    <w:p w14:paraId="080F99DE" w14:textId="048E4663" w:rsidR="007F1AC5" w:rsidRDefault="00BE462A">
      <w:pPr>
        <w:pStyle w:val="TM3"/>
        <w:rPr>
          <w:rFonts w:eastAsiaTheme="minorEastAsia" w:cstheme="minorBidi"/>
          <w:noProof/>
        </w:rPr>
      </w:pPr>
      <w:hyperlink w:anchor="_Toc74557631" w:history="1">
        <w:r w:rsidR="007F1AC5" w:rsidRPr="001C5F87">
          <w:rPr>
            <w:rStyle w:val="Lienhypertexte"/>
            <w:noProof/>
          </w:rPr>
          <w:t>V.2.4 Investissements « hors balise » : Demandes</w:t>
        </w:r>
        <w:r w:rsidR="007F1AC5">
          <w:rPr>
            <w:noProof/>
            <w:webHidden/>
          </w:rPr>
          <w:tab/>
        </w:r>
        <w:r w:rsidR="00EF7F4D">
          <w:rPr>
            <w:noProof/>
            <w:webHidden/>
          </w:rPr>
          <w:t>60</w:t>
        </w:r>
      </w:hyperlink>
    </w:p>
    <w:p w14:paraId="598E8E19" w14:textId="6768972B" w:rsidR="007F1AC5" w:rsidRDefault="00BE462A">
      <w:pPr>
        <w:pStyle w:val="TM4"/>
        <w:rPr>
          <w:rFonts w:eastAsiaTheme="minorEastAsia" w:cstheme="minorBidi"/>
          <w:noProof/>
          <w:sz w:val="22"/>
          <w:szCs w:val="22"/>
        </w:rPr>
      </w:pPr>
      <w:hyperlink w:anchor="_Toc74557632"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Généralités</w:t>
        </w:r>
        <w:r w:rsidR="007F1AC5">
          <w:rPr>
            <w:noProof/>
            <w:webHidden/>
          </w:rPr>
          <w:tab/>
        </w:r>
        <w:r w:rsidR="00EF7F4D">
          <w:rPr>
            <w:noProof/>
            <w:webHidden/>
          </w:rPr>
          <w:t>60</w:t>
        </w:r>
      </w:hyperlink>
    </w:p>
    <w:p w14:paraId="4CEE349D" w14:textId="12D83A07" w:rsidR="007F1AC5" w:rsidRDefault="00BE462A">
      <w:pPr>
        <w:pStyle w:val="TM4"/>
        <w:rPr>
          <w:rFonts w:eastAsiaTheme="minorEastAsia" w:cstheme="minorBidi"/>
          <w:noProof/>
          <w:sz w:val="22"/>
          <w:szCs w:val="22"/>
        </w:rPr>
      </w:pPr>
      <w:hyperlink w:anchor="_Toc74557633"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Demandes de mise hors balise</w:t>
        </w:r>
        <w:r w:rsidR="007F1AC5">
          <w:rPr>
            <w:noProof/>
            <w:webHidden/>
          </w:rPr>
          <w:tab/>
        </w:r>
        <w:r w:rsidR="00EF7F4D">
          <w:rPr>
            <w:noProof/>
            <w:webHidden/>
          </w:rPr>
          <w:t>61</w:t>
        </w:r>
      </w:hyperlink>
    </w:p>
    <w:p w14:paraId="69655B93" w14:textId="501000D6" w:rsidR="007F1AC5" w:rsidRDefault="00BE462A">
      <w:pPr>
        <w:pStyle w:val="TM5"/>
        <w:rPr>
          <w:rFonts w:eastAsiaTheme="minorEastAsia" w:cstheme="minorBidi"/>
          <w:noProof/>
          <w:sz w:val="22"/>
          <w:szCs w:val="22"/>
        </w:rPr>
      </w:pPr>
      <w:hyperlink w:anchor="_Toc74557634" w:history="1">
        <w:r w:rsidR="007F1AC5" w:rsidRPr="001C5F87">
          <w:rPr>
            <w:rStyle w:val="Lienhypertexte"/>
            <w:noProof/>
          </w:rPr>
          <w:t>a) Productifs</w:t>
        </w:r>
        <w:r w:rsidR="007F1AC5">
          <w:rPr>
            <w:noProof/>
            <w:webHidden/>
          </w:rPr>
          <w:tab/>
        </w:r>
        <w:r w:rsidR="00EF7F4D">
          <w:rPr>
            <w:noProof/>
            <w:webHidden/>
          </w:rPr>
          <w:t>61</w:t>
        </w:r>
      </w:hyperlink>
    </w:p>
    <w:p w14:paraId="70770FDC" w14:textId="4E0F544C" w:rsidR="007F1AC5" w:rsidRDefault="00BE462A">
      <w:pPr>
        <w:pStyle w:val="TM5"/>
        <w:rPr>
          <w:rFonts w:eastAsiaTheme="minorEastAsia" w:cstheme="minorBidi"/>
          <w:noProof/>
          <w:sz w:val="22"/>
          <w:szCs w:val="22"/>
        </w:rPr>
      </w:pPr>
      <w:hyperlink w:anchor="_Toc74557635" w:history="1">
        <w:r w:rsidR="007F1AC5" w:rsidRPr="001C5F87">
          <w:rPr>
            <w:rStyle w:val="Lienhypertexte"/>
            <w:noProof/>
          </w:rPr>
          <w:t>b) Rentables</w:t>
        </w:r>
        <w:r w:rsidR="007F1AC5">
          <w:rPr>
            <w:noProof/>
            <w:webHidden/>
          </w:rPr>
          <w:tab/>
        </w:r>
        <w:r w:rsidR="00EF7F4D">
          <w:rPr>
            <w:noProof/>
            <w:webHidden/>
          </w:rPr>
          <w:t>61</w:t>
        </w:r>
      </w:hyperlink>
    </w:p>
    <w:p w14:paraId="22A8559F" w14:textId="67CC7BA2" w:rsidR="007F1AC5" w:rsidRDefault="00BE462A">
      <w:pPr>
        <w:pStyle w:val="TM5"/>
        <w:rPr>
          <w:rFonts w:eastAsiaTheme="minorEastAsia" w:cstheme="minorBidi"/>
          <w:noProof/>
          <w:sz w:val="22"/>
          <w:szCs w:val="22"/>
        </w:rPr>
      </w:pPr>
      <w:hyperlink w:anchor="_Toc74557636" w:history="1">
        <w:r w:rsidR="007F1AC5" w:rsidRPr="001C5F87">
          <w:rPr>
            <w:rStyle w:val="Lienhypertexte"/>
            <w:noProof/>
          </w:rPr>
          <w:t>c) Mise en conformité aux normes de sécurité et d’hygiène</w:t>
        </w:r>
        <w:r w:rsidR="007F1AC5">
          <w:rPr>
            <w:noProof/>
            <w:webHidden/>
          </w:rPr>
          <w:tab/>
        </w:r>
        <w:r w:rsidR="00EF7F4D">
          <w:rPr>
            <w:noProof/>
            <w:webHidden/>
          </w:rPr>
          <w:t>61</w:t>
        </w:r>
      </w:hyperlink>
    </w:p>
    <w:p w14:paraId="2EE9816A" w14:textId="33CBC16B" w:rsidR="007F1AC5" w:rsidRDefault="00BE462A">
      <w:pPr>
        <w:pStyle w:val="TM5"/>
        <w:rPr>
          <w:rFonts w:eastAsiaTheme="minorEastAsia" w:cstheme="minorBidi"/>
          <w:noProof/>
          <w:sz w:val="22"/>
          <w:szCs w:val="22"/>
        </w:rPr>
      </w:pPr>
      <w:hyperlink w:anchor="_Toc74557637" w:history="1">
        <w:r w:rsidR="007F1AC5" w:rsidRPr="001C5F87">
          <w:rPr>
            <w:rStyle w:val="Lienhypertexte"/>
            <w:noProof/>
          </w:rPr>
          <w:t>d) Verdissement de la flotte locale</w:t>
        </w:r>
        <w:r w:rsidR="007F1AC5">
          <w:rPr>
            <w:noProof/>
            <w:webHidden/>
          </w:rPr>
          <w:tab/>
        </w:r>
        <w:r w:rsidR="00EF7F4D">
          <w:rPr>
            <w:noProof/>
            <w:webHidden/>
          </w:rPr>
          <w:t>61</w:t>
        </w:r>
      </w:hyperlink>
    </w:p>
    <w:p w14:paraId="4F169261" w14:textId="78FCDA89" w:rsidR="007F1AC5" w:rsidRDefault="00BE462A">
      <w:pPr>
        <w:pStyle w:val="TM5"/>
        <w:rPr>
          <w:rFonts w:eastAsiaTheme="minorEastAsia" w:cstheme="minorBidi"/>
          <w:noProof/>
          <w:sz w:val="22"/>
          <w:szCs w:val="22"/>
        </w:rPr>
      </w:pPr>
      <w:hyperlink w:anchor="_Toc74557638" w:history="1">
        <w:r w:rsidR="007F1AC5" w:rsidRPr="001C5F87">
          <w:rPr>
            <w:rStyle w:val="Lienhypertexte"/>
            <w:noProof/>
          </w:rPr>
          <w:t>e) Investissements liés à la mobilité douce (aménagements de trottoirs, pistes cyclables, sécurité routière)</w:t>
        </w:r>
        <w:r w:rsidR="007F1AC5">
          <w:rPr>
            <w:noProof/>
            <w:webHidden/>
          </w:rPr>
          <w:tab/>
        </w:r>
        <w:r w:rsidR="00EF7F4D">
          <w:rPr>
            <w:noProof/>
            <w:webHidden/>
          </w:rPr>
          <w:t>61</w:t>
        </w:r>
      </w:hyperlink>
    </w:p>
    <w:p w14:paraId="2FFA6908" w14:textId="190DEE43" w:rsidR="007F1AC5" w:rsidRDefault="00BE462A">
      <w:pPr>
        <w:pStyle w:val="TM5"/>
        <w:rPr>
          <w:rFonts w:eastAsiaTheme="minorEastAsia" w:cstheme="minorBidi"/>
          <w:noProof/>
          <w:sz w:val="22"/>
          <w:szCs w:val="22"/>
        </w:rPr>
      </w:pPr>
      <w:hyperlink w:anchor="_Toc74557639" w:history="1">
        <w:r w:rsidR="007F1AC5" w:rsidRPr="001C5F87">
          <w:rPr>
            <w:rStyle w:val="Lienhypertexte"/>
            <w:noProof/>
          </w:rPr>
          <w:t>f) Verdurisation (espaces verts, agriculture urbaine, vergers urbains, verdurisation des cours d’école, etc.)</w:t>
        </w:r>
        <w:r w:rsidR="007F1AC5">
          <w:rPr>
            <w:noProof/>
            <w:webHidden/>
          </w:rPr>
          <w:tab/>
        </w:r>
        <w:r w:rsidR="00EF7F4D">
          <w:rPr>
            <w:noProof/>
            <w:webHidden/>
          </w:rPr>
          <w:t>62</w:t>
        </w:r>
      </w:hyperlink>
    </w:p>
    <w:p w14:paraId="349C30EC" w14:textId="35150FA2" w:rsidR="007F1AC5" w:rsidRDefault="00BE462A">
      <w:pPr>
        <w:pStyle w:val="TM5"/>
        <w:rPr>
          <w:rFonts w:eastAsiaTheme="minorEastAsia" w:cstheme="minorBidi"/>
          <w:noProof/>
          <w:sz w:val="22"/>
          <w:szCs w:val="22"/>
        </w:rPr>
      </w:pPr>
      <w:hyperlink w:anchor="_Toc74557640" w:history="1">
        <w:r w:rsidR="007F1AC5" w:rsidRPr="001C5F87">
          <w:rPr>
            <w:rStyle w:val="Lienhypertexte"/>
            <w:noProof/>
          </w:rPr>
          <w:t>g) Part prise en charge sur fonds propres dans la construction ou la rénovation de bâtiments scolaires.</w:t>
        </w:r>
        <w:r w:rsidR="007F1AC5">
          <w:rPr>
            <w:noProof/>
            <w:webHidden/>
          </w:rPr>
          <w:tab/>
        </w:r>
        <w:r w:rsidR="00EF7F4D">
          <w:rPr>
            <w:noProof/>
            <w:webHidden/>
          </w:rPr>
          <w:t>62</w:t>
        </w:r>
      </w:hyperlink>
    </w:p>
    <w:p w14:paraId="670D9F7B" w14:textId="1ED6C514" w:rsidR="007F1AC5" w:rsidRDefault="00BE462A">
      <w:pPr>
        <w:pStyle w:val="TM5"/>
        <w:rPr>
          <w:rFonts w:eastAsiaTheme="minorEastAsia" w:cstheme="minorBidi"/>
          <w:noProof/>
          <w:sz w:val="22"/>
          <w:szCs w:val="22"/>
        </w:rPr>
      </w:pPr>
      <w:hyperlink w:anchor="_Toc74557641" w:history="1">
        <w:r w:rsidR="007F1AC5" w:rsidRPr="001C5F87">
          <w:rPr>
            <w:rStyle w:val="Lienhypertexte"/>
            <w:noProof/>
          </w:rPr>
          <w:t>h) Investissements sanitaires</w:t>
        </w:r>
        <w:r w:rsidR="007F1AC5">
          <w:rPr>
            <w:noProof/>
            <w:webHidden/>
          </w:rPr>
          <w:tab/>
        </w:r>
        <w:r w:rsidR="00EF7F4D">
          <w:rPr>
            <w:noProof/>
            <w:webHidden/>
          </w:rPr>
          <w:t>62</w:t>
        </w:r>
      </w:hyperlink>
    </w:p>
    <w:p w14:paraId="343CFA1A" w14:textId="3DE375E1" w:rsidR="007F1AC5" w:rsidRDefault="00BE462A">
      <w:pPr>
        <w:pStyle w:val="TM3"/>
        <w:rPr>
          <w:rFonts w:eastAsiaTheme="minorEastAsia" w:cstheme="minorBidi"/>
          <w:noProof/>
        </w:rPr>
      </w:pPr>
      <w:hyperlink w:anchor="_Toc74557643" w:history="1">
        <w:r w:rsidR="007F1AC5" w:rsidRPr="001C5F87">
          <w:rPr>
            <w:rStyle w:val="Lienhypertexte"/>
            <w:noProof/>
          </w:rPr>
          <w:t>V.2.5 Les investissements « hors balise » : réintroduction d’une nouvelle demande</w:t>
        </w:r>
        <w:r w:rsidR="007F1AC5">
          <w:rPr>
            <w:noProof/>
            <w:webHidden/>
          </w:rPr>
          <w:tab/>
        </w:r>
        <w:r w:rsidR="00EF7F4D">
          <w:rPr>
            <w:noProof/>
            <w:webHidden/>
          </w:rPr>
          <w:t>62</w:t>
        </w:r>
      </w:hyperlink>
    </w:p>
    <w:p w14:paraId="22538393" w14:textId="0EC7FD7F" w:rsidR="007F1AC5" w:rsidRDefault="00BE462A">
      <w:pPr>
        <w:pStyle w:val="TM3"/>
        <w:rPr>
          <w:rFonts w:eastAsiaTheme="minorEastAsia" w:cstheme="minorBidi"/>
          <w:noProof/>
        </w:rPr>
      </w:pPr>
      <w:hyperlink w:anchor="_Toc74557644" w:history="1">
        <w:r w:rsidR="007F1AC5" w:rsidRPr="001C5F87">
          <w:rPr>
            <w:rStyle w:val="Lienhypertexte"/>
            <w:noProof/>
          </w:rPr>
          <w:t xml:space="preserve">V.2.6 Tableaux </w:t>
        </w:r>
        <w:r w:rsidR="006C5698">
          <w:rPr>
            <w:rStyle w:val="Lienhypertexte"/>
            <w:noProof/>
          </w:rPr>
          <w:t xml:space="preserve">et annexe </w:t>
        </w:r>
        <w:r w:rsidR="007F1AC5" w:rsidRPr="001C5F87">
          <w:rPr>
            <w:rStyle w:val="Lienhypertexte"/>
            <w:noProof/>
          </w:rPr>
          <w:t>à joindre au budget et aux modifications budgétaires</w:t>
        </w:r>
        <w:r w:rsidR="007F1AC5">
          <w:rPr>
            <w:noProof/>
            <w:webHidden/>
          </w:rPr>
          <w:tab/>
        </w:r>
        <w:r w:rsidR="00EF7F4D">
          <w:rPr>
            <w:noProof/>
            <w:webHidden/>
          </w:rPr>
          <w:t>62</w:t>
        </w:r>
      </w:hyperlink>
    </w:p>
    <w:p w14:paraId="78EB66DB" w14:textId="6FB764A3" w:rsidR="007F1AC5" w:rsidRDefault="00BE462A">
      <w:pPr>
        <w:pStyle w:val="TM2"/>
        <w:tabs>
          <w:tab w:val="left" w:pos="1701"/>
          <w:tab w:val="right" w:leader="underscore" w:pos="9062"/>
        </w:tabs>
        <w:rPr>
          <w:rFonts w:eastAsiaTheme="minorEastAsia" w:cstheme="minorBidi"/>
          <w:b w:val="0"/>
          <w:bCs w:val="0"/>
          <w:noProof/>
        </w:rPr>
      </w:pPr>
      <w:hyperlink w:anchor="_Toc74557645" w:history="1">
        <w:r w:rsidR="007F1AC5" w:rsidRPr="001C5F87">
          <w:rPr>
            <w:rStyle w:val="Lienhypertexte"/>
            <w:noProof/>
          </w:rPr>
          <w:t>V.3.</w:t>
        </w:r>
        <w:r w:rsidR="007F1AC5">
          <w:rPr>
            <w:rFonts w:eastAsiaTheme="minorEastAsia" w:cstheme="minorBidi"/>
            <w:b w:val="0"/>
            <w:bCs w:val="0"/>
            <w:noProof/>
          </w:rPr>
          <w:tab/>
        </w:r>
        <w:r w:rsidR="007F1AC5" w:rsidRPr="001C5F87">
          <w:rPr>
            <w:rStyle w:val="Lienhypertexte"/>
            <w:noProof/>
          </w:rPr>
          <w:t>Petites dépenses d’investissement : comptabilisation</w:t>
        </w:r>
        <w:r w:rsidR="007F1AC5">
          <w:rPr>
            <w:noProof/>
            <w:webHidden/>
          </w:rPr>
          <w:tab/>
        </w:r>
        <w:r w:rsidR="00EF7F4D">
          <w:rPr>
            <w:noProof/>
            <w:webHidden/>
          </w:rPr>
          <w:t>63</w:t>
        </w:r>
      </w:hyperlink>
    </w:p>
    <w:p w14:paraId="79D5D232" w14:textId="3B6791A6" w:rsidR="007F1AC5" w:rsidRDefault="00BE462A">
      <w:pPr>
        <w:pStyle w:val="TM2"/>
        <w:tabs>
          <w:tab w:val="left" w:pos="1701"/>
          <w:tab w:val="right" w:leader="underscore" w:pos="9062"/>
        </w:tabs>
        <w:rPr>
          <w:rFonts w:eastAsiaTheme="minorEastAsia" w:cstheme="minorBidi"/>
          <w:b w:val="0"/>
          <w:bCs w:val="0"/>
          <w:noProof/>
        </w:rPr>
      </w:pPr>
      <w:hyperlink w:anchor="_Toc74557646" w:history="1">
        <w:r w:rsidR="007F1AC5" w:rsidRPr="001C5F87">
          <w:rPr>
            <w:rStyle w:val="Lienhypertexte"/>
            <w:noProof/>
          </w:rPr>
          <w:t>V.4.</w:t>
        </w:r>
        <w:r w:rsidR="007F1AC5">
          <w:rPr>
            <w:rFonts w:eastAsiaTheme="minorEastAsia" w:cstheme="minorBidi"/>
            <w:b w:val="0"/>
            <w:bCs w:val="0"/>
            <w:noProof/>
          </w:rPr>
          <w:tab/>
        </w:r>
        <w:r w:rsidR="007F1AC5" w:rsidRPr="001C5F87">
          <w:rPr>
            <w:rStyle w:val="Lienhypertexte"/>
            <w:noProof/>
          </w:rPr>
          <w:t>Délégation</w:t>
        </w:r>
        <w:r w:rsidR="007F1AC5">
          <w:rPr>
            <w:noProof/>
            <w:webHidden/>
          </w:rPr>
          <w:tab/>
        </w:r>
        <w:r w:rsidR="00EF7F4D">
          <w:rPr>
            <w:noProof/>
            <w:webHidden/>
          </w:rPr>
          <w:t>63</w:t>
        </w:r>
      </w:hyperlink>
    </w:p>
    <w:p w14:paraId="1AEDC512" w14:textId="355250B2" w:rsidR="007F1AC5" w:rsidRDefault="00BE462A">
      <w:pPr>
        <w:pStyle w:val="TM2"/>
        <w:tabs>
          <w:tab w:val="left" w:pos="1701"/>
          <w:tab w:val="right" w:leader="underscore" w:pos="9062"/>
        </w:tabs>
        <w:rPr>
          <w:rFonts w:eastAsiaTheme="minorEastAsia" w:cstheme="minorBidi"/>
          <w:b w:val="0"/>
          <w:bCs w:val="0"/>
          <w:noProof/>
        </w:rPr>
      </w:pPr>
      <w:hyperlink w:anchor="_Toc74557647" w:history="1">
        <w:r w:rsidR="007F1AC5" w:rsidRPr="001C5F87">
          <w:rPr>
            <w:rStyle w:val="Lienhypertexte"/>
            <w:noProof/>
          </w:rPr>
          <w:t>V.5.</w:t>
        </w:r>
        <w:r w:rsidR="007F1AC5">
          <w:rPr>
            <w:rFonts w:eastAsiaTheme="minorEastAsia" w:cstheme="minorBidi"/>
            <w:b w:val="0"/>
            <w:bCs w:val="0"/>
            <w:noProof/>
          </w:rPr>
          <w:tab/>
        </w:r>
        <w:r w:rsidR="007F1AC5" w:rsidRPr="001C5F87">
          <w:rPr>
            <w:rStyle w:val="Lienhypertexte"/>
            <w:noProof/>
          </w:rPr>
          <w:t>Travaux subsidiés</w:t>
        </w:r>
        <w:r w:rsidR="007F1AC5">
          <w:rPr>
            <w:noProof/>
            <w:webHidden/>
          </w:rPr>
          <w:tab/>
        </w:r>
        <w:r w:rsidR="00EF7F4D">
          <w:rPr>
            <w:noProof/>
            <w:webHidden/>
          </w:rPr>
          <w:t>63</w:t>
        </w:r>
      </w:hyperlink>
    </w:p>
    <w:p w14:paraId="2EAE1596" w14:textId="77088202" w:rsidR="007F1AC5" w:rsidRDefault="00BE462A">
      <w:pPr>
        <w:pStyle w:val="TM2"/>
        <w:tabs>
          <w:tab w:val="left" w:pos="1701"/>
          <w:tab w:val="right" w:leader="underscore" w:pos="9062"/>
        </w:tabs>
        <w:rPr>
          <w:rFonts w:eastAsiaTheme="minorEastAsia" w:cstheme="minorBidi"/>
          <w:b w:val="0"/>
          <w:bCs w:val="0"/>
          <w:noProof/>
        </w:rPr>
      </w:pPr>
      <w:hyperlink w:anchor="_Toc74557648" w:history="1">
        <w:r w:rsidR="007F1AC5" w:rsidRPr="001C5F87">
          <w:rPr>
            <w:rStyle w:val="Lienhypertexte"/>
            <w:noProof/>
          </w:rPr>
          <w:t>V.6.</w:t>
        </w:r>
        <w:r w:rsidR="007F1AC5">
          <w:rPr>
            <w:rFonts w:eastAsiaTheme="minorEastAsia" w:cstheme="minorBidi"/>
            <w:b w:val="0"/>
            <w:bCs w:val="0"/>
            <w:noProof/>
          </w:rPr>
          <w:tab/>
        </w:r>
        <w:r w:rsidR="007F1AC5" w:rsidRPr="001C5F87">
          <w:rPr>
            <w:rStyle w:val="Lienhypertexte"/>
            <w:noProof/>
          </w:rPr>
          <w:t>Boni des exercices antérieurs</w:t>
        </w:r>
        <w:r w:rsidR="007F1AC5">
          <w:rPr>
            <w:noProof/>
            <w:webHidden/>
          </w:rPr>
          <w:tab/>
        </w:r>
        <w:r w:rsidR="00EF7F4D">
          <w:rPr>
            <w:noProof/>
            <w:webHidden/>
          </w:rPr>
          <w:t>63</w:t>
        </w:r>
      </w:hyperlink>
    </w:p>
    <w:p w14:paraId="677EF15C" w14:textId="3EF846DB" w:rsidR="007F1AC5" w:rsidRDefault="00BE462A">
      <w:pPr>
        <w:pStyle w:val="TM2"/>
        <w:tabs>
          <w:tab w:val="left" w:pos="1701"/>
          <w:tab w:val="right" w:leader="underscore" w:pos="9062"/>
        </w:tabs>
        <w:rPr>
          <w:rFonts w:eastAsiaTheme="minorEastAsia" w:cstheme="minorBidi"/>
          <w:b w:val="0"/>
          <w:bCs w:val="0"/>
          <w:noProof/>
        </w:rPr>
      </w:pPr>
      <w:hyperlink w:anchor="_Toc74557649" w:history="1">
        <w:r w:rsidR="007F1AC5" w:rsidRPr="001C5F87">
          <w:rPr>
            <w:rStyle w:val="Lienhypertexte"/>
            <w:noProof/>
          </w:rPr>
          <w:t>V.7.</w:t>
        </w:r>
        <w:r w:rsidR="007F1AC5">
          <w:rPr>
            <w:rFonts w:eastAsiaTheme="minorEastAsia" w:cstheme="minorBidi"/>
            <w:b w:val="0"/>
            <w:bCs w:val="0"/>
            <w:noProof/>
          </w:rPr>
          <w:tab/>
        </w:r>
        <w:r w:rsidR="007F1AC5" w:rsidRPr="001C5F87">
          <w:rPr>
            <w:rStyle w:val="Lienhypertexte"/>
            <w:noProof/>
          </w:rPr>
          <w:t>Réserves extraordinaires</w:t>
        </w:r>
        <w:r w:rsidR="007F1AC5">
          <w:rPr>
            <w:noProof/>
            <w:webHidden/>
          </w:rPr>
          <w:tab/>
        </w:r>
        <w:r w:rsidR="00EF7F4D">
          <w:rPr>
            <w:noProof/>
            <w:webHidden/>
          </w:rPr>
          <w:t>64</w:t>
        </w:r>
      </w:hyperlink>
    </w:p>
    <w:p w14:paraId="0BFE3669" w14:textId="38B67F2D" w:rsidR="007F1AC5" w:rsidRDefault="00BE462A">
      <w:pPr>
        <w:pStyle w:val="TM2"/>
        <w:tabs>
          <w:tab w:val="left" w:pos="1701"/>
          <w:tab w:val="right" w:leader="underscore" w:pos="9062"/>
        </w:tabs>
        <w:rPr>
          <w:rFonts w:eastAsiaTheme="minorEastAsia" w:cstheme="minorBidi"/>
          <w:b w:val="0"/>
          <w:bCs w:val="0"/>
          <w:noProof/>
        </w:rPr>
      </w:pPr>
      <w:hyperlink w:anchor="_Toc74557650" w:history="1">
        <w:r w:rsidR="007F1AC5" w:rsidRPr="001C5F87">
          <w:rPr>
            <w:rStyle w:val="Lienhypertexte"/>
            <w:noProof/>
          </w:rPr>
          <w:t>V.8.</w:t>
        </w:r>
        <w:r w:rsidR="007F1AC5">
          <w:rPr>
            <w:rFonts w:eastAsiaTheme="minorEastAsia" w:cstheme="minorBidi"/>
            <w:b w:val="0"/>
            <w:bCs w:val="0"/>
            <w:noProof/>
          </w:rPr>
          <w:tab/>
        </w:r>
        <w:r w:rsidR="007F1AC5" w:rsidRPr="001C5F87">
          <w:rPr>
            <w:rStyle w:val="Lienhypertexte"/>
            <w:noProof/>
          </w:rPr>
          <w:t>Marchés publics</w:t>
        </w:r>
        <w:r w:rsidR="007F1AC5">
          <w:rPr>
            <w:noProof/>
            <w:webHidden/>
          </w:rPr>
          <w:tab/>
        </w:r>
        <w:r w:rsidR="00EF7F4D">
          <w:rPr>
            <w:noProof/>
            <w:webHidden/>
          </w:rPr>
          <w:t>64</w:t>
        </w:r>
      </w:hyperlink>
    </w:p>
    <w:p w14:paraId="327A0168" w14:textId="0898209D" w:rsidR="007F1AC5" w:rsidRDefault="00BE462A">
      <w:pPr>
        <w:pStyle w:val="TM2"/>
        <w:tabs>
          <w:tab w:val="left" w:pos="1701"/>
          <w:tab w:val="right" w:leader="underscore" w:pos="9062"/>
        </w:tabs>
        <w:rPr>
          <w:rFonts w:eastAsiaTheme="minorEastAsia" w:cstheme="minorBidi"/>
          <w:b w:val="0"/>
          <w:bCs w:val="0"/>
          <w:noProof/>
        </w:rPr>
      </w:pPr>
      <w:hyperlink w:anchor="_Toc74557651" w:history="1">
        <w:r w:rsidR="007F1AC5" w:rsidRPr="001C5F87">
          <w:rPr>
            <w:rStyle w:val="Lienhypertexte"/>
            <w:noProof/>
          </w:rPr>
          <w:t>V.9.</w:t>
        </w:r>
        <w:r w:rsidR="007F1AC5">
          <w:rPr>
            <w:rFonts w:eastAsiaTheme="minorEastAsia" w:cstheme="minorBidi"/>
            <w:b w:val="0"/>
            <w:bCs w:val="0"/>
            <w:noProof/>
          </w:rPr>
          <w:tab/>
        </w:r>
        <w:r w:rsidR="007F1AC5" w:rsidRPr="001C5F87">
          <w:rPr>
            <w:rStyle w:val="Lienhypertexte"/>
            <w:noProof/>
          </w:rPr>
          <w:t>Investissement par leasing</w:t>
        </w:r>
        <w:r w:rsidR="007F1AC5">
          <w:rPr>
            <w:noProof/>
            <w:webHidden/>
          </w:rPr>
          <w:tab/>
        </w:r>
        <w:r w:rsidR="00EF7F4D">
          <w:rPr>
            <w:noProof/>
            <w:webHidden/>
          </w:rPr>
          <w:t>66</w:t>
        </w:r>
      </w:hyperlink>
    </w:p>
    <w:p w14:paraId="0D94D384" w14:textId="61AE8EEA" w:rsidR="007F1AC5" w:rsidRDefault="00BE462A">
      <w:pPr>
        <w:pStyle w:val="TM2"/>
        <w:tabs>
          <w:tab w:val="left" w:pos="1701"/>
          <w:tab w:val="right" w:leader="underscore" w:pos="9062"/>
        </w:tabs>
        <w:rPr>
          <w:rFonts w:eastAsiaTheme="minorEastAsia" w:cstheme="minorBidi"/>
          <w:b w:val="0"/>
          <w:bCs w:val="0"/>
          <w:noProof/>
        </w:rPr>
      </w:pPr>
      <w:hyperlink w:anchor="_Toc74557652" w:history="1">
        <w:r w:rsidR="007F1AC5" w:rsidRPr="001C5F87">
          <w:rPr>
            <w:rStyle w:val="Lienhypertexte"/>
            <w:noProof/>
          </w:rPr>
          <w:t>V.10.</w:t>
        </w:r>
        <w:r w:rsidR="007F1AC5">
          <w:rPr>
            <w:rFonts w:eastAsiaTheme="minorEastAsia" w:cstheme="minorBidi"/>
            <w:b w:val="0"/>
            <w:bCs w:val="0"/>
            <w:noProof/>
          </w:rPr>
          <w:tab/>
        </w:r>
        <w:r w:rsidR="007F1AC5" w:rsidRPr="001C5F87">
          <w:rPr>
            <w:rStyle w:val="Lienhypertexte"/>
            <w:noProof/>
          </w:rPr>
          <w:t>Achat et vente de biens immobiliers</w:t>
        </w:r>
        <w:r w:rsidR="007F1AC5">
          <w:rPr>
            <w:noProof/>
            <w:webHidden/>
          </w:rPr>
          <w:tab/>
        </w:r>
        <w:r w:rsidR="00EF7F4D">
          <w:rPr>
            <w:noProof/>
            <w:webHidden/>
          </w:rPr>
          <w:t>66</w:t>
        </w:r>
      </w:hyperlink>
    </w:p>
    <w:p w14:paraId="2183358A" w14:textId="09C63A28" w:rsidR="007F1AC5" w:rsidRDefault="00BE462A">
      <w:pPr>
        <w:pStyle w:val="TM1"/>
        <w:rPr>
          <w:rFonts w:eastAsiaTheme="minorEastAsia" w:cstheme="minorBidi"/>
          <w:b w:val="0"/>
          <w:bCs w:val="0"/>
          <w:noProof/>
          <w:sz w:val="22"/>
          <w:szCs w:val="22"/>
        </w:rPr>
      </w:pPr>
      <w:hyperlink w:anchor="_Toc74557653" w:history="1">
        <w:r w:rsidR="007F1AC5" w:rsidRPr="001C5F87">
          <w:rPr>
            <w:rStyle w:val="Lienhypertexte"/>
            <w:noProof/>
          </w:rPr>
          <w:t>VI.</w:t>
        </w:r>
        <w:r w:rsidR="007F1AC5">
          <w:rPr>
            <w:rFonts w:eastAsiaTheme="minorEastAsia" w:cstheme="minorBidi"/>
            <w:b w:val="0"/>
            <w:bCs w:val="0"/>
            <w:noProof/>
            <w:sz w:val="22"/>
            <w:szCs w:val="22"/>
          </w:rPr>
          <w:tab/>
        </w:r>
        <w:r w:rsidR="007F1AC5" w:rsidRPr="001C5F87">
          <w:rPr>
            <w:rStyle w:val="Lienhypertexte"/>
            <w:noProof/>
          </w:rPr>
          <w:t>Fiscalité communale : recommandations générales</w:t>
        </w:r>
        <w:r w:rsidR="007F1AC5">
          <w:rPr>
            <w:noProof/>
            <w:webHidden/>
          </w:rPr>
          <w:tab/>
        </w:r>
        <w:r w:rsidR="00EF7F4D">
          <w:rPr>
            <w:noProof/>
            <w:webHidden/>
          </w:rPr>
          <w:t>67</w:t>
        </w:r>
      </w:hyperlink>
    </w:p>
    <w:p w14:paraId="41A9A6A8" w14:textId="62FB4312" w:rsidR="007F1AC5" w:rsidRDefault="00BE462A">
      <w:pPr>
        <w:pStyle w:val="TM2"/>
        <w:tabs>
          <w:tab w:val="left" w:pos="1701"/>
          <w:tab w:val="right" w:leader="underscore" w:pos="9062"/>
        </w:tabs>
        <w:rPr>
          <w:rFonts w:eastAsiaTheme="minorEastAsia" w:cstheme="minorBidi"/>
          <w:b w:val="0"/>
          <w:bCs w:val="0"/>
          <w:noProof/>
        </w:rPr>
      </w:pPr>
      <w:hyperlink w:anchor="_Toc74557654" w:history="1">
        <w:r w:rsidR="007F1AC5" w:rsidRPr="001C5F87">
          <w:rPr>
            <w:rStyle w:val="Lienhypertexte"/>
            <w:noProof/>
          </w:rPr>
          <w:t>VI.1.</w:t>
        </w:r>
        <w:r w:rsidR="007F1AC5">
          <w:rPr>
            <w:rFonts w:eastAsiaTheme="minorEastAsia" w:cstheme="minorBidi"/>
            <w:b w:val="0"/>
            <w:bCs w:val="0"/>
            <w:noProof/>
          </w:rPr>
          <w:tab/>
        </w:r>
        <w:r w:rsidR="007F1AC5" w:rsidRPr="001C5F87">
          <w:rPr>
            <w:rStyle w:val="Lienhypertexte"/>
            <w:noProof/>
          </w:rPr>
          <w:t>Introduction</w:t>
        </w:r>
        <w:r w:rsidR="007F1AC5">
          <w:rPr>
            <w:noProof/>
            <w:webHidden/>
          </w:rPr>
          <w:tab/>
        </w:r>
        <w:r w:rsidR="00EF7F4D">
          <w:rPr>
            <w:noProof/>
            <w:webHidden/>
          </w:rPr>
          <w:t>67</w:t>
        </w:r>
      </w:hyperlink>
    </w:p>
    <w:p w14:paraId="246B455D" w14:textId="30E34525" w:rsidR="007F1AC5" w:rsidRDefault="00BE462A">
      <w:pPr>
        <w:pStyle w:val="TM2"/>
        <w:tabs>
          <w:tab w:val="left" w:pos="1701"/>
          <w:tab w:val="right" w:leader="underscore" w:pos="9062"/>
        </w:tabs>
        <w:rPr>
          <w:rFonts w:eastAsiaTheme="minorEastAsia" w:cstheme="minorBidi"/>
          <w:b w:val="0"/>
          <w:bCs w:val="0"/>
          <w:noProof/>
        </w:rPr>
      </w:pPr>
      <w:hyperlink w:anchor="_Toc74557655" w:history="1">
        <w:r w:rsidR="007F1AC5" w:rsidRPr="001C5F87">
          <w:rPr>
            <w:rStyle w:val="Lienhypertexte"/>
            <w:noProof/>
          </w:rPr>
          <w:t>VI.2.</w:t>
        </w:r>
        <w:r w:rsidR="007F1AC5">
          <w:rPr>
            <w:rFonts w:eastAsiaTheme="minorEastAsia" w:cstheme="minorBidi"/>
            <w:b w:val="0"/>
            <w:bCs w:val="0"/>
            <w:noProof/>
          </w:rPr>
          <w:tab/>
        </w:r>
        <w:r w:rsidR="007F1AC5" w:rsidRPr="001C5F87">
          <w:rPr>
            <w:rStyle w:val="Lienhypertexte"/>
            <w:noProof/>
          </w:rPr>
          <w:t>Définitions</w:t>
        </w:r>
        <w:r w:rsidR="007F1AC5">
          <w:rPr>
            <w:noProof/>
            <w:webHidden/>
          </w:rPr>
          <w:tab/>
        </w:r>
        <w:r w:rsidR="00EF7F4D">
          <w:rPr>
            <w:noProof/>
            <w:webHidden/>
          </w:rPr>
          <w:t>70</w:t>
        </w:r>
      </w:hyperlink>
    </w:p>
    <w:p w14:paraId="4250BB74" w14:textId="6F0BA86C" w:rsidR="007F1AC5" w:rsidRDefault="00BE462A">
      <w:pPr>
        <w:pStyle w:val="TM3"/>
        <w:rPr>
          <w:rFonts w:eastAsiaTheme="minorEastAsia" w:cstheme="minorBidi"/>
          <w:noProof/>
        </w:rPr>
      </w:pPr>
      <w:hyperlink w:anchor="_Toc74557656" w:history="1">
        <w:r w:rsidR="007F1AC5" w:rsidRPr="001C5F87">
          <w:rPr>
            <w:rStyle w:val="Lienhypertexte"/>
            <w:noProof/>
          </w:rPr>
          <w:t>VI.2.1 Impôt communal et redevance</w:t>
        </w:r>
        <w:r w:rsidR="007F1AC5">
          <w:rPr>
            <w:noProof/>
            <w:webHidden/>
          </w:rPr>
          <w:tab/>
        </w:r>
        <w:r w:rsidR="00EF7F4D">
          <w:rPr>
            <w:noProof/>
            <w:webHidden/>
          </w:rPr>
          <w:t>70</w:t>
        </w:r>
      </w:hyperlink>
    </w:p>
    <w:p w14:paraId="2E343399" w14:textId="6D5927A8" w:rsidR="007F1AC5" w:rsidRDefault="00BE462A">
      <w:pPr>
        <w:pStyle w:val="TM3"/>
        <w:rPr>
          <w:rFonts w:eastAsiaTheme="minorEastAsia" w:cstheme="minorBidi"/>
          <w:noProof/>
        </w:rPr>
      </w:pPr>
      <w:hyperlink w:anchor="_Toc74557657" w:history="1">
        <w:r w:rsidR="007F1AC5" w:rsidRPr="001C5F87">
          <w:rPr>
            <w:rStyle w:val="Lienhypertexte"/>
            <w:noProof/>
          </w:rPr>
          <w:t>VI.2.2 Intérêt de la distinction</w:t>
        </w:r>
        <w:r w:rsidR="007F1AC5">
          <w:rPr>
            <w:noProof/>
            <w:webHidden/>
          </w:rPr>
          <w:tab/>
        </w:r>
        <w:r w:rsidR="00EF7F4D">
          <w:rPr>
            <w:noProof/>
            <w:webHidden/>
          </w:rPr>
          <w:t>70</w:t>
        </w:r>
      </w:hyperlink>
    </w:p>
    <w:p w14:paraId="23AC41FC" w14:textId="1B443327" w:rsidR="007F1AC5" w:rsidRDefault="00BE462A">
      <w:pPr>
        <w:pStyle w:val="TM3"/>
        <w:rPr>
          <w:rFonts w:eastAsiaTheme="minorEastAsia" w:cstheme="minorBidi"/>
          <w:noProof/>
        </w:rPr>
      </w:pPr>
      <w:hyperlink w:anchor="_Toc74557658" w:history="1">
        <w:r w:rsidR="007F1AC5" w:rsidRPr="001C5F87">
          <w:rPr>
            <w:rStyle w:val="Lienhypertexte"/>
            <w:noProof/>
          </w:rPr>
          <w:t>VI.2.3 Les trois grandes catégories d’impôts communaux</w:t>
        </w:r>
        <w:r w:rsidR="007F1AC5">
          <w:rPr>
            <w:noProof/>
            <w:webHidden/>
          </w:rPr>
          <w:tab/>
        </w:r>
        <w:r w:rsidR="00EF7F4D">
          <w:rPr>
            <w:noProof/>
            <w:webHidden/>
          </w:rPr>
          <w:t>72</w:t>
        </w:r>
      </w:hyperlink>
    </w:p>
    <w:p w14:paraId="226C2C60" w14:textId="6C8A0CF8" w:rsidR="007F1AC5" w:rsidRDefault="00BE462A">
      <w:pPr>
        <w:pStyle w:val="TM4"/>
        <w:rPr>
          <w:rFonts w:eastAsiaTheme="minorEastAsia" w:cstheme="minorBidi"/>
          <w:noProof/>
          <w:sz w:val="22"/>
          <w:szCs w:val="22"/>
        </w:rPr>
      </w:pPr>
      <w:hyperlink w:anchor="_Toc74557659"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Impôt lié à l’impôt des personnes physiques</w:t>
        </w:r>
        <w:r w:rsidR="007F1AC5">
          <w:rPr>
            <w:noProof/>
            <w:webHidden/>
          </w:rPr>
          <w:tab/>
        </w:r>
        <w:r w:rsidR="00EF7F4D">
          <w:rPr>
            <w:noProof/>
            <w:webHidden/>
          </w:rPr>
          <w:t>72</w:t>
        </w:r>
      </w:hyperlink>
    </w:p>
    <w:p w14:paraId="2AEF31D2" w14:textId="1125D6E3" w:rsidR="007F1AC5" w:rsidRDefault="00BE462A">
      <w:pPr>
        <w:pStyle w:val="TM4"/>
        <w:rPr>
          <w:rFonts w:eastAsiaTheme="minorEastAsia" w:cstheme="minorBidi"/>
          <w:noProof/>
          <w:sz w:val="22"/>
          <w:szCs w:val="22"/>
        </w:rPr>
      </w:pPr>
      <w:hyperlink w:anchor="_Toc74557660"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Impôts liés à un impôt régional ou à une taxe régionales propres</w:t>
        </w:r>
        <w:r w:rsidR="007F1AC5">
          <w:rPr>
            <w:noProof/>
            <w:webHidden/>
          </w:rPr>
          <w:tab/>
        </w:r>
        <w:r w:rsidR="00EF7F4D">
          <w:rPr>
            <w:noProof/>
            <w:webHidden/>
          </w:rPr>
          <w:t>72</w:t>
        </w:r>
      </w:hyperlink>
    </w:p>
    <w:p w14:paraId="3557220D" w14:textId="2871FE81" w:rsidR="007F1AC5" w:rsidRDefault="00BE462A">
      <w:pPr>
        <w:pStyle w:val="TM4"/>
        <w:rPr>
          <w:rFonts w:eastAsiaTheme="minorEastAsia" w:cstheme="minorBidi"/>
          <w:noProof/>
          <w:sz w:val="22"/>
          <w:szCs w:val="22"/>
        </w:rPr>
      </w:pPr>
      <w:hyperlink w:anchor="_Toc74557661" w:history="1">
        <w:r w:rsidR="007F1AC5" w:rsidRPr="001C5F87">
          <w:rPr>
            <w:rStyle w:val="Lienhypertexte"/>
            <w:noProof/>
          </w:rPr>
          <w:t>3.</w:t>
        </w:r>
        <w:r w:rsidR="007F1AC5">
          <w:rPr>
            <w:rFonts w:eastAsiaTheme="minorEastAsia" w:cstheme="minorBidi"/>
            <w:noProof/>
            <w:sz w:val="22"/>
            <w:szCs w:val="22"/>
          </w:rPr>
          <w:tab/>
        </w:r>
        <w:r w:rsidR="007F1AC5" w:rsidRPr="001C5F87">
          <w:rPr>
            <w:rStyle w:val="Lienhypertexte"/>
            <w:noProof/>
          </w:rPr>
          <w:t>Les impôts purement communaux</w:t>
        </w:r>
        <w:r w:rsidR="007F1AC5">
          <w:rPr>
            <w:noProof/>
            <w:webHidden/>
          </w:rPr>
          <w:tab/>
        </w:r>
        <w:r w:rsidR="00EF7F4D">
          <w:rPr>
            <w:noProof/>
            <w:webHidden/>
          </w:rPr>
          <w:t>73</w:t>
        </w:r>
      </w:hyperlink>
    </w:p>
    <w:p w14:paraId="6AC2219D" w14:textId="21B6D5D0" w:rsidR="007F1AC5" w:rsidRDefault="00BE462A">
      <w:pPr>
        <w:pStyle w:val="TM3"/>
        <w:rPr>
          <w:rFonts w:eastAsiaTheme="minorEastAsia" w:cstheme="minorBidi"/>
          <w:noProof/>
        </w:rPr>
      </w:pPr>
      <w:hyperlink w:anchor="_Toc74557662" w:history="1">
        <w:r w:rsidR="007F1AC5" w:rsidRPr="001C5F87">
          <w:rPr>
            <w:rStyle w:val="Lienhypertexte"/>
            <w:noProof/>
          </w:rPr>
          <w:t>VI.2.4 Les impôts communaux directs et indirects</w:t>
        </w:r>
        <w:r w:rsidR="007F1AC5">
          <w:rPr>
            <w:noProof/>
            <w:webHidden/>
          </w:rPr>
          <w:tab/>
        </w:r>
        <w:r w:rsidR="00EF7F4D">
          <w:rPr>
            <w:noProof/>
            <w:webHidden/>
          </w:rPr>
          <w:t>74</w:t>
        </w:r>
      </w:hyperlink>
    </w:p>
    <w:p w14:paraId="34907C85" w14:textId="19C1D3E2" w:rsidR="007F1AC5" w:rsidRDefault="00BE462A">
      <w:pPr>
        <w:pStyle w:val="TM2"/>
        <w:tabs>
          <w:tab w:val="left" w:pos="1701"/>
          <w:tab w:val="right" w:leader="underscore" w:pos="9062"/>
        </w:tabs>
        <w:rPr>
          <w:rFonts w:eastAsiaTheme="minorEastAsia" w:cstheme="minorBidi"/>
          <w:b w:val="0"/>
          <w:bCs w:val="0"/>
          <w:noProof/>
        </w:rPr>
      </w:pPr>
      <w:hyperlink w:anchor="_Toc74557663" w:history="1">
        <w:r w:rsidR="007F1AC5" w:rsidRPr="001C5F87">
          <w:rPr>
            <w:rStyle w:val="Lienhypertexte"/>
            <w:noProof/>
          </w:rPr>
          <w:t>VI.3.</w:t>
        </w:r>
        <w:r w:rsidR="007F1AC5">
          <w:rPr>
            <w:rFonts w:eastAsiaTheme="minorEastAsia" w:cstheme="minorBidi"/>
            <w:b w:val="0"/>
            <w:bCs w:val="0"/>
            <w:noProof/>
          </w:rPr>
          <w:tab/>
        </w:r>
        <w:r w:rsidR="007F1AC5" w:rsidRPr="001C5F87">
          <w:rPr>
            <w:rStyle w:val="Lienhypertexte"/>
            <w:noProof/>
          </w:rPr>
          <w:t>Principes généraux</w:t>
        </w:r>
        <w:r w:rsidR="007F1AC5">
          <w:rPr>
            <w:noProof/>
            <w:webHidden/>
          </w:rPr>
          <w:tab/>
        </w:r>
        <w:r w:rsidR="00EF7F4D">
          <w:rPr>
            <w:noProof/>
            <w:webHidden/>
          </w:rPr>
          <w:t>74</w:t>
        </w:r>
      </w:hyperlink>
    </w:p>
    <w:p w14:paraId="2605D728" w14:textId="1DC1A942" w:rsidR="007F1AC5" w:rsidRDefault="00BE462A">
      <w:pPr>
        <w:pStyle w:val="TM3"/>
        <w:rPr>
          <w:rFonts w:eastAsiaTheme="minorEastAsia" w:cstheme="minorBidi"/>
          <w:noProof/>
        </w:rPr>
      </w:pPr>
      <w:hyperlink w:anchor="_Toc74557664" w:history="1">
        <w:r w:rsidR="007F1AC5" w:rsidRPr="001C5F87">
          <w:rPr>
            <w:rStyle w:val="Lienhypertexte"/>
            <w:noProof/>
          </w:rPr>
          <w:t>VI.3.1 Le principe d’égalité</w:t>
        </w:r>
        <w:r w:rsidR="007F1AC5">
          <w:rPr>
            <w:noProof/>
            <w:webHidden/>
          </w:rPr>
          <w:tab/>
        </w:r>
        <w:r w:rsidR="00EF7F4D">
          <w:rPr>
            <w:noProof/>
            <w:webHidden/>
          </w:rPr>
          <w:t>74</w:t>
        </w:r>
      </w:hyperlink>
    </w:p>
    <w:p w14:paraId="491BCF08" w14:textId="78739FC4" w:rsidR="007F1AC5" w:rsidRDefault="00BE462A">
      <w:pPr>
        <w:pStyle w:val="TM3"/>
        <w:rPr>
          <w:rFonts w:eastAsiaTheme="minorEastAsia" w:cstheme="minorBidi"/>
          <w:noProof/>
        </w:rPr>
      </w:pPr>
      <w:hyperlink w:anchor="_Toc74557665" w:history="1">
        <w:r w:rsidR="007F1AC5" w:rsidRPr="001C5F87">
          <w:rPr>
            <w:rStyle w:val="Lienhypertexte"/>
            <w:noProof/>
          </w:rPr>
          <w:t>VI.3.2 Principe « non bis in idem »</w:t>
        </w:r>
        <w:r w:rsidR="007F1AC5">
          <w:rPr>
            <w:noProof/>
            <w:webHidden/>
          </w:rPr>
          <w:tab/>
        </w:r>
        <w:r w:rsidR="00EF7F4D">
          <w:rPr>
            <w:noProof/>
            <w:webHidden/>
          </w:rPr>
          <w:t>76</w:t>
        </w:r>
      </w:hyperlink>
    </w:p>
    <w:p w14:paraId="4AE233E8" w14:textId="56AF8A8C" w:rsidR="007F1AC5" w:rsidRDefault="00BE462A">
      <w:pPr>
        <w:pStyle w:val="TM4"/>
        <w:rPr>
          <w:rFonts w:eastAsiaTheme="minorEastAsia" w:cstheme="minorBidi"/>
          <w:noProof/>
          <w:sz w:val="22"/>
          <w:szCs w:val="22"/>
        </w:rPr>
      </w:pPr>
      <w:hyperlink w:anchor="_Toc74557666"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En matière d’impôt</w:t>
        </w:r>
        <w:r w:rsidR="007F1AC5">
          <w:rPr>
            <w:noProof/>
            <w:webHidden/>
          </w:rPr>
          <w:tab/>
        </w:r>
        <w:r w:rsidR="00EF7F4D">
          <w:rPr>
            <w:noProof/>
            <w:webHidden/>
          </w:rPr>
          <w:t>76</w:t>
        </w:r>
      </w:hyperlink>
    </w:p>
    <w:p w14:paraId="62EE287E" w14:textId="56FA4374" w:rsidR="007F1AC5" w:rsidRDefault="00BE462A">
      <w:pPr>
        <w:pStyle w:val="TM4"/>
        <w:rPr>
          <w:rFonts w:eastAsiaTheme="minorEastAsia" w:cstheme="minorBidi"/>
          <w:noProof/>
          <w:sz w:val="22"/>
          <w:szCs w:val="22"/>
        </w:rPr>
      </w:pPr>
      <w:hyperlink w:anchor="_Toc74557667"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En matière de sanctions fiscales</w:t>
        </w:r>
        <w:r w:rsidR="007F1AC5">
          <w:rPr>
            <w:noProof/>
            <w:webHidden/>
          </w:rPr>
          <w:tab/>
        </w:r>
        <w:r w:rsidR="00EF7F4D">
          <w:rPr>
            <w:noProof/>
            <w:webHidden/>
          </w:rPr>
          <w:t>76</w:t>
        </w:r>
      </w:hyperlink>
    </w:p>
    <w:p w14:paraId="6594421D" w14:textId="05B2AF13" w:rsidR="007F1AC5" w:rsidRDefault="00BE462A">
      <w:pPr>
        <w:pStyle w:val="TM3"/>
        <w:rPr>
          <w:rFonts w:eastAsiaTheme="minorEastAsia" w:cstheme="minorBidi"/>
          <w:noProof/>
        </w:rPr>
      </w:pPr>
      <w:hyperlink w:anchor="_Toc74557668" w:history="1">
        <w:r w:rsidR="007F1AC5" w:rsidRPr="001C5F87">
          <w:rPr>
            <w:rStyle w:val="Lienhypertexte"/>
            <w:noProof/>
          </w:rPr>
          <w:t>VI.3.3 Adéquation avec les codes fonctionnels et économiques</w:t>
        </w:r>
        <w:r w:rsidR="007F1AC5">
          <w:rPr>
            <w:noProof/>
            <w:webHidden/>
          </w:rPr>
          <w:tab/>
        </w:r>
        <w:r w:rsidR="00EF7F4D">
          <w:rPr>
            <w:noProof/>
            <w:webHidden/>
          </w:rPr>
          <w:t>77</w:t>
        </w:r>
      </w:hyperlink>
    </w:p>
    <w:p w14:paraId="03B9324C" w14:textId="229782B0" w:rsidR="007F1AC5" w:rsidRDefault="00BE462A">
      <w:pPr>
        <w:pStyle w:val="TM3"/>
        <w:rPr>
          <w:rFonts w:eastAsiaTheme="minorEastAsia" w:cstheme="minorBidi"/>
          <w:noProof/>
        </w:rPr>
      </w:pPr>
      <w:hyperlink w:anchor="_Toc74557669" w:history="1">
        <w:r w:rsidR="007F1AC5" w:rsidRPr="001C5F87">
          <w:rPr>
            <w:rStyle w:val="Lienhypertexte"/>
            <w:noProof/>
          </w:rPr>
          <w:t>VI.3.4 Sanctions en matière de règlements-taxes</w:t>
        </w:r>
        <w:r w:rsidR="007F1AC5">
          <w:rPr>
            <w:noProof/>
            <w:webHidden/>
          </w:rPr>
          <w:tab/>
        </w:r>
        <w:r w:rsidR="00EF7F4D">
          <w:rPr>
            <w:noProof/>
            <w:webHidden/>
          </w:rPr>
          <w:t>77</w:t>
        </w:r>
      </w:hyperlink>
    </w:p>
    <w:p w14:paraId="72CB4654" w14:textId="296FC470" w:rsidR="007F1AC5" w:rsidRDefault="00BE462A">
      <w:pPr>
        <w:pStyle w:val="TM4"/>
        <w:rPr>
          <w:rFonts w:eastAsiaTheme="minorEastAsia" w:cstheme="minorBidi"/>
          <w:noProof/>
          <w:sz w:val="22"/>
          <w:szCs w:val="22"/>
        </w:rPr>
      </w:pPr>
      <w:hyperlink w:anchor="_Toc74557670"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Sanctions pénales</w:t>
        </w:r>
        <w:r w:rsidR="007F1AC5">
          <w:rPr>
            <w:noProof/>
            <w:webHidden/>
          </w:rPr>
          <w:tab/>
        </w:r>
        <w:r w:rsidR="00EF7F4D">
          <w:rPr>
            <w:noProof/>
            <w:webHidden/>
          </w:rPr>
          <w:t>77</w:t>
        </w:r>
      </w:hyperlink>
    </w:p>
    <w:p w14:paraId="7B55F19C" w14:textId="46C1DD74" w:rsidR="007F1AC5" w:rsidRDefault="00BE462A">
      <w:pPr>
        <w:pStyle w:val="TM4"/>
        <w:rPr>
          <w:rFonts w:eastAsiaTheme="minorEastAsia" w:cstheme="minorBidi"/>
          <w:noProof/>
          <w:sz w:val="22"/>
          <w:szCs w:val="22"/>
        </w:rPr>
      </w:pPr>
      <w:hyperlink w:anchor="_Toc74557671"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Sanctions administratives</w:t>
        </w:r>
        <w:r w:rsidR="007F1AC5">
          <w:rPr>
            <w:noProof/>
            <w:webHidden/>
          </w:rPr>
          <w:tab/>
        </w:r>
        <w:r w:rsidR="00EF7F4D">
          <w:rPr>
            <w:noProof/>
            <w:webHidden/>
          </w:rPr>
          <w:t>78</w:t>
        </w:r>
      </w:hyperlink>
    </w:p>
    <w:p w14:paraId="2B22D97F" w14:textId="7B998BE0" w:rsidR="007F1AC5" w:rsidRDefault="00BE462A">
      <w:pPr>
        <w:pStyle w:val="TM4"/>
        <w:rPr>
          <w:rFonts w:eastAsiaTheme="minorEastAsia" w:cstheme="minorBidi"/>
          <w:noProof/>
          <w:sz w:val="22"/>
          <w:szCs w:val="22"/>
        </w:rPr>
      </w:pPr>
      <w:hyperlink w:anchor="_Toc74557672" w:history="1">
        <w:r w:rsidR="007F1AC5" w:rsidRPr="001C5F87">
          <w:rPr>
            <w:rStyle w:val="Lienhypertexte"/>
            <w:noProof/>
          </w:rPr>
          <w:t>3.</w:t>
        </w:r>
        <w:r w:rsidR="007F1AC5">
          <w:rPr>
            <w:rFonts w:eastAsiaTheme="minorEastAsia" w:cstheme="minorBidi"/>
            <w:noProof/>
            <w:sz w:val="22"/>
            <w:szCs w:val="22"/>
          </w:rPr>
          <w:tab/>
        </w:r>
        <w:r w:rsidR="007F1AC5" w:rsidRPr="001C5F87">
          <w:rPr>
            <w:rStyle w:val="Lienhypertexte"/>
            <w:noProof/>
          </w:rPr>
          <w:t>Accroissements</w:t>
        </w:r>
        <w:r w:rsidR="007F1AC5">
          <w:rPr>
            <w:noProof/>
            <w:webHidden/>
          </w:rPr>
          <w:tab/>
        </w:r>
        <w:r w:rsidR="00EF7F4D">
          <w:rPr>
            <w:noProof/>
            <w:webHidden/>
          </w:rPr>
          <w:t>78</w:t>
        </w:r>
      </w:hyperlink>
    </w:p>
    <w:p w14:paraId="72FE9F4C" w14:textId="15CA6A82" w:rsidR="007F1AC5" w:rsidRDefault="00BE462A">
      <w:pPr>
        <w:pStyle w:val="TM3"/>
        <w:rPr>
          <w:rFonts w:eastAsiaTheme="minorEastAsia" w:cstheme="minorBidi"/>
          <w:noProof/>
        </w:rPr>
      </w:pPr>
      <w:hyperlink w:anchor="_Toc74557673" w:history="1">
        <w:r w:rsidR="007F1AC5" w:rsidRPr="001C5F87">
          <w:rPr>
            <w:rStyle w:val="Lienhypertexte"/>
            <w:noProof/>
          </w:rPr>
          <w:t>VI.3.5 Lisibilité des règlements</w:t>
        </w:r>
        <w:r w:rsidR="007F1AC5">
          <w:rPr>
            <w:noProof/>
            <w:webHidden/>
          </w:rPr>
          <w:tab/>
        </w:r>
        <w:r w:rsidR="00EF7F4D">
          <w:rPr>
            <w:noProof/>
            <w:webHidden/>
          </w:rPr>
          <w:t>79</w:t>
        </w:r>
      </w:hyperlink>
    </w:p>
    <w:p w14:paraId="2D320F5C" w14:textId="1C8D40C6" w:rsidR="007F1AC5" w:rsidRDefault="00BE462A">
      <w:pPr>
        <w:pStyle w:val="TM3"/>
        <w:rPr>
          <w:rFonts w:eastAsiaTheme="minorEastAsia" w:cstheme="minorBidi"/>
          <w:noProof/>
        </w:rPr>
      </w:pPr>
      <w:hyperlink w:anchor="_Toc74557674" w:history="1">
        <w:r w:rsidR="007F1AC5" w:rsidRPr="001C5F87">
          <w:rPr>
            <w:rStyle w:val="Lienhypertexte"/>
            <w:noProof/>
          </w:rPr>
          <w:t>VI.3.6 Les formalités de publication</w:t>
        </w:r>
        <w:r w:rsidR="007F1AC5">
          <w:rPr>
            <w:noProof/>
            <w:webHidden/>
          </w:rPr>
          <w:tab/>
        </w:r>
        <w:r w:rsidR="00EF7F4D">
          <w:rPr>
            <w:noProof/>
            <w:webHidden/>
          </w:rPr>
          <w:t>80</w:t>
        </w:r>
      </w:hyperlink>
    </w:p>
    <w:p w14:paraId="748413DC" w14:textId="25FAF562" w:rsidR="007F1AC5" w:rsidRDefault="00BE462A">
      <w:pPr>
        <w:pStyle w:val="TM3"/>
        <w:rPr>
          <w:rFonts w:eastAsiaTheme="minorEastAsia" w:cstheme="minorBidi"/>
          <w:noProof/>
        </w:rPr>
      </w:pPr>
      <w:hyperlink w:anchor="_Toc74557675" w:history="1">
        <w:r w:rsidR="007F1AC5" w:rsidRPr="001C5F87">
          <w:rPr>
            <w:rStyle w:val="Lienhypertexte"/>
            <w:noProof/>
          </w:rPr>
          <w:t>VI.3.7 L’enquête commodo et incommodo</w:t>
        </w:r>
        <w:r w:rsidR="007F1AC5">
          <w:rPr>
            <w:noProof/>
            <w:webHidden/>
          </w:rPr>
          <w:tab/>
        </w:r>
        <w:r w:rsidR="00EF7F4D">
          <w:rPr>
            <w:noProof/>
            <w:webHidden/>
          </w:rPr>
          <w:t>82</w:t>
        </w:r>
      </w:hyperlink>
    </w:p>
    <w:p w14:paraId="09FADE27" w14:textId="38760635" w:rsidR="007F1AC5" w:rsidRDefault="00BE462A">
      <w:pPr>
        <w:pStyle w:val="TM3"/>
        <w:rPr>
          <w:rFonts w:eastAsiaTheme="minorEastAsia" w:cstheme="minorBidi"/>
          <w:noProof/>
        </w:rPr>
      </w:pPr>
      <w:hyperlink w:anchor="_Toc74557676" w:history="1">
        <w:r w:rsidR="007F1AC5" w:rsidRPr="001C5F87">
          <w:rPr>
            <w:rStyle w:val="Lienhypertexte"/>
            <w:noProof/>
          </w:rPr>
          <w:t>VI.3.8 La consignation</w:t>
        </w:r>
        <w:r w:rsidR="007F1AC5">
          <w:rPr>
            <w:noProof/>
            <w:webHidden/>
          </w:rPr>
          <w:tab/>
        </w:r>
        <w:r w:rsidR="00EF7F4D">
          <w:rPr>
            <w:noProof/>
            <w:webHidden/>
          </w:rPr>
          <w:t>83</w:t>
        </w:r>
      </w:hyperlink>
    </w:p>
    <w:p w14:paraId="78294220" w14:textId="5AFA7BB4" w:rsidR="007F1AC5" w:rsidRDefault="00BE462A">
      <w:pPr>
        <w:pStyle w:val="TM2"/>
        <w:tabs>
          <w:tab w:val="left" w:pos="1701"/>
          <w:tab w:val="right" w:leader="underscore" w:pos="9062"/>
        </w:tabs>
        <w:rPr>
          <w:rFonts w:eastAsiaTheme="minorEastAsia" w:cstheme="minorBidi"/>
          <w:b w:val="0"/>
          <w:bCs w:val="0"/>
          <w:noProof/>
        </w:rPr>
      </w:pPr>
      <w:hyperlink w:anchor="_Toc74557677" w:history="1">
        <w:r w:rsidR="007F1AC5" w:rsidRPr="001C5F87">
          <w:rPr>
            <w:rStyle w:val="Lienhypertexte"/>
            <w:noProof/>
          </w:rPr>
          <w:t>VI.4.</w:t>
        </w:r>
        <w:r w:rsidR="007F1AC5">
          <w:rPr>
            <w:rFonts w:eastAsiaTheme="minorEastAsia" w:cstheme="minorBidi"/>
            <w:b w:val="0"/>
            <w:bCs w:val="0"/>
            <w:noProof/>
          </w:rPr>
          <w:tab/>
        </w:r>
        <w:r w:rsidR="007F1AC5" w:rsidRPr="001C5F87">
          <w:rPr>
            <w:rStyle w:val="Lienhypertexte"/>
            <w:noProof/>
          </w:rPr>
          <w:t>Recommandations particulières</w:t>
        </w:r>
        <w:r w:rsidR="007F1AC5">
          <w:rPr>
            <w:noProof/>
            <w:webHidden/>
          </w:rPr>
          <w:tab/>
        </w:r>
        <w:r w:rsidR="00EF7F4D">
          <w:rPr>
            <w:noProof/>
            <w:webHidden/>
          </w:rPr>
          <w:t>83</w:t>
        </w:r>
      </w:hyperlink>
    </w:p>
    <w:p w14:paraId="61DABC29" w14:textId="4BEAF80D" w:rsidR="007F1AC5" w:rsidRDefault="00BE462A">
      <w:pPr>
        <w:pStyle w:val="TM3"/>
        <w:rPr>
          <w:rFonts w:eastAsiaTheme="minorEastAsia" w:cstheme="minorBidi"/>
          <w:noProof/>
        </w:rPr>
      </w:pPr>
      <w:hyperlink w:anchor="_Toc74557678" w:history="1">
        <w:r w:rsidR="007F1AC5" w:rsidRPr="001C5F87">
          <w:rPr>
            <w:rStyle w:val="Lienhypertexte"/>
            <w:noProof/>
          </w:rPr>
          <w:t>VI.4.1 Perception des recettes</w:t>
        </w:r>
        <w:r w:rsidR="007F1AC5">
          <w:rPr>
            <w:noProof/>
            <w:webHidden/>
          </w:rPr>
          <w:tab/>
        </w:r>
        <w:r w:rsidR="00EF7F4D">
          <w:rPr>
            <w:noProof/>
            <w:webHidden/>
          </w:rPr>
          <w:t>83</w:t>
        </w:r>
      </w:hyperlink>
    </w:p>
    <w:p w14:paraId="1F715886" w14:textId="404AB01F" w:rsidR="007F1AC5" w:rsidRDefault="00BE462A">
      <w:pPr>
        <w:pStyle w:val="TM3"/>
        <w:rPr>
          <w:rFonts w:eastAsiaTheme="minorEastAsia" w:cstheme="minorBidi"/>
          <w:noProof/>
        </w:rPr>
      </w:pPr>
      <w:hyperlink w:anchor="_Toc74557679" w:history="1">
        <w:r w:rsidR="007F1AC5" w:rsidRPr="001C5F87">
          <w:rPr>
            <w:rStyle w:val="Lienhypertexte"/>
            <w:noProof/>
          </w:rPr>
          <w:t>VI.4.2 Interdiction de lever certaines taxes</w:t>
        </w:r>
        <w:r w:rsidR="007F1AC5">
          <w:rPr>
            <w:noProof/>
            <w:webHidden/>
          </w:rPr>
          <w:tab/>
        </w:r>
        <w:r w:rsidR="00EF7F4D">
          <w:rPr>
            <w:noProof/>
            <w:webHidden/>
          </w:rPr>
          <w:t>84</w:t>
        </w:r>
      </w:hyperlink>
    </w:p>
    <w:p w14:paraId="5A5DC82C" w14:textId="5BC3FAD9" w:rsidR="007F1AC5" w:rsidRDefault="00BE462A">
      <w:pPr>
        <w:pStyle w:val="TM3"/>
        <w:rPr>
          <w:rFonts w:eastAsiaTheme="minorEastAsia" w:cstheme="minorBidi"/>
          <w:noProof/>
        </w:rPr>
      </w:pPr>
      <w:hyperlink w:anchor="_Toc74557680" w:history="1">
        <w:r w:rsidR="007F1AC5" w:rsidRPr="001C5F87">
          <w:rPr>
            <w:rStyle w:val="Lienhypertexte"/>
            <w:noProof/>
          </w:rPr>
          <w:t xml:space="preserve">VI.4.3 Interdiction d'établir des taxes </w:t>
        </w:r>
        <w:r w:rsidR="00444CF9">
          <w:rPr>
            <w:rStyle w:val="Lienhypertexte"/>
            <w:noProof/>
          </w:rPr>
          <w:t>prohibitives</w:t>
        </w:r>
        <w:r w:rsidR="007F1AC5">
          <w:rPr>
            <w:noProof/>
            <w:webHidden/>
          </w:rPr>
          <w:tab/>
        </w:r>
        <w:r w:rsidR="00EF7F4D">
          <w:rPr>
            <w:noProof/>
            <w:webHidden/>
          </w:rPr>
          <w:t>84</w:t>
        </w:r>
      </w:hyperlink>
    </w:p>
    <w:p w14:paraId="5AD5225D" w14:textId="59DDA40C" w:rsidR="007F1AC5" w:rsidRDefault="00BE462A">
      <w:pPr>
        <w:pStyle w:val="TM3"/>
        <w:rPr>
          <w:rFonts w:eastAsiaTheme="minorEastAsia" w:cstheme="minorBidi"/>
          <w:noProof/>
        </w:rPr>
      </w:pPr>
      <w:hyperlink w:anchor="_Toc74557681" w:history="1">
        <w:r w:rsidR="007F1AC5" w:rsidRPr="001C5F87">
          <w:rPr>
            <w:rStyle w:val="Lienhypertexte"/>
            <w:noProof/>
          </w:rPr>
          <w:t>VI.4.4 Transmission des taxes additionnelles</w:t>
        </w:r>
        <w:r w:rsidR="007F1AC5">
          <w:rPr>
            <w:noProof/>
            <w:webHidden/>
          </w:rPr>
          <w:tab/>
        </w:r>
        <w:r w:rsidR="00EF7F4D">
          <w:rPr>
            <w:noProof/>
            <w:webHidden/>
          </w:rPr>
          <w:t>85</w:t>
        </w:r>
      </w:hyperlink>
    </w:p>
    <w:p w14:paraId="3D943695" w14:textId="5DB519A4" w:rsidR="007F1AC5" w:rsidRDefault="00BE462A">
      <w:pPr>
        <w:pStyle w:val="TM3"/>
        <w:rPr>
          <w:rFonts w:eastAsiaTheme="minorEastAsia" w:cstheme="minorBidi"/>
          <w:noProof/>
        </w:rPr>
      </w:pPr>
      <w:hyperlink w:anchor="_Toc74557682" w:history="1">
        <w:r w:rsidR="007F1AC5" w:rsidRPr="001C5F87">
          <w:rPr>
            <w:rStyle w:val="Lienhypertexte"/>
            <w:noProof/>
          </w:rPr>
          <w:t>VI.4.5 Exonération en faveur des industries nouvelles et des investissements</w:t>
        </w:r>
        <w:r w:rsidR="007F1AC5">
          <w:rPr>
            <w:noProof/>
            <w:webHidden/>
          </w:rPr>
          <w:tab/>
        </w:r>
        <w:r w:rsidR="00EF7F4D">
          <w:rPr>
            <w:noProof/>
            <w:webHidden/>
          </w:rPr>
          <w:t>86</w:t>
        </w:r>
      </w:hyperlink>
    </w:p>
    <w:p w14:paraId="79FEC213" w14:textId="611F422E" w:rsidR="007F1AC5" w:rsidRDefault="00BE462A">
      <w:pPr>
        <w:pStyle w:val="TM4"/>
        <w:rPr>
          <w:rFonts w:eastAsiaTheme="minorEastAsia" w:cstheme="minorBidi"/>
          <w:noProof/>
          <w:sz w:val="22"/>
          <w:szCs w:val="22"/>
        </w:rPr>
      </w:pPr>
      <w:hyperlink w:anchor="_Toc74557683"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Expansion économique</w:t>
        </w:r>
        <w:r w:rsidR="007F1AC5">
          <w:rPr>
            <w:noProof/>
            <w:webHidden/>
          </w:rPr>
          <w:tab/>
        </w:r>
        <w:r w:rsidR="00EF7F4D">
          <w:rPr>
            <w:noProof/>
            <w:webHidden/>
          </w:rPr>
          <w:t>86</w:t>
        </w:r>
      </w:hyperlink>
    </w:p>
    <w:p w14:paraId="3D684BD6" w14:textId="5CB2C907" w:rsidR="007F1AC5" w:rsidRDefault="00BE462A">
      <w:pPr>
        <w:pStyle w:val="TM4"/>
        <w:rPr>
          <w:rFonts w:eastAsiaTheme="minorEastAsia" w:cstheme="minorBidi"/>
          <w:noProof/>
          <w:sz w:val="22"/>
          <w:szCs w:val="22"/>
        </w:rPr>
      </w:pPr>
      <w:hyperlink w:anchor="_Toc74557684"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Actions prioritaires pour l’avenir wallon</w:t>
        </w:r>
        <w:r w:rsidR="007F1AC5">
          <w:rPr>
            <w:noProof/>
            <w:webHidden/>
          </w:rPr>
          <w:tab/>
        </w:r>
        <w:r w:rsidR="00EF7F4D">
          <w:rPr>
            <w:noProof/>
            <w:webHidden/>
          </w:rPr>
          <w:t>87</w:t>
        </w:r>
      </w:hyperlink>
    </w:p>
    <w:p w14:paraId="6532312C" w14:textId="1E06A1DB" w:rsidR="007F1AC5" w:rsidRDefault="00BE462A">
      <w:pPr>
        <w:pStyle w:val="TM3"/>
        <w:rPr>
          <w:rFonts w:eastAsiaTheme="minorEastAsia" w:cstheme="minorBidi"/>
          <w:noProof/>
        </w:rPr>
      </w:pPr>
      <w:hyperlink w:anchor="_Toc74557685" w:history="1">
        <w:r w:rsidR="007F1AC5" w:rsidRPr="001C5F87">
          <w:rPr>
            <w:rStyle w:val="Lienhypertexte"/>
            <w:noProof/>
          </w:rPr>
          <w:t>VI.4.6 Exonération en faveur des bâtiments publics</w:t>
        </w:r>
        <w:r w:rsidR="007F1AC5">
          <w:rPr>
            <w:noProof/>
            <w:webHidden/>
          </w:rPr>
          <w:tab/>
        </w:r>
        <w:r w:rsidR="00EF7F4D">
          <w:rPr>
            <w:noProof/>
            <w:webHidden/>
          </w:rPr>
          <w:t>87</w:t>
        </w:r>
      </w:hyperlink>
    </w:p>
    <w:p w14:paraId="51955C6B" w14:textId="058D4523" w:rsidR="007F1AC5" w:rsidRDefault="00BE462A">
      <w:pPr>
        <w:pStyle w:val="TM3"/>
        <w:rPr>
          <w:rFonts w:eastAsiaTheme="minorEastAsia" w:cstheme="minorBidi"/>
          <w:noProof/>
        </w:rPr>
      </w:pPr>
      <w:hyperlink w:anchor="_Toc74557686" w:history="1">
        <w:r w:rsidR="007F1AC5" w:rsidRPr="001C5F87">
          <w:rPr>
            <w:rStyle w:val="Lienhypertexte"/>
            <w:noProof/>
          </w:rPr>
          <w:t>VI.4.7 Taxes additionnelles aux taxes provinciales</w:t>
        </w:r>
        <w:r w:rsidR="007F1AC5">
          <w:rPr>
            <w:noProof/>
            <w:webHidden/>
          </w:rPr>
          <w:tab/>
        </w:r>
        <w:r w:rsidR="00EF7F4D">
          <w:rPr>
            <w:noProof/>
            <w:webHidden/>
          </w:rPr>
          <w:t>89</w:t>
        </w:r>
      </w:hyperlink>
    </w:p>
    <w:p w14:paraId="6A07633D" w14:textId="40EF68AF" w:rsidR="007F1AC5" w:rsidRDefault="00BE462A">
      <w:pPr>
        <w:pStyle w:val="TM3"/>
        <w:rPr>
          <w:rFonts w:eastAsiaTheme="minorEastAsia" w:cstheme="minorBidi"/>
          <w:noProof/>
        </w:rPr>
      </w:pPr>
      <w:hyperlink w:anchor="_Toc74557687" w:history="1">
        <w:r w:rsidR="007F1AC5" w:rsidRPr="001C5F87">
          <w:rPr>
            <w:rStyle w:val="Lienhypertexte"/>
            <w:noProof/>
          </w:rPr>
          <w:t>VI.4.8 Le nouveau Code du recouvrement amiable et forcé des créances fiscales et non fiscales (CRAF)</w:t>
        </w:r>
        <w:r w:rsidR="007F1AC5">
          <w:rPr>
            <w:noProof/>
            <w:webHidden/>
          </w:rPr>
          <w:tab/>
        </w:r>
        <w:r w:rsidR="00EF7F4D">
          <w:rPr>
            <w:noProof/>
            <w:webHidden/>
          </w:rPr>
          <w:t>89</w:t>
        </w:r>
      </w:hyperlink>
    </w:p>
    <w:p w14:paraId="38770A5B" w14:textId="487E4AAF" w:rsidR="007F1AC5" w:rsidRDefault="00BE462A">
      <w:pPr>
        <w:pStyle w:val="TM4"/>
        <w:rPr>
          <w:rFonts w:eastAsiaTheme="minorEastAsia" w:cstheme="minorBidi"/>
          <w:noProof/>
          <w:sz w:val="22"/>
          <w:szCs w:val="22"/>
        </w:rPr>
      </w:pPr>
      <w:hyperlink w:anchor="_Toc74557688"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Champ d’application du CRAF</w:t>
        </w:r>
        <w:r w:rsidR="007F1AC5">
          <w:rPr>
            <w:noProof/>
            <w:webHidden/>
          </w:rPr>
          <w:tab/>
        </w:r>
        <w:r w:rsidR="00EF7F4D">
          <w:rPr>
            <w:noProof/>
            <w:webHidden/>
          </w:rPr>
          <w:t>90</w:t>
        </w:r>
      </w:hyperlink>
    </w:p>
    <w:p w14:paraId="49D50DD0" w14:textId="053EC609" w:rsidR="007F1AC5" w:rsidRDefault="00BE462A">
      <w:pPr>
        <w:pStyle w:val="TM4"/>
        <w:rPr>
          <w:rFonts w:eastAsiaTheme="minorEastAsia" w:cstheme="minorBidi"/>
          <w:noProof/>
          <w:sz w:val="22"/>
          <w:szCs w:val="22"/>
        </w:rPr>
      </w:pPr>
      <w:hyperlink w:anchor="_Toc74557689"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Nouvelles notions introduites par le CRAF</w:t>
        </w:r>
        <w:r w:rsidR="007F1AC5">
          <w:rPr>
            <w:noProof/>
            <w:webHidden/>
          </w:rPr>
          <w:tab/>
        </w:r>
        <w:r w:rsidR="00EF7F4D">
          <w:rPr>
            <w:noProof/>
            <w:webHidden/>
          </w:rPr>
          <w:t>90</w:t>
        </w:r>
      </w:hyperlink>
    </w:p>
    <w:p w14:paraId="0D7FCCB7" w14:textId="087B43A2" w:rsidR="007F1AC5" w:rsidRDefault="00BE462A">
      <w:pPr>
        <w:pStyle w:val="TM4"/>
        <w:rPr>
          <w:noProof/>
        </w:rPr>
      </w:pPr>
      <w:hyperlink w:anchor="_Toc74557690" w:history="1">
        <w:r w:rsidR="007F1AC5" w:rsidRPr="001C5F87">
          <w:rPr>
            <w:rStyle w:val="Lienhypertexte"/>
            <w:noProof/>
          </w:rPr>
          <w:t>3.</w:t>
        </w:r>
        <w:r w:rsidR="007F1AC5">
          <w:rPr>
            <w:rFonts w:eastAsiaTheme="minorEastAsia" w:cstheme="minorBidi"/>
            <w:noProof/>
            <w:sz w:val="22"/>
            <w:szCs w:val="22"/>
          </w:rPr>
          <w:tab/>
        </w:r>
        <w:r w:rsidR="00444CF9" w:rsidRPr="00513B3C">
          <w:rPr>
            <w:rFonts w:eastAsiaTheme="minorEastAsia" w:cstheme="minorBidi"/>
            <w:noProof/>
          </w:rPr>
          <w:t>Transposition des nouvelles notions et application du CDLD</w:t>
        </w:r>
        <w:r w:rsidR="007F1AC5">
          <w:rPr>
            <w:noProof/>
            <w:webHidden/>
          </w:rPr>
          <w:tab/>
        </w:r>
        <w:r w:rsidR="00EF7F4D">
          <w:rPr>
            <w:noProof/>
            <w:webHidden/>
          </w:rPr>
          <w:t>90</w:t>
        </w:r>
      </w:hyperlink>
    </w:p>
    <w:p w14:paraId="7ADD4E63" w14:textId="19676643" w:rsidR="007F1AC5" w:rsidRDefault="00444CF9">
      <w:pPr>
        <w:pStyle w:val="TM4"/>
        <w:rPr>
          <w:rFonts w:eastAsiaTheme="minorEastAsia" w:cstheme="minorBidi"/>
          <w:noProof/>
          <w:sz w:val="22"/>
          <w:szCs w:val="22"/>
        </w:rPr>
      </w:pPr>
      <w:r>
        <w:rPr>
          <w:rFonts w:eastAsiaTheme="minorEastAsia"/>
        </w:rPr>
        <w:t>4.</w:t>
      </w:r>
      <w:r>
        <w:rPr>
          <w:rFonts w:eastAsiaTheme="minorEastAsia"/>
        </w:rPr>
        <w:tab/>
        <w:t>Quelques points d'attention</w:t>
      </w:r>
      <w:r>
        <w:rPr>
          <w:rFonts w:eastAsiaTheme="minorEastAsia"/>
        </w:rPr>
        <w:tab/>
        <w:t>90</w:t>
      </w:r>
    </w:p>
    <w:p w14:paraId="171517DD" w14:textId="1ADD1087" w:rsidR="007F1AC5" w:rsidRDefault="00256E9F">
      <w:pPr>
        <w:pStyle w:val="TM4"/>
        <w:rPr>
          <w:rFonts w:eastAsiaTheme="minorEastAsia" w:cstheme="minorBidi"/>
          <w:noProof/>
          <w:sz w:val="22"/>
          <w:szCs w:val="22"/>
        </w:rPr>
      </w:pPr>
      <w:r>
        <w:t>5</w:t>
      </w:r>
      <w:hyperlink w:anchor="_Toc74557692" w:history="1">
        <w:r w:rsidR="007F1AC5" w:rsidRPr="001C5F87">
          <w:rPr>
            <w:rStyle w:val="Lienhypertexte"/>
            <w:noProof/>
          </w:rPr>
          <w:t>.</w:t>
        </w:r>
        <w:r w:rsidR="007F1AC5">
          <w:rPr>
            <w:rFonts w:eastAsiaTheme="minorEastAsia" w:cstheme="minorBidi"/>
            <w:noProof/>
            <w:sz w:val="22"/>
            <w:szCs w:val="22"/>
          </w:rPr>
          <w:tab/>
        </w:r>
        <w:r w:rsidR="007F1AC5" w:rsidRPr="001C5F87">
          <w:rPr>
            <w:rStyle w:val="Lienhypertexte"/>
            <w:noProof/>
          </w:rPr>
          <w:t>Durée de conservations des titres exécutoires – respect RGPD</w:t>
        </w:r>
        <w:r w:rsidR="007F1AC5">
          <w:rPr>
            <w:noProof/>
            <w:webHidden/>
          </w:rPr>
          <w:tab/>
        </w:r>
        <w:r w:rsidR="00EF7F4D">
          <w:rPr>
            <w:noProof/>
            <w:webHidden/>
          </w:rPr>
          <w:t>91</w:t>
        </w:r>
      </w:hyperlink>
    </w:p>
    <w:p w14:paraId="1F414258" w14:textId="5F3AAAC5" w:rsidR="007F1AC5" w:rsidRDefault="00BE462A">
      <w:pPr>
        <w:pStyle w:val="TM3"/>
        <w:rPr>
          <w:rFonts w:eastAsiaTheme="minorEastAsia" w:cstheme="minorBidi"/>
          <w:noProof/>
        </w:rPr>
      </w:pPr>
      <w:hyperlink w:anchor="_Toc74557693" w:history="1">
        <w:r w:rsidR="007F1AC5" w:rsidRPr="001C5F87">
          <w:rPr>
            <w:rStyle w:val="Lienhypertexte"/>
            <w:noProof/>
          </w:rPr>
          <w:t>VI.4.9 Recommandé préalable au commandement par voie d'huissier</w:t>
        </w:r>
        <w:r w:rsidR="007F1AC5">
          <w:rPr>
            <w:noProof/>
            <w:webHidden/>
          </w:rPr>
          <w:tab/>
        </w:r>
        <w:r w:rsidR="00EF7F4D">
          <w:rPr>
            <w:noProof/>
            <w:webHidden/>
          </w:rPr>
          <w:t>92</w:t>
        </w:r>
      </w:hyperlink>
    </w:p>
    <w:p w14:paraId="259AE145" w14:textId="59AB4759" w:rsidR="007F1AC5" w:rsidRDefault="00BE462A">
      <w:pPr>
        <w:pStyle w:val="TM3"/>
        <w:rPr>
          <w:rFonts w:eastAsiaTheme="minorEastAsia" w:cstheme="minorBidi"/>
          <w:noProof/>
        </w:rPr>
      </w:pPr>
      <w:hyperlink w:anchor="_Toc74557694" w:history="1">
        <w:r w:rsidR="007F1AC5" w:rsidRPr="001C5F87">
          <w:rPr>
            <w:rStyle w:val="Lienhypertexte"/>
            <w:noProof/>
          </w:rPr>
          <w:t xml:space="preserve">VI.4.10 La sommation interruptive de prescription </w:t>
        </w:r>
        <w:r w:rsidR="007F1AC5">
          <w:rPr>
            <w:noProof/>
            <w:webHidden/>
          </w:rPr>
          <w:tab/>
        </w:r>
        <w:r w:rsidR="00EF7F4D">
          <w:rPr>
            <w:noProof/>
            <w:webHidden/>
          </w:rPr>
          <w:t>94</w:t>
        </w:r>
      </w:hyperlink>
    </w:p>
    <w:p w14:paraId="41C0C97E" w14:textId="502BD39F" w:rsidR="007F1AC5" w:rsidRDefault="00BE462A">
      <w:pPr>
        <w:pStyle w:val="TM3"/>
        <w:rPr>
          <w:rFonts w:eastAsiaTheme="minorEastAsia" w:cstheme="minorBidi"/>
          <w:noProof/>
        </w:rPr>
      </w:pPr>
      <w:hyperlink w:anchor="_Toc74557695" w:history="1">
        <w:r w:rsidR="007F1AC5" w:rsidRPr="001C5F87">
          <w:rPr>
            <w:rStyle w:val="Lienhypertexte"/>
            <w:noProof/>
          </w:rPr>
          <w:t>VI.4.11 Frais de rappel en cas de non-paiement d’une redevance</w:t>
        </w:r>
        <w:r w:rsidR="007F1AC5">
          <w:rPr>
            <w:noProof/>
            <w:webHidden/>
          </w:rPr>
          <w:tab/>
        </w:r>
        <w:r w:rsidR="00EF7F4D">
          <w:rPr>
            <w:noProof/>
            <w:webHidden/>
          </w:rPr>
          <w:t>94</w:t>
        </w:r>
      </w:hyperlink>
    </w:p>
    <w:p w14:paraId="1BFEADCF" w14:textId="25B7A3A6" w:rsidR="007F1AC5" w:rsidRDefault="00BE462A">
      <w:pPr>
        <w:pStyle w:val="TM4"/>
        <w:rPr>
          <w:rFonts w:eastAsiaTheme="minorEastAsia" w:cstheme="minorBidi"/>
          <w:noProof/>
          <w:sz w:val="22"/>
          <w:szCs w:val="22"/>
        </w:rPr>
      </w:pPr>
      <w:hyperlink w:anchor="_Toc74557696"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Le recouvrement amiable</w:t>
        </w:r>
        <w:r w:rsidR="007F1AC5">
          <w:rPr>
            <w:noProof/>
            <w:webHidden/>
          </w:rPr>
          <w:tab/>
        </w:r>
        <w:r w:rsidR="00EF7F4D">
          <w:rPr>
            <w:noProof/>
            <w:webHidden/>
          </w:rPr>
          <w:t>94</w:t>
        </w:r>
      </w:hyperlink>
    </w:p>
    <w:p w14:paraId="145E992C" w14:textId="4666EE2A" w:rsidR="007F1AC5" w:rsidRDefault="00BE462A">
      <w:pPr>
        <w:pStyle w:val="TM4"/>
        <w:rPr>
          <w:rFonts w:eastAsiaTheme="minorEastAsia" w:cstheme="minorBidi"/>
          <w:noProof/>
          <w:sz w:val="22"/>
          <w:szCs w:val="22"/>
        </w:rPr>
      </w:pPr>
      <w:hyperlink w:anchor="_Toc74557697"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Le recouvrement forcé</w:t>
        </w:r>
        <w:r w:rsidR="007F1AC5">
          <w:rPr>
            <w:noProof/>
            <w:webHidden/>
          </w:rPr>
          <w:tab/>
        </w:r>
        <w:r w:rsidR="00EF7F4D">
          <w:rPr>
            <w:noProof/>
            <w:webHidden/>
          </w:rPr>
          <w:t>95</w:t>
        </w:r>
      </w:hyperlink>
    </w:p>
    <w:p w14:paraId="0C26DE97" w14:textId="05A984E0" w:rsidR="007F1AC5" w:rsidRDefault="00BE462A">
      <w:pPr>
        <w:pStyle w:val="TM3"/>
        <w:rPr>
          <w:noProof/>
        </w:rPr>
      </w:pPr>
      <w:hyperlink w:anchor="_Toc74557698" w:history="1">
        <w:r w:rsidR="007F1AC5" w:rsidRPr="001C5F87">
          <w:rPr>
            <w:rStyle w:val="Lienhypertexte"/>
            <w:noProof/>
          </w:rPr>
          <w:t>VI.4.12 Réclamation contre les taxes communales et ses conséquences sur le recouvrement</w:t>
        </w:r>
        <w:r w:rsidR="007F1AC5">
          <w:rPr>
            <w:noProof/>
            <w:webHidden/>
          </w:rPr>
          <w:tab/>
        </w:r>
        <w:r w:rsidR="00EF7F4D">
          <w:rPr>
            <w:noProof/>
            <w:webHidden/>
          </w:rPr>
          <w:t>95</w:t>
        </w:r>
      </w:hyperlink>
    </w:p>
    <w:p w14:paraId="535B3747" w14:textId="035CAD49" w:rsidR="00444CF9" w:rsidRPr="00513B3C" w:rsidRDefault="00444CF9" w:rsidP="00513B3C">
      <w:pPr>
        <w:pStyle w:val="TM4"/>
        <w:rPr>
          <w:rFonts w:eastAsiaTheme="minorEastAsia"/>
        </w:rPr>
      </w:pPr>
      <w:r>
        <w:rPr>
          <w:rFonts w:eastAsiaTheme="minorEastAsia"/>
        </w:rPr>
        <w:t>1.</w:t>
      </w:r>
      <w:r>
        <w:rPr>
          <w:rFonts w:eastAsiaTheme="minorEastAsia"/>
        </w:rPr>
        <w:tab/>
        <w:t>Recours préalable obligatoire au recours judiciaire</w:t>
      </w:r>
      <w:r>
        <w:rPr>
          <w:rFonts w:eastAsiaTheme="minorEastAsia"/>
        </w:rPr>
        <w:tab/>
        <w:t>95</w:t>
      </w:r>
    </w:p>
    <w:p w14:paraId="4A3603C6" w14:textId="2DCFD3CD" w:rsidR="007F1AC5" w:rsidRDefault="00BE462A">
      <w:pPr>
        <w:pStyle w:val="TM4"/>
        <w:rPr>
          <w:rFonts w:eastAsiaTheme="minorEastAsia" w:cstheme="minorBidi"/>
          <w:noProof/>
          <w:sz w:val="22"/>
          <w:szCs w:val="22"/>
        </w:rPr>
      </w:pPr>
      <w:hyperlink w:anchor="_Toc74557699" w:history="1">
        <w:r w:rsidR="00444CF9">
          <w:rPr>
            <w:rStyle w:val="Lienhypertexte"/>
            <w:rFonts w:eastAsia="Calibri"/>
            <w:noProof/>
          </w:rPr>
          <w:t>2</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Qui peut introduire un recours administratif ?</w:t>
        </w:r>
        <w:r w:rsidR="007F1AC5">
          <w:rPr>
            <w:noProof/>
            <w:webHidden/>
          </w:rPr>
          <w:tab/>
        </w:r>
        <w:r w:rsidR="00EF7F4D">
          <w:rPr>
            <w:noProof/>
            <w:webHidden/>
          </w:rPr>
          <w:t>96</w:t>
        </w:r>
      </w:hyperlink>
    </w:p>
    <w:p w14:paraId="153B9042" w14:textId="18FD2143" w:rsidR="007F1AC5" w:rsidRDefault="00BE462A">
      <w:pPr>
        <w:pStyle w:val="TM4"/>
        <w:rPr>
          <w:rFonts w:eastAsiaTheme="minorEastAsia" w:cstheme="minorBidi"/>
          <w:noProof/>
          <w:sz w:val="22"/>
          <w:szCs w:val="22"/>
        </w:rPr>
      </w:pPr>
      <w:hyperlink w:anchor="_Toc74557700" w:history="1">
        <w:r w:rsidR="00444CF9">
          <w:rPr>
            <w:rStyle w:val="Lienhypertexte"/>
            <w:rFonts w:eastAsia="Calibri"/>
            <w:noProof/>
          </w:rPr>
          <w:t>3</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Sous quelle forme ?</w:t>
        </w:r>
        <w:r w:rsidR="007F1AC5">
          <w:rPr>
            <w:noProof/>
            <w:webHidden/>
          </w:rPr>
          <w:tab/>
        </w:r>
        <w:r w:rsidR="00EF7F4D">
          <w:rPr>
            <w:noProof/>
            <w:webHidden/>
          </w:rPr>
          <w:t>96</w:t>
        </w:r>
      </w:hyperlink>
    </w:p>
    <w:p w14:paraId="2919F8D6" w14:textId="41F1CD40" w:rsidR="007F1AC5" w:rsidRDefault="00BE462A">
      <w:pPr>
        <w:pStyle w:val="TM4"/>
        <w:rPr>
          <w:rFonts w:eastAsiaTheme="minorEastAsia" w:cstheme="minorBidi"/>
          <w:noProof/>
          <w:sz w:val="22"/>
          <w:szCs w:val="22"/>
        </w:rPr>
      </w:pPr>
      <w:hyperlink w:anchor="_Toc74557701" w:history="1">
        <w:r w:rsidR="00444CF9">
          <w:rPr>
            <w:rStyle w:val="Lienhypertexte"/>
            <w:rFonts w:eastAsia="Calibri"/>
            <w:noProof/>
          </w:rPr>
          <w:t>4</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Dans quel délai ?</w:t>
        </w:r>
        <w:r w:rsidR="007F1AC5">
          <w:rPr>
            <w:noProof/>
            <w:webHidden/>
          </w:rPr>
          <w:tab/>
        </w:r>
        <w:r w:rsidR="00EF7F4D">
          <w:rPr>
            <w:noProof/>
            <w:webHidden/>
          </w:rPr>
          <w:t>97</w:t>
        </w:r>
      </w:hyperlink>
    </w:p>
    <w:p w14:paraId="646C00CF" w14:textId="745BD5C8" w:rsidR="007F1AC5" w:rsidRDefault="00BE462A">
      <w:pPr>
        <w:pStyle w:val="TM4"/>
        <w:rPr>
          <w:noProof/>
        </w:rPr>
      </w:pPr>
      <w:hyperlink w:anchor="_Toc74557702" w:history="1">
        <w:r w:rsidR="00444CF9">
          <w:rPr>
            <w:rStyle w:val="Lienhypertexte"/>
            <w:rFonts w:eastAsia="Calibri"/>
            <w:noProof/>
          </w:rPr>
          <w:t>5</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Auprès de qui ?</w:t>
        </w:r>
        <w:r w:rsidR="007F1AC5">
          <w:rPr>
            <w:noProof/>
            <w:webHidden/>
          </w:rPr>
          <w:tab/>
        </w:r>
        <w:r w:rsidR="00EF7F4D">
          <w:rPr>
            <w:noProof/>
            <w:webHidden/>
          </w:rPr>
          <w:t>98</w:t>
        </w:r>
      </w:hyperlink>
    </w:p>
    <w:p w14:paraId="7FB7BEBA" w14:textId="5ACB6A31" w:rsidR="00444CF9" w:rsidRPr="00513B3C" w:rsidRDefault="00444CF9">
      <w:pPr>
        <w:pStyle w:val="TM4"/>
        <w:rPr>
          <w:rFonts w:eastAsiaTheme="minorEastAsia"/>
        </w:rPr>
      </w:pPr>
      <w:r>
        <w:rPr>
          <w:rFonts w:eastAsiaTheme="minorEastAsia"/>
        </w:rPr>
        <w:t>6.</w:t>
      </w:r>
      <w:r>
        <w:rPr>
          <w:rFonts w:eastAsiaTheme="minorEastAsia"/>
        </w:rPr>
        <w:tab/>
        <w:t>Limite du pouvoir en tant qu'autorité administrative</w:t>
      </w:r>
      <w:r>
        <w:rPr>
          <w:rFonts w:eastAsiaTheme="minorEastAsia"/>
        </w:rPr>
        <w:tab/>
        <w:t>98</w:t>
      </w:r>
    </w:p>
    <w:p w14:paraId="1E67E197" w14:textId="02254914" w:rsidR="007F1AC5" w:rsidRDefault="00BE462A">
      <w:pPr>
        <w:pStyle w:val="TM4"/>
        <w:rPr>
          <w:rFonts w:eastAsiaTheme="minorEastAsia" w:cstheme="minorBidi"/>
          <w:noProof/>
          <w:sz w:val="22"/>
          <w:szCs w:val="22"/>
        </w:rPr>
      </w:pPr>
      <w:hyperlink w:anchor="_Toc74557703" w:history="1">
        <w:r w:rsidR="00444CF9">
          <w:rPr>
            <w:rStyle w:val="Lienhypertexte"/>
            <w:rFonts w:eastAsia="Calibri"/>
            <w:noProof/>
          </w:rPr>
          <w:t>7</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Accusé de réception</w:t>
        </w:r>
        <w:r w:rsidR="007F1AC5">
          <w:rPr>
            <w:noProof/>
            <w:webHidden/>
          </w:rPr>
          <w:tab/>
        </w:r>
        <w:r w:rsidR="00EF7F4D">
          <w:rPr>
            <w:noProof/>
            <w:webHidden/>
          </w:rPr>
          <w:t>98</w:t>
        </w:r>
      </w:hyperlink>
    </w:p>
    <w:p w14:paraId="12460FE9" w14:textId="6B713BA3" w:rsidR="007F1AC5" w:rsidRDefault="00BE462A">
      <w:pPr>
        <w:pStyle w:val="TM4"/>
        <w:rPr>
          <w:rFonts w:eastAsiaTheme="minorEastAsia" w:cstheme="minorBidi"/>
          <w:noProof/>
          <w:sz w:val="22"/>
          <w:szCs w:val="22"/>
        </w:rPr>
      </w:pPr>
      <w:hyperlink w:anchor="_Toc74557704" w:history="1">
        <w:r w:rsidR="00444CF9">
          <w:rPr>
            <w:rStyle w:val="Lienhypertexte"/>
            <w:rFonts w:eastAsia="Calibri"/>
            <w:noProof/>
          </w:rPr>
          <w:t>8</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Procédure</w:t>
        </w:r>
        <w:r w:rsidR="007F1AC5">
          <w:rPr>
            <w:noProof/>
            <w:webHidden/>
          </w:rPr>
          <w:tab/>
        </w:r>
        <w:r w:rsidR="00EF7F4D">
          <w:rPr>
            <w:noProof/>
            <w:webHidden/>
          </w:rPr>
          <w:t>98</w:t>
        </w:r>
      </w:hyperlink>
    </w:p>
    <w:p w14:paraId="24DD1E03" w14:textId="7209BEF8" w:rsidR="007F1AC5" w:rsidRDefault="00BE462A">
      <w:pPr>
        <w:pStyle w:val="TM4"/>
        <w:rPr>
          <w:rFonts w:eastAsiaTheme="minorEastAsia" w:cstheme="minorBidi"/>
          <w:noProof/>
          <w:sz w:val="22"/>
          <w:szCs w:val="22"/>
        </w:rPr>
      </w:pPr>
      <w:hyperlink w:anchor="_Toc74557705" w:history="1">
        <w:r w:rsidR="00444CF9">
          <w:rPr>
            <w:rStyle w:val="Lienhypertexte"/>
            <w:rFonts w:eastAsia="Calibri"/>
            <w:noProof/>
          </w:rPr>
          <w:t>9</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Requête auprès du tribunal de première instance</w:t>
        </w:r>
        <w:r w:rsidR="007F1AC5">
          <w:rPr>
            <w:noProof/>
            <w:webHidden/>
          </w:rPr>
          <w:tab/>
        </w:r>
        <w:r w:rsidR="00EF7F4D">
          <w:rPr>
            <w:noProof/>
            <w:webHidden/>
          </w:rPr>
          <w:t>99</w:t>
        </w:r>
      </w:hyperlink>
    </w:p>
    <w:p w14:paraId="51D50DB0" w14:textId="7AF03071" w:rsidR="007F1AC5" w:rsidRDefault="00BE462A">
      <w:pPr>
        <w:pStyle w:val="TM4"/>
        <w:rPr>
          <w:noProof/>
        </w:rPr>
      </w:pPr>
      <w:hyperlink w:anchor="_Toc74557706" w:history="1">
        <w:r w:rsidR="00444CF9">
          <w:rPr>
            <w:rStyle w:val="Lienhypertexte"/>
            <w:rFonts w:eastAsia="Calibri"/>
            <w:noProof/>
          </w:rPr>
          <w:t>10</w:t>
        </w:r>
        <w:r w:rsidR="007F1AC5" w:rsidRPr="001C5F87">
          <w:rPr>
            <w:rStyle w:val="Lienhypertexte"/>
            <w:rFonts w:eastAsia="Calibri"/>
            <w:noProof/>
          </w:rPr>
          <w:t>.</w:t>
        </w:r>
        <w:r w:rsidR="007F1AC5">
          <w:rPr>
            <w:rFonts w:eastAsiaTheme="minorEastAsia" w:cstheme="minorBidi"/>
            <w:noProof/>
            <w:sz w:val="22"/>
            <w:szCs w:val="22"/>
          </w:rPr>
          <w:tab/>
        </w:r>
        <w:r w:rsidR="007F1AC5" w:rsidRPr="001C5F87">
          <w:rPr>
            <w:rStyle w:val="Lienhypertexte"/>
            <w:rFonts w:eastAsia="Calibri"/>
            <w:noProof/>
          </w:rPr>
          <w:t>Conséquence sur le recouvrement d'une taxe</w:t>
        </w:r>
        <w:r w:rsidR="007F1AC5">
          <w:rPr>
            <w:noProof/>
            <w:webHidden/>
          </w:rPr>
          <w:tab/>
        </w:r>
        <w:r w:rsidR="00BA10DD">
          <w:rPr>
            <w:noProof/>
            <w:webHidden/>
          </w:rPr>
          <w:t>100</w:t>
        </w:r>
      </w:hyperlink>
    </w:p>
    <w:p w14:paraId="0D76A4D9" w14:textId="07319408" w:rsidR="00BA10DD" w:rsidRPr="00BA10DD" w:rsidRDefault="00BA10DD" w:rsidP="00BA10DD">
      <w:pPr>
        <w:pStyle w:val="TM3"/>
        <w:rPr>
          <w:rFonts w:eastAsiaTheme="minorEastAsia"/>
        </w:rPr>
      </w:pPr>
      <w:r>
        <w:rPr>
          <w:rFonts w:eastAsiaTheme="minorEastAsia"/>
        </w:rPr>
        <w:t>VI.4.13 La formalité de déclaration du contribuable</w:t>
      </w:r>
      <w:r>
        <w:rPr>
          <w:rFonts w:eastAsiaTheme="minorEastAsia"/>
        </w:rPr>
        <w:tab/>
        <w:t>100</w:t>
      </w:r>
    </w:p>
    <w:p w14:paraId="757B0668" w14:textId="67B588BB" w:rsidR="007F1AC5" w:rsidRDefault="00BE462A">
      <w:pPr>
        <w:pStyle w:val="TM3"/>
        <w:rPr>
          <w:rFonts w:eastAsiaTheme="minorEastAsia" w:cstheme="minorBidi"/>
          <w:noProof/>
        </w:rPr>
      </w:pPr>
      <w:hyperlink w:anchor="_Toc74557707" w:history="1">
        <w:r w:rsidR="007F1AC5" w:rsidRPr="001C5F87">
          <w:rPr>
            <w:rStyle w:val="Lienhypertexte"/>
            <w:noProof/>
          </w:rPr>
          <w:t>VI.4.14 La procédure de la taxation d’office</w:t>
        </w:r>
        <w:r w:rsidR="007F1AC5">
          <w:rPr>
            <w:noProof/>
            <w:webHidden/>
          </w:rPr>
          <w:tab/>
        </w:r>
        <w:r w:rsidR="007F1AC5">
          <w:rPr>
            <w:noProof/>
            <w:webHidden/>
          </w:rPr>
          <w:fldChar w:fldCharType="begin"/>
        </w:r>
        <w:r w:rsidR="007F1AC5">
          <w:rPr>
            <w:noProof/>
            <w:webHidden/>
          </w:rPr>
          <w:instrText xml:space="preserve"> PAGEREF _Toc74557707 \h </w:instrText>
        </w:r>
        <w:r w:rsidR="007F1AC5">
          <w:rPr>
            <w:noProof/>
            <w:webHidden/>
          </w:rPr>
        </w:r>
        <w:r w:rsidR="007F1AC5">
          <w:rPr>
            <w:noProof/>
            <w:webHidden/>
          </w:rPr>
          <w:fldChar w:fldCharType="separate"/>
        </w:r>
        <w:r w:rsidR="00B44836">
          <w:rPr>
            <w:noProof/>
            <w:webHidden/>
          </w:rPr>
          <w:t>101</w:t>
        </w:r>
        <w:r w:rsidR="007F1AC5">
          <w:rPr>
            <w:noProof/>
            <w:webHidden/>
          </w:rPr>
          <w:fldChar w:fldCharType="end"/>
        </w:r>
      </w:hyperlink>
    </w:p>
    <w:p w14:paraId="0BB1AC16" w14:textId="75410645" w:rsidR="007F1AC5" w:rsidRDefault="00BE462A">
      <w:pPr>
        <w:pStyle w:val="TM3"/>
        <w:rPr>
          <w:rFonts w:eastAsiaTheme="minorEastAsia" w:cstheme="minorBidi"/>
          <w:noProof/>
        </w:rPr>
      </w:pPr>
      <w:hyperlink w:anchor="_Toc74557708" w:history="1">
        <w:r w:rsidR="007F1AC5" w:rsidRPr="001C5F87">
          <w:rPr>
            <w:rStyle w:val="Lienhypertexte"/>
            <w:noProof/>
            <w:lang w:eastAsia="zh-CN"/>
          </w:rPr>
          <w:t>VI.4.14 Articles 355 à 357 du code des impôts sur les revenus</w:t>
        </w:r>
        <w:r w:rsidR="007F1AC5">
          <w:rPr>
            <w:noProof/>
            <w:webHidden/>
          </w:rPr>
          <w:tab/>
        </w:r>
        <w:r w:rsidR="007F1AC5">
          <w:rPr>
            <w:noProof/>
            <w:webHidden/>
          </w:rPr>
          <w:fldChar w:fldCharType="begin"/>
        </w:r>
        <w:r w:rsidR="007F1AC5">
          <w:rPr>
            <w:noProof/>
            <w:webHidden/>
          </w:rPr>
          <w:instrText xml:space="preserve"> PAGEREF _Toc74557708 \h </w:instrText>
        </w:r>
        <w:r w:rsidR="007F1AC5">
          <w:rPr>
            <w:noProof/>
            <w:webHidden/>
          </w:rPr>
        </w:r>
        <w:r w:rsidR="007F1AC5">
          <w:rPr>
            <w:noProof/>
            <w:webHidden/>
          </w:rPr>
          <w:fldChar w:fldCharType="separate"/>
        </w:r>
        <w:r w:rsidR="00B44836">
          <w:rPr>
            <w:noProof/>
            <w:webHidden/>
          </w:rPr>
          <w:t>102</w:t>
        </w:r>
        <w:r w:rsidR="007F1AC5">
          <w:rPr>
            <w:noProof/>
            <w:webHidden/>
          </w:rPr>
          <w:fldChar w:fldCharType="end"/>
        </w:r>
      </w:hyperlink>
    </w:p>
    <w:p w14:paraId="3A237579" w14:textId="7547F630" w:rsidR="007F1AC5" w:rsidRDefault="00BE462A">
      <w:pPr>
        <w:pStyle w:val="TM4"/>
        <w:rPr>
          <w:rFonts w:eastAsiaTheme="minorEastAsia" w:cstheme="minorBidi"/>
          <w:noProof/>
          <w:sz w:val="22"/>
          <w:szCs w:val="22"/>
        </w:rPr>
      </w:pPr>
      <w:hyperlink w:anchor="_Toc74557709"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Établissement d’une nouvelle cotisation</w:t>
        </w:r>
        <w:r w:rsidR="007F1AC5">
          <w:rPr>
            <w:noProof/>
            <w:webHidden/>
          </w:rPr>
          <w:tab/>
        </w:r>
        <w:r w:rsidR="007F1AC5">
          <w:rPr>
            <w:noProof/>
            <w:webHidden/>
          </w:rPr>
          <w:fldChar w:fldCharType="begin"/>
        </w:r>
        <w:r w:rsidR="007F1AC5">
          <w:rPr>
            <w:noProof/>
            <w:webHidden/>
          </w:rPr>
          <w:instrText xml:space="preserve"> PAGEREF _Toc74557709 \h </w:instrText>
        </w:r>
        <w:r w:rsidR="007F1AC5">
          <w:rPr>
            <w:noProof/>
            <w:webHidden/>
          </w:rPr>
        </w:r>
        <w:r w:rsidR="007F1AC5">
          <w:rPr>
            <w:noProof/>
            <w:webHidden/>
          </w:rPr>
          <w:fldChar w:fldCharType="separate"/>
        </w:r>
        <w:r w:rsidR="00B44836">
          <w:rPr>
            <w:noProof/>
            <w:webHidden/>
          </w:rPr>
          <w:t>102</w:t>
        </w:r>
        <w:r w:rsidR="007F1AC5">
          <w:rPr>
            <w:noProof/>
            <w:webHidden/>
          </w:rPr>
          <w:fldChar w:fldCharType="end"/>
        </w:r>
      </w:hyperlink>
    </w:p>
    <w:p w14:paraId="7D5E869C" w14:textId="31CDEDAB" w:rsidR="007F1AC5" w:rsidRDefault="00BE462A">
      <w:pPr>
        <w:pStyle w:val="TM4"/>
        <w:rPr>
          <w:rFonts w:eastAsiaTheme="minorEastAsia" w:cstheme="minorBidi"/>
          <w:noProof/>
          <w:sz w:val="22"/>
          <w:szCs w:val="22"/>
        </w:rPr>
      </w:pPr>
      <w:hyperlink w:anchor="_Toc74557710"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Établissement d’une cotisation subsidiaire</w:t>
        </w:r>
        <w:r w:rsidR="007F1AC5">
          <w:rPr>
            <w:noProof/>
            <w:webHidden/>
          </w:rPr>
          <w:tab/>
        </w:r>
        <w:r w:rsidR="007F1AC5">
          <w:rPr>
            <w:noProof/>
            <w:webHidden/>
          </w:rPr>
          <w:fldChar w:fldCharType="begin"/>
        </w:r>
        <w:r w:rsidR="007F1AC5">
          <w:rPr>
            <w:noProof/>
            <w:webHidden/>
          </w:rPr>
          <w:instrText xml:space="preserve"> PAGEREF _Toc74557710 \h </w:instrText>
        </w:r>
        <w:r w:rsidR="007F1AC5">
          <w:rPr>
            <w:noProof/>
            <w:webHidden/>
          </w:rPr>
        </w:r>
        <w:r w:rsidR="007F1AC5">
          <w:rPr>
            <w:noProof/>
            <w:webHidden/>
          </w:rPr>
          <w:fldChar w:fldCharType="separate"/>
        </w:r>
        <w:r w:rsidR="00B44836">
          <w:rPr>
            <w:noProof/>
            <w:webHidden/>
          </w:rPr>
          <w:t>103</w:t>
        </w:r>
        <w:r w:rsidR="007F1AC5">
          <w:rPr>
            <w:noProof/>
            <w:webHidden/>
          </w:rPr>
          <w:fldChar w:fldCharType="end"/>
        </w:r>
      </w:hyperlink>
    </w:p>
    <w:p w14:paraId="2E5EFED7" w14:textId="208AFE6B" w:rsidR="007F1AC5" w:rsidRDefault="00BE462A">
      <w:pPr>
        <w:pStyle w:val="TM4"/>
        <w:rPr>
          <w:rFonts w:eastAsiaTheme="minorEastAsia" w:cstheme="minorBidi"/>
          <w:noProof/>
          <w:sz w:val="22"/>
          <w:szCs w:val="22"/>
        </w:rPr>
      </w:pPr>
      <w:hyperlink w:anchor="_Toc74557711" w:history="1">
        <w:r w:rsidR="007F1AC5" w:rsidRPr="001C5F87">
          <w:rPr>
            <w:rStyle w:val="Lienhypertexte"/>
            <w:noProof/>
          </w:rPr>
          <w:t>3.</w:t>
        </w:r>
        <w:r w:rsidR="007F1AC5">
          <w:rPr>
            <w:rFonts w:eastAsiaTheme="minorEastAsia" w:cstheme="minorBidi"/>
            <w:noProof/>
            <w:sz w:val="22"/>
            <w:szCs w:val="22"/>
          </w:rPr>
          <w:tab/>
        </w:r>
        <w:r w:rsidR="007F1AC5" w:rsidRPr="001C5F87">
          <w:rPr>
            <w:rStyle w:val="Lienhypertexte"/>
            <w:noProof/>
          </w:rPr>
          <w:t>Personnes assimilées au redevable</w:t>
        </w:r>
        <w:r w:rsidR="007F1AC5">
          <w:rPr>
            <w:noProof/>
            <w:webHidden/>
          </w:rPr>
          <w:tab/>
        </w:r>
        <w:r w:rsidR="007F1AC5">
          <w:rPr>
            <w:noProof/>
            <w:webHidden/>
          </w:rPr>
          <w:fldChar w:fldCharType="begin"/>
        </w:r>
        <w:r w:rsidR="007F1AC5">
          <w:rPr>
            <w:noProof/>
            <w:webHidden/>
          </w:rPr>
          <w:instrText xml:space="preserve"> PAGEREF _Toc74557711 \h </w:instrText>
        </w:r>
        <w:r w:rsidR="007F1AC5">
          <w:rPr>
            <w:noProof/>
            <w:webHidden/>
          </w:rPr>
        </w:r>
        <w:r w:rsidR="007F1AC5">
          <w:rPr>
            <w:noProof/>
            <w:webHidden/>
          </w:rPr>
          <w:fldChar w:fldCharType="separate"/>
        </w:r>
        <w:r w:rsidR="00B44836">
          <w:rPr>
            <w:noProof/>
            <w:webHidden/>
          </w:rPr>
          <w:t>103</w:t>
        </w:r>
        <w:r w:rsidR="007F1AC5">
          <w:rPr>
            <w:noProof/>
            <w:webHidden/>
          </w:rPr>
          <w:fldChar w:fldCharType="end"/>
        </w:r>
      </w:hyperlink>
    </w:p>
    <w:p w14:paraId="0D6354CD" w14:textId="654ABFCE" w:rsidR="007F1AC5" w:rsidRDefault="00BE462A">
      <w:pPr>
        <w:pStyle w:val="TM3"/>
        <w:rPr>
          <w:rFonts w:eastAsiaTheme="minorEastAsia" w:cstheme="minorBidi"/>
          <w:noProof/>
        </w:rPr>
      </w:pPr>
      <w:hyperlink w:anchor="_Toc74557712" w:history="1">
        <w:r w:rsidR="007F1AC5" w:rsidRPr="001C5F87">
          <w:rPr>
            <w:rStyle w:val="Lienhypertexte"/>
            <w:noProof/>
          </w:rPr>
          <w:t>VI.4.15 Intérêts de retard et intérêts moratoires en matière d’impôt sur les revenus</w:t>
        </w:r>
        <w:r w:rsidR="007F1AC5">
          <w:rPr>
            <w:noProof/>
            <w:webHidden/>
          </w:rPr>
          <w:tab/>
        </w:r>
        <w:r w:rsidR="007F1AC5">
          <w:rPr>
            <w:noProof/>
            <w:webHidden/>
          </w:rPr>
          <w:fldChar w:fldCharType="begin"/>
        </w:r>
        <w:r w:rsidR="007F1AC5">
          <w:rPr>
            <w:noProof/>
            <w:webHidden/>
          </w:rPr>
          <w:instrText xml:space="preserve"> PAGEREF _Toc74557712 \h </w:instrText>
        </w:r>
        <w:r w:rsidR="007F1AC5">
          <w:rPr>
            <w:noProof/>
            <w:webHidden/>
          </w:rPr>
        </w:r>
        <w:r w:rsidR="007F1AC5">
          <w:rPr>
            <w:noProof/>
            <w:webHidden/>
          </w:rPr>
          <w:fldChar w:fldCharType="separate"/>
        </w:r>
        <w:r w:rsidR="00B44836">
          <w:rPr>
            <w:noProof/>
            <w:webHidden/>
          </w:rPr>
          <w:t>104</w:t>
        </w:r>
        <w:r w:rsidR="007F1AC5">
          <w:rPr>
            <w:noProof/>
            <w:webHidden/>
          </w:rPr>
          <w:fldChar w:fldCharType="end"/>
        </w:r>
      </w:hyperlink>
    </w:p>
    <w:p w14:paraId="36B8F605" w14:textId="2FFA22C9" w:rsidR="007F1AC5" w:rsidRDefault="00BE462A">
      <w:pPr>
        <w:pStyle w:val="TM3"/>
        <w:rPr>
          <w:rFonts w:eastAsiaTheme="minorEastAsia" w:cstheme="minorBidi"/>
          <w:noProof/>
        </w:rPr>
      </w:pPr>
      <w:hyperlink w:anchor="_Toc74557713" w:history="1">
        <w:r w:rsidR="007F1AC5" w:rsidRPr="001C5F87">
          <w:rPr>
            <w:rStyle w:val="Lienhypertexte"/>
            <w:noProof/>
          </w:rPr>
          <w:t>VI.4.16 Fixation du prix de l'eau pour les communes distributrices</w:t>
        </w:r>
        <w:r w:rsidR="007F1AC5">
          <w:rPr>
            <w:noProof/>
            <w:webHidden/>
          </w:rPr>
          <w:tab/>
        </w:r>
        <w:r w:rsidR="007F1AC5">
          <w:rPr>
            <w:noProof/>
            <w:webHidden/>
          </w:rPr>
          <w:fldChar w:fldCharType="begin"/>
        </w:r>
        <w:r w:rsidR="007F1AC5">
          <w:rPr>
            <w:noProof/>
            <w:webHidden/>
          </w:rPr>
          <w:instrText xml:space="preserve"> PAGEREF _Toc74557713 \h </w:instrText>
        </w:r>
        <w:r w:rsidR="007F1AC5">
          <w:rPr>
            <w:noProof/>
            <w:webHidden/>
          </w:rPr>
        </w:r>
        <w:r w:rsidR="007F1AC5">
          <w:rPr>
            <w:noProof/>
            <w:webHidden/>
          </w:rPr>
          <w:fldChar w:fldCharType="separate"/>
        </w:r>
        <w:r w:rsidR="00B44836">
          <w:rPr>
            <w:noProof/>
            <w:webHidden/>
          </w:rPr>
          <w:t>105</w:t>
        </w:r>
        <w:r w:rsidR="007F1AC5">
          <w:rPr>
            <w:noProof/>
            <w:webHidden/>
          </w:rPr>
          <w:fldChar w:fldCharType="end"/>
        </w:r>
      </w:hyperlink>
    </w:p>
    <w:p w14:paraId="70C2E479" w14:textId="0F85CEAF" w:rsidR="007F1AC5" w:rsidRDefault="00BE462A">
      <w:pPr>
        <w:pStyle w:val="TM3"/>
        <w:rPr>
          <w:rFonts w:eastAsiaTheme="minorEastAsia" w:cstheme="minorBidi"/>
          <w:noProof/>
        </w:rPr>
      </w:pPr>
      <w:hyperlink w:anchor="_Toc74557714" w:history="1">
        <w:r w:rsidR="007F1AC5" w:rsidRPr="001C5F87">
          <w:rPr>
            <w:rStyle w:val="Lienhypertexte"/>
            <w:noProof/>
          </w:rPr>
          <w:t>VI.4.17 Contentieux relatif au précompte immobilier : Droit à l’information</w:t>
        </w:r>
        <w:r w:rsidR="007F1AC5">
          <w:rPr>
            <w:noProof/>
            <w:webHidden/>
          </w:rPr>
          <w:tab/>
        </w:r>
        <w:r w:rsidR="007F1AC5">
          <w:rPr>
            <w:noProof/>
            <w:webHidden/>
          </w:rPr>
          <w:fldChar w:fldCharType="begin"/>
        </w:r>
        <w:r w:rsidR="007F1AC5">
          <w:rPr>
            <w:noProof/>
            <w:webHidden/>
          </w:rPr>
          <w:instrText xml:space="preserve"> PAGEREF _Toc74557714 \h </w:instrText>
        </w:r>
        <w:r w:rsidR="007F1AC5">
          <w:rPr>
            <w:noProof/>
            <w:webHidden/>
          </w:rPr>
        </w:r>
        <w:r w:rsidR="007F1AC5">
          <w:rPr>
            <w:noProof/>
            <w:webHidden/>
          </w:rPr>
          <w:fldChar w:fldCharType="separate"/>
        </w:r>
        <w:r w:rsidR="00B44836">
          <w:rPr>
            <w:noProof/>
            <w:webHidden/>
          </w:rPr>
          <w:t>106</w:t>
        </w:r>
        <w:r w:rsidR="007F1AC5">
          <w:rPr>
            <w:noProof/>
            <w:webHidden/>
          </w:rPr>
          <w:fldChar w:fldCharType="end"/>
        </w:r>
      </w:hyperlink>
    </w:p>
    <w:p w14:paraId="7FC3DACF" w14:textId="1180240D" w:rsidR="007F1AC5" w:rsidRDefault="00BE462A">
      <w:pPr>
        <w:pStyle w:val="TM1"/>
        <w:rPr>
          <w:noProof/>
        </w:rPr>
      </w:pPr>
      <w:hyperlink w:anchor="_Toc74557715" w:history="1">
        <w:r w:rsidR="007F1AC5" w:rsidRPr="001C5F87">
          <w:rPr>
            <w:rStyle w:val="Lienhypertexte"/>
            <w:noProof/>
          </w:rPr>
          <w:t>VII.</w:t>
        </w:r>
        <w:r w:rsidR="007F1AC5">
          <w:rPr>
            <w:rFonts w:eastAsiaTheme="minorEastAsia" w:cstheme="minorBidi"/>
            <w:b w:val="0"/>
            <w:bCs w:val="0"/>
            <w:noProof/>
            <w:sz w:val="22"/>
            <w:szCs w:val="22"/>
          </w:rPr>
          <w:tab/>
        </w:r>
        <w:r w:rsidR="007F1AC5" w:rsidRPr="001C5F87">
          <w:rPr>
            <w:rStyle w:val="Lienhypertexte"/>
            <w:noProof/>
          </w:rPr>
          <w:t>Nomenclature des taxes communales</w:t>
        </w:r>
        <w:r w:rsidR="007F1AC5">
          <w:rPr>
            <w:noProof/>
            <w:webHidden/>
          </w:rPr>
          <w:tab/>
        </w:r>
        <w:r w:rsidR="007F1AC5">
          <w:rPr>
            <w:noProof/>
            <w:webHidden/>
          </w:rPr>
          <w:fldChar w:fldCharType="begin"/>
        </w:r>
        <w:r w:rsidR="007F1AC5">
          <w:rPr>
            <w:noProof/>
            <w:webHidden/>
          </w:rPr>
          <w:instrText xml:space="preserve"> PAGEREF _Toc74557715 \h </w:instrText>
        </w:r>
        <w:r w:rsidR="007F1AC5">
          <w:rPr>
            <w:noProof/>
            <w:webHidden/>
          </w:rPr>
        </w:r>
        <w:r w:rsidR="007F1AC5">
          <w:rPr>
            <w:noProof/>
            <w:webHidden/>
          </w:rPr>
          <w:fldChar w:fldCharType="separate"/>
        </w:r>
        <w:r w:rsidR="00B44836">
          <w:rPr>
            <w:noProof/>
            <w:webHidden/>
          </w:rPr>
          <w:t>107</w:t>
        </w:r>
        <w:r w:rsidR="007F1AC5">
          <w:rPr>
            <w:noProof/>
            <w:webHidden/>
          </w:rPr>
          <w:fldChar w:fldCharType="end"/>
        </w:r>
      </w:hyperlink>
    </w:p>
    <w:p w14:paraId="7BF3C5E2" w14:textId="44FA9B56" w:rsidR="00444CF9" w:rsidRPr="00513B3C" w:rsidRDefault="00444CF9" w:rsidP="00513B3C">
      <w:pPr>
        <w:rPr>
          <w:rFonts w:eastAsiaTheme="minorEastAsia"/>
          <w:b/>
          <w:bCs/>
          <w:sz w:val="22"/>
          <w:szCs w:val="22"/>
        </w:rPr>
      </w:pPr>
      <w:r w:rsidRPr="00513B3C">
        <w:rPr>
          <w:rFonts w:eastAsiaTheme="minorEastAsia"/>
          <w:sz w:val="22"/>
          <w:szCs w:val="22"/>
        </w:rPr>
        <w:tab/>
      </w:r>
      <w:r w:rsidR="00ED5C2E" w:rsidRPr="00513B3C">
        <w:rPr>
          <w:rFonts w:eastAsiaTheme="minorEastAsia"/>
          <w:sz w:val="22"/>
          <w:szCs w:val="22"/>
        </w:rPr>
        <w:tab/>
        <w:t>L'indexation</w:t>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r>
      <w:r w:rsidR="00ED5C2E" w:rsidRPr="00513B3C">
        <w:rPr>
          <w:rFonts w:eastAsiaTheme="minorEastAsia"/>
          <w:sz w:val="22"/>
          <w:szCs w:val="22"/>
        </w:rPr>
        <w:tab/>
        <w:t xml:space="preserve">   </w:t>
      </w:r>
      <w:r w:rsidR="00513B3C">
        <w:rPr>
          <w:rFonts w:eastAsiaTheme="minorEastAsia"/>
          <w:sz w:val="22"/>
          <w:szCs w:val="22"/>
        </w:rPr>
        <w:t xml:space="preserve"> </w:t>
      </w:r>
      <w:r w:rsidR="00ED5C2E" w:rsidRPr="00513B3C">
        <w:rPr>
          <w:rFonts w:eastAsiaTheme="minorEastAsia"/>
          <w:sz w:val="22"/>
          <w:szCs w:val="22"/>
        </w:rPr>
        <w:t>107</w:t>
      </w:r>
    </w:p>
    <w:p w14:paraId="17AE23EC" w14:textId="68A9291E" w:rsidR="007F1AC5" w:rsidRDefault="00BE462A">
      <w:pPr>
        <w:pStyle w:val="TM2"/>
        <w:tabs>
          <w:tab w:val="left" w:pos="1701"/>
          <w:tab w:val="right" w:leader="underscore" w:pos="9062"/>
        </w:tabs>
        <w:rPr>
          <w:rFonts w:eastAsiaTheme="minorEastAsia" w:cstheme="minorBidi"/>
          <w:b w:val="0"/>
          <w:bCs w:val="0"/>
          <w:noProof/>
        </w:rPr>
      </w:pPr>
      <w:hyperlink w:anchor="_Toc74557716" w:history="1">
        <w:r w:rsidR="007F1AC5" w:rsidRPr="001C5F87">
          <w:rPr>
            <w:rStyle w:val="Lienhypertexte"/>
            <w:noProof/>
          </w:rPr>
          <w:t>VII.1.</w:t>
        </w:r>
        <w:r w:rsidR="007F1AC5">
          <w:rPr>
            <w:rFonts w:eastAsiaTheme="minorEastAsia" w:cstheme="minorBidi"/>
            <w:b w:val="0"/>
            <w:bCs w:val="0"/>
            <w:noProof/>
          </w:rPr>
          <w:tab/>
        </w:r>
        <w:r w:rsidR="007F1AC5" w:rsidRPr="001C5F87">
          <w:rPr>
            <w:rStyle w:val="Lienhypertexte"/>
            <w:noProof/>
          </w:rPr>
          <w:t>Prestations administratives</w:t>
        </w:r>
        <w:r w:rsidR="007F1AC5">
          <w:rPr>
            <w:noProof/>
            <w:webHidden/>
          </w:rPr>
          <w:tab/>
        </w:r>
        <w:r w:rsidR="007F1AC5">
          <w:rPr>
            <w:noProof/>
            <w:webHidden/>
          </w:rPr>
          <w:fldChar w:fldCharType="begin"/>
        </w:r>
        <w:r w:rsidR="007F1AC5">
          <w:rPr>
            <w:noProof/>
            <w:webHidden/>
          </w:rPr>
          <w:instrText xml:space="preserve"> PAGEREF _Toc74557716 \h </w:instrText>
        </w:r>
        <w:r w:rsidR="007F1AC5">
          <w:rPr>
            <w:noProof/>
            <w:webHidden/>
          </w:rPr>
        </w:r>
        <w:r w:rsidR="007F1AC5">
          <w:rPr>
            <w:noProof/>
            <w:webHidden/>
          </w:rPr>
          <w:fldChar w:fldCharType="separate"/>
        </w:r>
        <w:r w:rsidR="00B44836">
          <w:rPr>
            <w:noProof/>
            <w:webHidden/>
          </w:rPr>
          <w:t>108</w:t>
        </w:r>
        <w:r w:rsidR="007F1AC5">
          <w:rPr>
            <w:noProof/>
            <w:webHidden/>
          </w:rPr>
          <w:fldChar w:fldCharType="end"/>
        </w:r>
      </w:hyperlink>
    </w:p>
    <w:p w14:paraId="0EA4DDCB" w14:textId="30958888" w:rsidR="007F1AC5" w:rsidRDefault="00BE462A">
      <w:pPr>
        <w:pStyle w:val="TM3"/>
        <w:rPr>
          <w:rFonts w:eastAsiaTheme="minorEastAsia" w:cstheme="minorBidi"/>
          <w:noProof/>
        </w:rPr>
      </w:pPr>
      <w:hyperlink w:anchor="_Toc74557717" w:history="1">
        <w:r w:rsidR="007F1AC5" w:rsidRPr="001C5F87">
          <w:rPr>
            <w:rStyle w:val="Lienhypertexte"/>
            <w:noProof/>
          </w:rPr>
          <w:t>VII.7.1 040/361-01 : Conservation des véhicules (saisis ou déplacés par la police)</w:t>
        </w:r>
        <w:r w:rsidR="007F1AC5">
          <w:rPr>
            <w:noProof/>
            <w:webHidden/>
          </w:rPr>
          <w:tab/>
        </w:r>
        <w:r w:rsidR="007F1AC5">
          <w:rPr>
            <w:noProof/>
            <w:webHidden/>
          </w:rPr>
          <w:fldChar w:fldCharType="begin"/>
        </w:r>
        <w:r w:rsidR="007F1AC5">
          <w:rPr>
            <w:noProof/>
            <w:webHidden/>
          </w:rPr>
          <w:instrText xml:space="preserve"> PAGEREF _Toc74557717 \h </w:instrText>
        </w:r>
        <w:r w:rsidR="007F1AC5">
          <w:rPr>
            <w:noProof/>
            <w:webHidden/>
          </w:rPr>
        </w:r>
        <w:r w:rsidR="007F1AC5">
          <w:rPr>
            <w:noProof/>
            <w:webHidden/>
          </w:rPr>
          <w:fldChar w:fldCharType="separate"/>
        </w:r>
        <w:r w:rsidR="00B44836">
          <w:rPr>
            <w:noProof/>
            <w:webHidden/>
          </w:rPr>
          <w:t>108</w:t>
        </w:r>
        <w:r w:rsidR="007F1AC5">
          <w:rPr>
            <w:noProof/>
            <w:webHidden/>
          </w:rPr>
          <w:fldChar w:fldCharType="end"/>
        </w:r>
      </w:hyperlink>
    </w:p>
    <w:p w14:paraId="65DD6C0B" w14:textId="66CEC429" w:rsidR="007F1AC5" w:rsidRDefault="00BE462A">
      <w:pPr>
        <w:pStyle w:val="TM3"/>
        <w:rPr>
          <w:rFonts w:eastAsiaTheme="minorEastAsia" w:cstheme="minorBidi"/>
          <w:noProof/>
        </w:rPr>
      </w:pPr>
      <w:hyperlink w:anchor="_Toc74557718" w:history="1">
        <w:r w:rsidR="007F1AC5" w:rsidRPr="001C5F87">
          <w:rPr>
            <w:rStyle w:val="Lienhypertexte"/>
            <w:noProof/>
          </w:rPr>
          <w:t>VII.1.2 040/361-02 : Demande d'autorisation d'activités (décrets du 11031999 relatif au permis d’environnement ou du 5/02/2015 relatif aux implantations commerciales)</w:t>
        </w:r>
        <w:r w:rsidR="007F1AC5">
          <w:rPr>
            <w:noProof/>
            <w:webHidden/>
          </w:rPr>
          <w:tab/>
        </w:r>
        <w:r w:rsidR="007F1AC5">
          <w:rPr>
            <w:noProof/>
            <w:webHidden/>
          </w:rPr>
          <w:fldChar w:fldCharType="begin"/>
        </w:r>
        <w:r w:rsidR="007F1AC5">
          <w:rPr>
            <w:noProof/>
            <w:webHidden/>
          </w:rPr>
          <w:instrText xml:space="preserve"> PAGEREF _Toc74557718 \h </w:instrText>
        </w:r>
        <w:r w:rsidR="007F1AC5">
          <w:rPr>
            <w:noProof/>
            <w:webHidden/>
          </w:rPr>
        </w:r>
        <w:r w:rsidR="007F1AC5">
          <w:rPr>
            <w:noProof/>
            <w:webHidden/>
          </w:rPr>
          <w:fldChar w:fldCharType="separate"/>
        </w:r>
        <w:r w:rsidR="00B44836">
          <w:rPr>
            <w:noProof/>
            <w:webHidden/>
          </w:rPr>
          <w:t>109</w:t>
        </w:r>
        <w:r w:rsidR="007F1AC5">
          <w:rPr>
            <w:noProof/>
            <w:webHidden/>
          </w:rPr>
          <w:fldChar w:fldCharType="end"/>
        </w:r>
      </w:hyperlink>
    </w:p>
    <w:p w14:paraId="7A86BDC8" w14:textId="6263F334" w:rsidR="007F1AC5" w:rsidRDefault="00BE462A">
      <w:pPr>
        <w:pStyle w:val="TM3"/>
        <w:rPr>
          <w:rFonts w:eastAsiaTheme="minorEastAsia" w:cstheme="minorBidi"/>
          <w:noProof/>
        </w:rPr>
      </w:pPr>
      <w:hyperlink w:anchor="_Toc74557719" w:history="1">
        <w:r w:rsidR="007F1AC5" w:rsidRPr="001C5F87">
          <w:rPr>
            <w:rStyle w:val="Lienhypertexte"/>
            <w:noProof/>
          </w:rPr>
          <w:t>VII.1.3 040/361-03 : Délivrance d'un permis d'urbanisation (anciennement permis de lotir)</w:t>
        </w:r>
        <w:r w:rsidR="007F1AC5">
          <w:rPr>
            <w:noProof/>
            <w:webHidden/>
          </w:rPr>
          <w:tab/>
        </w:r>
        <w:r w:rsidR="007F1AC5">
          <w:rPr>
            <w:noProof/>
            <w:webHidden/>
          </w:rPr>
          <w:fldChar w:fldCharType="begin"/>
        </w:r>
        <w:r w:rsidR="007F1AC5">
          <w:rPr>
            <w:noProof/>
            <w:webHidden/>
          </w:rPr>
          <w:instrText xml:space="preserve"> PAGEREF _Toc74557719 \h </w:instrText>
        </w:r>
        <w:r w:rsidR="007F1AC5">
          <w:rPr>
            <w:noProof/>
            <w:webHidden/>
          </w:rPr>
        </w:r>
        <w:r w:rsidR="007F1AC5">
          <w:rPr>
            <w:noProof/>
            <w:webHidden/>
          </w:rPr>
          <w:fldChar w:fldCharType="separate"/>
        </w:r>
        <w:r w:rsidR="00B44836">
          <w:rPr>
            <w:noProof/>
            <w:webHidden/>
          </w:rPr>
          <w:t>111</w:t>
        </w:r>
        <w:r w:rsidR="007F1AC5">
          <w:rPr>
            <w:noProof/>
            <w:webHidden/>
          </w:rPr>
          <w:fldChar w:fldCharType="end"/>
        </w:r>
      </w:hyperlink>
    </w:p>
    <w:p w14:paraId="1E2B8F0E" w14:textId="5ACCEC00" w:rsidR="007F1AC5" w:rsidRDefault="00BE462A">
      <w:pPr>
        <w:pStyle w:val="TM3"/>
        <w:rPr>
          <w:rFonts w:eastAsiaTheme="minorEastAsia" w:cstheme="minorBidi"/>
          <w:noProof/>
        </w:rPr>
      </w:pPr>
      <w:hyperlink w:anchor="_Toc74557720" w:history="1">
        <w:r w:rsidR="007F1AC5" w:rsidRPr="001C5F87">
          <w:rPr>
            <w:rStyle w:val="Lienhypertexte"/>
            <w:noProof/>
          </w:rPr>
          <w:t>VII.1.4 040/361-04 : Délivrance de documents administratifs</w:t>
        </w:r>
        <w:r w:rsidR="007F1AC5">
          <w:rPr>
            <w:noProof/>
            <w:webHidden/>
          </w:rPr>
          <w:tab/>
        </w:r>
        <w:r w:rsidR="007F1AC5">
          <w:rPr>
            <w:noProof/>
            <w:webHidden/>
          </w:rPr>
          <w:fldChar w:fldCharType="begin"/>
        </w:r>
        <w:r w:rsidR="007F1AC5">
          <w:rPr>
            <w:noProof/>
            <w:webHidden/>
          </w:rPr>
          <w:instrText xml:space="preserve"> PAGEREF _Toc74557720 \h </w:instrText>
        </w:r>
        <w:r w:rsidR="007F1AC5">
          <w:rPr>
            <w:noProof/>
            <w:webHidden/>
          </w:rPr>
        </w:r>
        <w:r w:rsidR="007F1AC5">
          <w:rPr>
            <w:noProof/>
            <w:webHidden/>
          </w:rPr>
          <w:fldChar w:fldCharType="separate"/>
        </w:r>
        <w:r w:rsidR="00B44836">
          <w:rPr>
            <w:noProof/>
            <w:webHidden/>
          </w:rPr>
          <w:t>111</w:t>
        </w:r>
        <w:r w:rsidR="007F1AC5">
          <w:rPr>
            <w:noProof/>
            <w:webHidden/>
          </w:rPr>
          <w:fldChar w:fldCharType="end"/>
        </w:r>
      </w:hyperlink>
    </w:p>
    <w:p w14:paraId="081BC70F" w14:textId="01379EE2" w:rsidR="007F1AC5" w:rsidRDefault="00BE462A">
      <w:pPr>
        <w:pStyle w:val="TM4"/>
        <w:rPr>
          <w:rFonts w:eastAsiaTheme="minorEastAsia" w:cstheme="minorBidi"/>
          <w:noProof/>
          <w:sz w:val="22"/>
          <w:szCs w:val="22"/>
        </w:rPr>
      </w:pPr>
      <w:hyperlink w:anchor="_Toc74557721" w:history="1">
        <w:r w:rsidR="007F1AC5" w:rsidRPr="001C5F87">
          <w:rPr>
            <w:rStyle w:val="Lienhypertexte"/>
            <w:noProof/>
            <w:spacing w:val="11"/>
          </w:rPr>
          <w:t>1.</w:t>
        </w:r>
        <w:r w:rsidR="007F1AC5">
          <w:rPr>
            <w:rFonts w:eastAsiaTheme="minorEastAsia" w:cstheme="minorBidi"/>
            <w:noProof/>
            <w:sz w:val="22"/>
            <w:szCs w:val="22"/>
          </w:rPr>
          <w:tab/>
        </w:r>
        <w:r w:rsidR="007F1AC5" w:rsidRPr="001C5F87">
          <w:rPr>
            <w:rStyle w:val="Lienhypertexte"/>
            <w:noProof/>
            <w:spacing w:val="11"/>
          </w:rPr>
          <w:t>Cartes électronique (eID) et documents électroniques pour étrangers :</w:t>
        </w:r>
        <w:r w:rsidR="007F1AC5">
          <w:rPr>
            <w:noProof/>
            <w:webHidden/>
          </w:rPr>
          <w:tab/>
        </w:r>
        <w:r w:rsidR="007F1AC5">
          <w:rPr>
            <w:noProof/>
            <w:webHidden/>
          </w:rPr>
          <w:fldChar w:fldCharType="begin"/>
        </w:r>
        <w:r w:rsidR="007F1AC5">
          <w:rPr>
            <w:noProof/>
            <w:webHidden/>
          </w:rPr>
          <w:instrText xml:space="preserve"> PAGEREF _Toc74557721 \h </w:instrText>
        </w:r>
        <w:r w:rsidR="007F1AC5">
          <w:rPr>
            <w:noProof/>
            <w:webHidden/>
          </w:rPr>
        </w:r>
        <w:r w:rsidR="007F1AC5">
          <w:rPr>
            <w:noProof/>
            <w:webHidden/>
          </w:rPr>
          <w:fldChar w:fldCharType="separate"/>
        </w:r>
        <w:r w:rsidR="00B44836">
          <w:rPr>
            <w:noProof/>
            <w:webHidden/>
          </w:rPr>
          <w:t>112</w:t>
        </w:r>
        <w:r w:rsidR="007F1AC5">
          <w:rPr>
            <w:noProof/>
            <w:webHidden/>
          </w:rPr>
          <w:fldChar w:fldCharType="end"/>
        </w:r>
      </w:hyperlink>
    </w:p>
    <w:p w14:paraId="2CB03C0E" w14:textId="4B800A73" w:rsidR="007F1AC5" w:rsidRDefault="00BE462A">
      <w:pPr>
        <w:pStyle w:val="TM4"/>
        <w:rPr>
          <w:rFonts w:eastAsiaTheme="minorEastAsia" w:cstheme="minorBidi"/>
          <w:noProof/>
          <w:sz w:val="22"/>
          <w:szCs w:val="22"/>
        </w:rPr>
      </w:pPr>
      <w:hyperlink w:anchor="_Toc74557722" w:history="1">
        <w:r w:rsidR="007F1AC5" w:rsidRPr="001C5F87">
          <w:rPr>
            <w:rStyle w:val="Lienhypertexte"/>
            <w:noProof/>
            <w:spacing w:val="11"/>
          </w:rPr>
          <w:t>2.</w:t>
        </w:r>
        <w:r w:rsidR="007F1AC5">
          <w:rPr>
            <w:rFonts w:eastAsiaTheme="minorEastAsia" w:cstheme="minorBidi"/>
            <w:noProof/>
            <w:sz w:val="22"/>
            <w:szCs w:val="22"/>
          </w:rPr>
          <w:tab/>
        </w:r>
        <w:r w:rsidR="007F1AC5" w:rsidRPr="001C5F87">
          <w:rPr>
            <w:rStyle w:val="Lienhypertexte"/>
            <w:noProof/>
            <w:spacing w:val="11"/>
          </w:rPr>
          <w:t>Carte d’identité électroniques pour enfants belges de moins de 12 ans et certificat d’identité pour enfants étrangers de moins de 12 ans</w:t>
        </w:r>
        <w:r w:rsidR="007F1AC5">
          <w:rPr>
            <w:noProof/>
            <w:webHidden/>
          </w:rPr>
          <w:tab/>
        </w:r>
        <w:r w:rsidR="007F1AC5">
          <w:rPr>
            <w:noProof/>
            <w:webHidden/>
          </w:rPr>
          <w:fldChar w:fldCharType="begin"/>
        </w:r>
        <w:r w:rsidR="007F1AC5">
          <w:rPr>
            <w:noProof/>
            <w:webHidden/>
          </w:rPr>
          <w:instrText xml:space="preserve"> PAGEREF _Toc74557722 \h </w:instrText>
        </w:r>
        <w:r w:rsidR="007F1AC5">
          <w:rPr>
            <w:noProof/>
            <w:webHidden/>
          </w:rPr>
        </w:r>
        <w:r w:rsidR="007F1AC5">
          <w:rPr>
            <w:noProof/>
            <w:webHidden/>
          </w:rPr>
          <w:fldChar w:fldCharType="separate"/>
        </w:r>
        <w:r w:rsidR="00B44836">
          <w:rPr>
            <w:noProof/>
            <w:webHidden/>
          </w:rPr>
          <w:t>114</w:t>
        </w:r>
        <w:r w:rsidR="007F1AC5">
          <w:rPr>
            <w:noProof/>
            <w:webHidden/>
          </w:rPr>
          <w:fldChar w:fldCharType="end"/>
        </w:r>
      </w:hyperlink>
    </w:p>
    <w:p w14:paraId="7FFCA200" w14:textId="33B4DC11" w:rsidR="007F1AC5" w:rsidRDefault="00BE462A">
      <w:pPr>
        <w:pStyle w:val="TM4"/>
        <w:rPr>
          <w:rFonts w:eastAsiaTheme="minorEastAsia" w:cstheme="minorBidi"/>
          <w:noProof/>
          <w:sz w:val="22"/>
          <w:szCs w:val="22"/>
        </w:rPr>
      </w:pPr>
      <w:hyperlink w:anchor="_Toc74557723" w:history="1">
        <w:r w:rsidR="007F1AC5" w:rsidRPr="001C5F87">
          <w:rPr>
            <w:rStyle w:val="Lienhypertexte"/>
            <w:noProof/>
            <w:spacing w:val="11"/>
          </w:rPr>
          <w:t>3.</w:t>
        </w:r>
        <w:r w:rsidR="007F1AC5">
          <w:rPr>
            <w:rFonts w:eastAsiaTheme="minorEastAsia" w:cstheme="minorBidi"/>
            <w:noProof/>
            <w:sz w:val="22"/>
            <w:szCs w:val="22"/>
          </w:rPr>
          <w:tab/>
        </w:r>
        <w:r w:rsidR="007F1AC5" w:rsidRPr="001C5F87">
          <w:rPr>
            <w:rStyle w:val="Lienhypertexte"/>
            <w:noProof/>
            <w:spacing w:val="11"/>
          </w:rPr>
          <w:t>Passeports</w:t>
        </w:r>
        <w:r w:rsidR="007F1AC5">
          <w:rPr>
            <w:noProof/>
            <w:webHidden/>
          </w:rPr>
          <w:tab/>
        </w:r>
        <w:r w:rsidR="007F1AC5">
          <w:rPr>
            <w:noProof/>
            <w:webHidden/>
          </w:rPr>
          <w:fldChar w:fldCharType="begin"/>
        </w:r>
        <w:r w:rsidR="007F1AC5">
          <w:rPr>
            <w:noProof/>
            <w:webHidden/>
          </w:rPr>
          <w:instrText xml:space="preserve"> PAGEREF _Toc74557723 \h </w:instrText>
        </w:r>
        <w:r w:rsidR="007F1AC5">
          <w:rPr>
            <w:noProof/>
            <w:webHidden/>
          </w:rPr>
        </w:r>
        <w:r w:rsidR="007F1AC5">
          <w:rPr>
            <w:noProof/>
            <w:webHidden/>
          </w:rPr>
          <w:fldChar w:fldCharType="separate"/>
        </w:r>
        <w:r w:rsidR="00B44836">
          <w:rPr>
            <w:noProof/>
            <w:webHidden/>
          </w:rPr>
          <w:t>115</w:t>
        </w:r>
        <w:r w:rsidR="007F1AC5">
          <w:rPr>
            <w:noProof/>
            <w:webHidden/>
          </w:rPr>
          <w:fldChar w:fldCharType="end"/>
        </w:r>
      </w:hyperlink>
    </w:p>
    <w:p w14:paraId="19DFCDB1" w14:textId="7C97F0B9" w:rsidR="007F1AC5" w:rsidRDefault="00BE462A">
      <w:pPr>
        <w:pStyle w:val="TM4"/>
        <w:rPr>
          <w:rFonts w:eastAsiaTheme="minorEastAsia" w:cstheme="minorBidi"/>
          <w:noProof/>
          <w:sz w:val="22"/>
          <w:szCs w:val="22"/>
        </w:rPr>
      </w:pPr>
      <w:hyperlink w:anchor="_Toc74557724" w:history="1">
        <w:r w:rsidR="007F1AC5" w:rsidRPr="001C5F87">
          <w:rPr>
            <w:rStyle w:val="Lienhypertexte"/>
            <w:noProof/>
            <w:spacing w:val="11"/>
          </w:rPr>
          <w:t>4.</w:t>
        </w:r>
        <w:r w:rsidR="007F1AC5">
          <w:rPr>
            <w:rFonts w:eastAsiaTheme="minorEastAsia" w:cstheme="minorBidi"/>
            <w:noProof/>
            <w:sz w:val="22"/>
            <w:szCs w:val="22"/>
          </w:rPr>
          <w:tab/>
        </w:r>
        <w:r w:rsidR="007F1AC5" w:rsidRPr="001C5F87">
          <w:rPr>
            <w:rStyle w:val="Lienhypertexte"/>
            <w:noProof/>
            <w:spacing w:val="11"/>
          </w:rPr>
          <w:t>Titres de voyage pour réfugié, apatride ou étranger</w:t>
        </w:r>
        <w:r w:rsidR="007F1AC5">
          <w:rPr>
            <w:noProof/>
            <w:webHidden/>
          </w:rPr>
          <w:tab/>
        </w:r>
        <w:r w:rsidR="007F1AC5">
          <w:rPr>
            <w:noProof/>
            <w:webHidden/>
          </w:rPr>
          <w:fldChar w:fldCharType="begin"/>
        </w:r>
        <w:r w:rsidR="007F1AC5">
          <w:rPr>
            <w:noProof/>
            <w:webHidden/>
          </w:rPr>
          <w:instrText xml:space="preserve"> PAGEREF _Toc74557724 \h </w:instrText>
        </w:r>
        <w:r w:rsidR="007F1AC5">
          <w:rPr>
            <w:noProof/>
            <w:webHidden/>
          </w:rPr>
        </w:r>
        <w:r w:rsidR="007F1AC5">
          <w:rPr>
            <w:noProof/>
            <w:webHidden/>
          </w:rPr>
          <w:fldChar w:fldCharType="separate"/>
        </w:r>
        <w:r w:rsidR="00B44836">
          <w:rPr>
            <w:noProof/>
            <w:webHidden/>
          </w:rPr>
          <w:t>116</w:t>
        </w:r>
        <w:r w:rsidR="007F1AC5">
          <w:rPr>
            <w:noProof/>
            <w:webHidden/>
          </w:rPr>
          <w:fldChar w:fldCharType="end"/>
        </w:r>
      </w:hyperlink>
    </w:p>
    <w:p w14:paraId="39E2C429" w14:textId="15C79CA6" w:rsidR="007F1AC5" w:rsidRDefault="00BE462A">
      <w:pPr>
        <w:pStyle w:val="TM4"/>
        <w:rPr>
          <w:rFonts w:eastAsiaTheme="minorEastAsia" w:cstheme="minorBidi"/>
          <w:noProof/>
          <w:sz w:val="22"/>
          <w:szCs w:val="22"/>
        </w:rPr>
      </w:pPr>
      <w:hyperlink w:anchor="_Toc74557725" w:history="1">
        <w:r w:rsidR="007F1AC5" w:rsidRPr="001C5F87">
          <w:rPr>
            <w:rStyle w:val="Lienhypertexte"/>
            <w:noProof/>
            <w:spacing w:val="11"/>
          </w:rPr>
          <w:t>5.</w:t>
        </w:r>
        <w:r w:rsidR="007F1AC5">
          <w:rPr>
            <w:rFonts w:eastAsiaTheme="minorEastAsia" w:cstheme="minorBidi"/>
            <w:noProof/>
            <w:sz w:val="22"/>
            <w:szCs w:val="22"/>
          </w:rPr>
          <w:tab/>
        </w:r>
        <w:r w:rsidR="007F1AC5" w:rsidRPr="001C5F87">
          <w:rPr>
            <w:rStyle w:val="Lienhypertexte"/>
            <w:noProof/>
            <w:spacing w:val="11"/>
          </w:rPr>
          <w:t>Permis de conduire</w:t>
        </w:r>
        <w:r w:rsidR="007F1AC5">
          <w:rPr>
            <w:noProof/>
            <w:webHidden/>
          </w:rPr>
          <w:tab/>
        </w:r>
        <w:r w:rsidR="007F1AC5">
          <w:rPr>
            <w:noProof/>
            <w:webHidden/>
          </w:rPr>
          <w:fldChar w:fldCharType="begin"/>
        </w:r>
        <w:r w:rsidR="007F1AC5">
          <w:rPr>
            <w:noProof/>
            <w:webHidden/>
          </w:rPr>
          <w:instrText xml:space="preserve"> PAGEREF _Toc74557725 \h </w:instrText>
        </w:r>
        <w:r w:rsidR="007F1AC5">
          <w:rPr>
            <w:noProof/>
            <w:webHidden/>
          </w:rPr>
        </w:r>
        <w:r w:rsidR="007F1AC5">
          <w:rPr>
            <w:noProof/>
            <w:webHidden/>
          </w:rPr>
          <w:fldChar w:fldCharType="separate"/>
        </w:r>
        <w:r w:rsidR="00B44836">
          <w:rPr>
            <w:noProof/>
            <w:webHidden/>
          </w:rPr>
          <w:t>117</w:t>
        </w:r>
        <w:r w:rsidR="007F1AC5">
          <w:rPr>
            <w:noProof/>
            <w:webHidden/>
          </w:rPr>
          <w:fldChar w:fldCharType="end"/>
        </w:r>
      </w:hyperlink>
    </w:p>
    <w:p w14:paraId="4B8C2FF6" w14:textId="6B87FF49" w:rsidR="007F1AC5" w:rsidRDefault="00BE462A">
      <w:pPr>
        <w:pStyle w:val="TM4"/>
        <w:rPr>
          <w:rFonts w:eastAsiaTheme="minorEastAsia" w:cstheme="minorBidi"/>
          <w:noProof/>
          <w:sz w:val="22"/>
          <w:szCs w:val="22"/>
        </w:rPr>
      </w:pPr>
      <w:hyperlink w:anchor="_Toc74557726" w:history="1">
        <w:r w:rsidR="007F1AC5" w:rsidRPr="001C5F87">
          <w:rPr>
            <w:rStyle w:val="Lienhypertexte"/>
            <w:noProof/>
            <w:spacing w:val="11"/>
          </w:rPr>
          <w:t>6.</w:t>
        </w:r>
        <w:r w:rsidR="007F1AC5">
          <w:rPr>
            <w:rFonts w:eastAsiaTheme="minorEastAsia" w:cstheme="minorBidi"/>
            <w:noProof/>
            <w:sz w:val="22"/>
            <w:szCs w:val="22"/>
          </w:rPr>
          <w:tab/>
        </w:r>
        <w:r w:rsidR="007F1AC5" w:rsidRPr="001C5F87">
          <w:rPr>
            <w:rStyle w:val="Lienhypertexte"/>
            <w:noProof/>
            <w:spacing w:val="11"/>
          </w:rPr>
          <w:t>Redevance pour changement de prénom</w:t>
        </w:r>
        <w:r w:rsidR="007F1AC5">
          <w:rPr>
            <w:noProof/>
            <w:webHidden/>
          </w:rPr>
          <w:tab/>
        </w:r>
        <w:r w:rsidR="007F1AC5">
          <w:rPr>
            <w:noProof/>
            <w:webHidden/>
          </w:rPr>
          <w:fldChar w:fldCharType="begin"/>
        </w:r>
        <w:r w:rsidR="007F1AC5">
          <w:rPr>
            <w:noProof/>
            <w:webHidden/>
          </w:rPr>
          <w:instrText xml:space="preserve"> PAGEREF _Toc74557726 \h </w:instrText>
        </w:r>
        <w:r w:rsidR="007F1AC5">
          <w:rPr>
            <w:noProof/>
            <w:webHidden/>
          </w:rPr>
        </w:r>
        <w:r w:rsidR="007F1AC5">
          <w:rPr>
            <w:noProof/>
            <w:webHidden/>
          </w:rPr>
          <w:fldChar w:fldCharType="separate"/>
        </w:r>
        <w:r w:rsidR="00B44836">
          <w:rPr>
            <w:noProof/>
            <w:webHidden/>
          </w:rPr>
          <w:t>117</w:t>
        </w:r>
        <w:r w:rsidR="007F1AC5">
          <w:rPr>
            <w:noProof/>
            <w:webHidden/>
          </w:rPr>
          <w:fldChar w:fldCharType="end"/>
        </w:r>
      </w:hyperlink>
    </w:p>
    <w:p w14:paraId="5C18CCC1" w14:textId="150F42C5" w:rsidR="007F1AC5" w:rsidRDefault="00BE462A">
      <w:pPr>
        <w:pStyle w:val="TM4"/>
        <w:rPr>
          <w:rFonts w:eastAsiaTheme="minorEastAsia" w:cstheme="minorBidi"/>
          <w:noProof/>
          <w:sz w:val="22"/>
          <w:szCs w:val="22"/>
        </w:rPr>
      </w:pPr>
      <w:hyperlink w:anchor="_Toc74557727" w:history="1">
        <w:r w:rsidR="007F1AC5" w:rsidRPr="001C5F87">
          <w:rPr>
            <w:rStyle w:val="Lienhypertexte"/>
            <w:noProof/>
            <w:spacing w:val="11"/>
          </w:rPr>
          <w:t>7.</w:t>
        </w:r>
        <w:r w:rsidR="007F1AC5">
          <w:rPr>
            <w:rFonts w:eastAsiaTheme="minorEastAsia" w:cstheme="minorBidi"/>
            <w:noProof/>
            <w:sz w:val="22"/>
            <w:szCs w:val="22"/>
          </w:rPr>
          <w:tab/>
        </w:r>
        <w:r w:rsidR="007F1AC5" w:rsidRPr="001C5F87">
          <w:rPr>
            <w:rStyle w:val="Lienhypertexte"/>
            <w:noProof/>
            <w:spacing w:val="11"/>
          </w:rPr>
          <w:t>Documents et travaux urbanistiques</w:t>
        </w:r>
        <w:r w:rsidR="007F1AC5">
          <w:rPr>
            <w:noProof/>
            <w:webHidden/>
          </w:rPr>
          <w:tab/>
        </w:r>
        <w:r w:rsidR="007F1AC5">
          <w:rPr>
            <w:noProof/>
            <w:webHidden/>
          </w:rPr>
          <w:fldChar w:fldCharType="begin"/>
        </w:r>
        <w:r w:rsidR="007F1AC5">
          <w:rPr>
            <w:noProof/>
            <w:webHidden/>
          </w:rPr>
          <w:instrText xml:space="preserve"> PAGEREF _Toc74557727 \h </w:instrText>
        </w:r>
        <w:r w:rsidR="007F1AC5">
          <w:rPr>
            <w:noProof/>
            <w:webHidden/>
          </w:rPr>
        </w:r>
        <w:r w:rsidR="007F1AC5">
          <w:rPr>
            <w:noProof/>
            <w:webHidden/>
          </w:rPr>
          <w:fldChar w:fldCharType="separate"/>
        </w:r>
        <w:r w:rsidR="00B44836">
          <w:rPr>
            <w:noProof/>
            <w:webHidden/>
          </w:rPr>
          <w:t>119</w:t>
        </w:r>
        <w:r w:rsidR="007F1AC5">
          <w:rPr>
            <w:noProof/>
            <w:webHidden/>
          </w:rPr>
          <w:fldChar w:fldCharType="end"/>
        </w:r>
      </w:hyperlink>
    </w:p>
    <w:p w14:paraId="3E73E087" w14:textId="495655BF" w:rsidR="007F1AC5" w:rsidRDefault="00BE462A">
      <w:pPr>
        <w:pStyle w:val="TM4"/>
        <w:rPr>
          <w:rFonts w:eastAsiaTheme="minorEastAsia" w:cstheme="minorBidi"/>
          <w:noProof/>
          <w:sz w:val="22"/>
          <w:szCs w:val="22"/>
        </w:rPr>
      </w:pPr>
      <w:hyperlink w:anchor="_Toc74557728" w:history="1">
        <w:r w:rsidR="007F1AC5" w:rsidRPr="001C5F87">
          <w:rPr>
            <w:rStyle w:val="Lienhypertexte"/>
            <w:noProof/>
            <w:spacing w:val="11"/>
          </w:rPr>
          <w:t>8.</w:t>
        </w:r>
        <w:r w:rsidR="007F1AC5">
          <w:rPr>
            <w:rFonts w:eastAsiaTheme="minorEastAsia" w:cstheme="minorBidi"/>
            <w:noProof/>
            <w:sz w:val="22"/>
            <w:szCs w:val="22"/>
          </w:rPr>
          <w:tab/>
        </w:r>
        <w:r w:rsidR="007F1AC5" w:rsidRPr="001C5F87">
          <w:rPr>
            <w:rStyle w:val="Lienhypertexte"/>
            <w:noProof/>
            <w:spacing w:val="11"/>
          </w:rPr>
          <w:t>Informations pour un notaire</w:t>
        </w:r>
        <w:r w:rsidR="007F1AC5">
          <w:rPr>
            <w:noProof/>
            <w:webHidden/>
          </w:rPr>
          <w:tab/>
        </w:r>
        <w:r w:rsidR="007F1AC5">
          <w:rPr>
            <w:noProof/>
            <w:webHidden/>
          </w:rPr>
          <w:fldChar w:fldCharType="begin"/>
        </w:r>
        <w:r w:rsidR="007F1AC5">
          <w:rPr>
            <w:noProof/>
            <w:webHidden/>
          </w:rPr>
          <w:instrText xml:space="preserve"> PAGEREF _Toc74557728 \h </w:instrText>
        </w:r>
        <w:r w:rsidR="007F1AC5">
          <w:rPr>
            <w:noProof/>
            <w:webHidden/>
          </w:rPr>
        </w:r>
        <w:r w:rsidR="007F1AC5">
          <w:rPr>
            <w:noProof/>
            <w:webHidden/>
          </w:rPr>
          <w:fldChar w:fldCharType="separate"/>
        </w:r>
        <w:r w:rsidR="00B44836">
          <w:rPr>
            <w:noProof/>
            <w:webHidden/>
          </w:rPr>
          <w:t>119</w:t>
        </w:r>
        <w:r w:rsidR="007F1AC5">
          <w:rPr>
            <w:noProof/>
            <w:webHidden/>
          </w:rPr>
          <w:fldChar w:fldCharType="end"/>
        </w:r>
      </w:hyperlink>
    </w:p>
    <w:p w14:paraId="7E7981C4" w14:textId="5B3670CE" w:rsidR="007F1AC5" w:rsidRDefault="00BE462A">
      <w:pPr>
        <w:pStyle w:val="TM4"/>
        <w:rPr>
          <w:rFonts w:eastAsiaTheme="minorEastAsia" w:cstheme="minorBidi"/>
          <w:noProof/>
          <w:sz w:val="22"/>
          <w:szCs w:val="22"/>
        </w:rPr>
      </w:pPr>
      <w:hyperlink w:anchor="_Toc74557729" w:history="1">
        <w:r w:rsidR="007F1AC5" w:rsidRPr="001C5F87">
          <w:rPr>
            <w:rStyle w:val="Lienhypertexte"/>
            <w:noProof/>
            <w:spacing w:val="11"/>
          </w:rPr>
          <w:t>9.</w:t>
        </w:r>
        <w:r w:rsidR="007F1AC5">
          <w:rPr>
            <w:rFonts w:eastAsiaTheme="minorEastAsia" w:cstheme="minorBidi"/>
            <w:noProof/>
            <w:sz w:val="22"/>
            <w:szCs w:val="22"/>
          </w:rPr>
          <w:tab/>
        </w:r>
        <w:r w:rsidR="007F1AC5" w:rsidRPr="001C5F87">
          <w:rPr>
            <w:rStyle w:val="Lienhypertexte"/>
            <w:noProof/>
            <w:spacing w:val="11"/>
          </w:rPr>
          <w:t>Inhumation et crémation</w:t>
        </w:r>
        <w:r w:rsidR="007F1AC5">
          <w:rPr>
            <w:noProof/>
            <w:webHidden/>
          </w:rPr>
          <w:tab/>
        </w:r>
        <w:r w:rsidR="007F1AC5">
          <w:rPr>
            <w:noProof/>
            <w:webHidden/>
          </w:rPr>
          <w:fldChar w:fldCharType="begin"/>
        </w:r>
        <w:r w:rsidR="007F1AC5">
          <w:rPr>
            <w:noProof/>
            <w:webHidden/>
          </w:rPr>
          <w:instrText xml:space="preserve"> PAGEREF _Toc74557729 \h </w:instrText>
        </w:r>
        <w:r w:rsidR="007F1AC5">
          <w:rPr>
            <w:noProof/>
            <w:webHidden/>
          </w:rPr>
        </w:r>
        <w:r w:rsidR="007F1AC5">
          <w:rPr>
            <w:noProof/>
            <w:webHidden/>
          </w:rPr>
          <w:fldChar w:fldCharType="separate"/>
        </w:r>
        <w:r w:rsidR="00B44836">
          <w:rPr>
            <w:noProof/>
            <w:webHidden/>
          </w:rPr>
          <w:t>119</w:t>
        </w:r>
        <w:r w:rsidR="007F1AC5">
          <w:rPr>
            <w:noProof/>
            <w:webHidden/>
          </w:rPr>
          <w:fldChar w:fldCharType="end"/>
        </w:r>
      </w:hyperlink>
    </w:p>
    <w:p w14:paraId="16743D88" w14:textId="577E52BB" w:rsidR="007F1AC5" w:rsidRDefault="00BE462A">
      <w:pPr>
        <w:pStyle w:val="TM4"/>
        <w:rPr>
          <w:rFonts w:eastAsiaTheme="minorEastAsia" w:cstheme="minorBidi"/>
          <w:noProof/>
          <w:sz w:val="22"/>
          <w:szCs w:val="22"/>
        </w:rPr>
      </w:pPr>
      <w:hyperlink w:anchor="_Toc74557730" w:history="1">
        <w:r w:rsidR="007F1AC5" w:rsidRPr="001C5F87">
          <w:rPr>
            <w:rStyle w:val="Lienhypertexte"/>
            <w:noProof/>
            <w:spacing w:val="11"/>
          </w:rPr>
          <w:t>10.</w:t>
        </w:r>
        <w:r w:rsidR="007F1AC5">
          <w:rPr>
            <w:rFonts w:eastAsiaTheme="minorEastAsia" w:cstheme="minorBidi"/>
            <w:noProof/>
            <w:sz w:val="22"/>
            <w:szCs w:val="22"/>
          </w:rPr>
          <w:tab/>
        </w:r>
        <w:r w:rsidR="007F1AC5" w:rsidRPr="001C5F87">
          <w:rPr>
            <w:rStyle w:val="Lienhypertexte"/>
            <w:noProof/>
            <w:spacing w:val="11"/>
          </w:rPr>
          <w:t>Légalisation d’un document</w:t>
        </w:r>
        <w:r w:rsidR="007F1AC5">
          <w:rPr>
            <w:noProof/>
            <w:webHidden/>
          </w:rPr>
          <w:tab/>
        </w:r>
        <w:r w:rsidR="007F1AC5">
          <w:rPr>
            <w:noProof/>
            <w:webHidden/>
          </w:rPr>
          <w:fldChar w:fldCharType="begin"/>
        </w:r>
        <w:r w:rsidR="007F1AC5">
          <w:rPr>
            <w:noProof/>
            <w:webHidden/>
          </w:rPr>
          <w:instrText xml:space="preserve"> PAGEREF _Toc74557730 \h </w:instrText>
        </w:r>
        <w:r w:rsidR="007F1AC5">
          <w:rPr>
            <w:noProof/>
            <w:webHidden/>
          </w:rPr>
        </w:r>
        <w:r w:rsidR="007F1AC5">
          <w:rPr>
            <w:noProof/>
            <w:webHidden/>
          </w:rPr>
          <w:fldChar w:fldCharType="separate"/>
        </w:r>
        <w:r w:rsidR="00B44836">
          <w:rPr>
            <w:noProof/>
            <w:webHidden/>
          </w:rPr>
          <w:t>119</w:t>
        </w:r>
        <w:r w:rsidR="007F1AC5">
          <w:rPr>
            <w:noProof/>
            <w:webHidden/>
          </w:rPr>
          <w:fldChar w:fldCharType="end"/>
        </w:r>
      </w:hyperlink>
    </w:p>
    <w:p w14:paraId="046951AB" w14:textId="30035E01" w:rsidR="007F1AC5" w:rsidRDefault="00BE462A">
      <w:pPr>
        <w:pStyle w:val="TM4"/>
        <w:rPr>
          <w:rFonts w:eastAsiaTheme="minorEastAsia" w:cstheme="minorBidi"/>
          <w:noProof/>
          <w:sz w:val="22"/>
          <w:szCs w:val="22"/>
        </w:rPr>
      </w:pPr>
      <w:hyperlink w:anchor="_Toc74557731" w:history="1">
        <w:r w:rsidR="007F1AC5" w:rsidRPr="001C5F87">
          <w:rPr>
            <w:rStyle w:val="Lienhypertexte"/>
            <w:noProof/>
            <w:spacing w:val="11"/>
          </w:rPr>
          <w:t>11.</w:t>
        </w:r>
        <w:r w:rsidR="007F1AC5">
          <w:rPr>
            <w:rFonts w:eastAsiaTheme="minorEastAsia" w:cstheme="minorBidi"/>
            <w:noProof/>
            <w:sz w:val="22"/>
            <w:szCs w:val="22"/>
          </w:rPr>
          <w:tab/>
        </w:r>
        <w:r w:rsidR="007F1AC5" w:rsidRPr="001C5F87">
          <w:rPr>
            <w:rStyle w:val="Lienhypertexte"/>
            <w:noProof/>
            <w:spacing w:val="11"/>
          </w:rPr>
          <w:t>Mariage et cohabitation légale :</w:t>
        </w:r>
        <w:r w:rsidR="007F1AC5">
          <w:rPr>
            <w:noProof/>
            <w:webHidden/>
          </w:rPr>
          <w:tab/>
        </w:r>
        <w:r w:rsidR="007F1AC5">
          <w:rPr>
            <w:noProof/>
            <w:webHidden/>
          </w:rPr>
          <w:fldChar w:fldCharType="begin"/>
        </w:r>
        <w:r w:rsidR="007F1AC5">
          <w:rPr>
            <w:noProof/>
            <w:webHidden/>
          </w:rPr>
          <w:instrText xml:space="preserve"> PAGEREF _Toc74557731 \h </w:instrText>
        </w:r>
        <w:r w:rsidR="007F1AC5">
          <w:rPr>
            <w:noProof/>
            <w:webHidden/>
          </w:rPr>
        </w:r>
        <w:r w:rsidR="007F1AC5">
          <w:rPr>
            <w:noProof/>
            <w:webHidden/>
          </w:rPr>
          <w:fldChar w:fldCharType="separate"/>
        </w:r>
        <w:r w:rsidR="00B44836">
          <w:rPr>
            <w:noProof/>
            <w:webHidden/>
          </w:rPr>
          <w:t>119</w:t>
        </w:r>
        <w:r w:rsidR="007F1AC5">
          <w:rPr>
            <w:noProof/>
            <w:webHidden/>
          </w:rPr>
          <w:fldChar w:fldCharType="end"/>
        </w:r>
      </w:hyperlink>
    </w:p>
    <w:p w14:paraId="576EB6A1" w14:textId="2B79E5DA" w:rsidR="007F1AC5" w:rsidRDefault="00BE462A">
      <w:pPr>
        <w:pStyle w:val="TM4"/>
        <w:rPr>
          <w:rFonts w:eastAsiaTheme="minorEastAsia" w:cstheme="minorBidi"/>
          <w:noProof/>
          <w:sz w:val="22"/>
          <w:szCs w:val="22"/>
        </w:rPr>
      </w:pPr>
      <w:hyperlink w:anchor="_Toc74557732" w:history="1">
        <w:r w:rsidR="007F1AC5" w:rsidRPr="001C5F87">
          <w:rPr>
            <w:rStyle w:val="Lienhypertexte"/>
            <w:noProof/>
            <w:spacing w:val="11"/>
          </w:rPr>
          <w:t>12.</w:t>
        </w:r>
        <w:r w:rsidR="007F1AC5">
          <w:rPr>
            <w:rFonts w:eastAsiaTheme="minorEastAsia" w:cstheme="minorBidi"/>
            <w:noProof/>
            <w:sz w:val="22"/>
            <w:szCs w:val="22"/>
          </w:rPr>
          <w:tab/>
        </w:r>
        <w:r w:rsidR="007F1AC5" w:rsidRPr="001C5F87">
          <w:rPr>
            <w:rStyle w:val="Lienhypertexte"/>
            <w:noProof/>
            <w:spacing w:val="11"/>
          </w:rPr>
          <w:t>Permis de Location</w:t>
        </w:r>
        <w:r w:rsidR="007F1AC5">
          <w:rPr>
            <w:noProof/>
            <w:webHidden/>
          </w:rPr>
          <w:tab/>
        </w:r>
        <w:r w:rsidR="007F1AC5">
          <w:rPr>
            <w:noProof/>
            <w:webHidden/>
          </w:rPr>
          <w:fldChar w:fldCharType="begin"/>
        </w:r>
        <w:r w:rsidR="007F1AC5">
          <w:rPr>
            <w:noProof/>
            <w:webHidden/>
          </w:rPr>
          <w:instrText xml:space="preserve"> PAGEREF _Toc74557732 \h </w:instrText>
        </w:r>
        <w:r w:rsidR="007F1AC5">
          <w:rPr>
            <w:noProof/>
            <w:webHidden/>
          </w:rPr>
        </w:r>
        <w:r w:rsidR="007F1AC5">
          <w:rPr>
            <w:noProof/>
            <w:webHidden/>
          </w:rPr>
          <w:fldChar w:fldCharType="separate"/>
        </w:r>
        <w:r w:rsidR="00B44836">
          <w:rPr>
            <w:noProof/>
            <w:webHidden/>
          </w:rPr>
          <w:t>120</w:t>
        </w:r>
        <w:r w:rsidR="007F1AC5">
          <w:rPr>
            <w:noProof/>
            <w:webHidden/>
          </w:rPr>
          <w:fldChar w:fldCharType="end"/>
        </w:r>
      </w:hyperlink>
    </w:p>
    <w:p w14:paraId="4D613074" w14:textId="361E7FD5" w:rsidR="007F1AC5" w:rsidRDefault="00BE462A">
      <w:pPr>
        <w:pStyle w:val="TM4"/>
        <w:rPr>
          <w:rFonts w:eastAsiaTheme="minorEastAsia" w:cstheme="minorBidi"/>
          <w:noProof/>
          <w:sz w:val="22"/>
          <w:szCs w:val="22"/>
        </w:rPr>
      </w:pPr>
      <w:hyperlink w:anchor="_Toc74557733" w:history="1">
        <w:r w:rsidR="007F1AC5" w:rsidRPr="001C5F87">
          <w:rPr>
            <w:rStyle w:val="Lienhypertexte"/>
            <w:noProof/>
            <w:spacing w:val="11"/>
          </w:rPr>
          <w:t>13.</w:t>
        </w:r>
        <w:r w:rsidR="007F1AC5">
          <w:rPr>
            <w:rFonts w:eastAsiaTheme="minorEastAsia" w:cstheme="minorBidi"/>
            <w:noProof/>
            <w:sz w:val="22"/>
            <w:szCs w:val="22"/>
          </w:rPr>
          <w:tab/>
        </w:r>
        <w:r w:rsidR="007F1AC5" w:rsidRPr="001C5F87">
          <w:rPr>
            <w:rStyle w:val="Lienhypertexte"/>
            <w:noProof/>
            <w:spacing w:val="11"/>
          </w:rPr>
          <w:t>Publicité active de l’administration – délivrance d’une copie d’un acte administratif (Obligatoirement sous forme de redevance)</w:t>
        </w:r>
        <w:r w:rsidR="007F1AC5">
          <w:rPr>
            <w:noProof/>
            <w:webHidden/>
          </w:rPr>
          <w:tab/>
        </w:r>
        <w:r w:rsidR="007F1AC5">
          <w:rPr>
            <w:noProof/>
            <w:webHidden/>
          </w:rPr>
          <w:fldChar w:fldCharType="begin"/>
        </w:r>
        <w:r w:rsidR="007F1AC5">
          <w:rPr>
            <w:noProof/>
            <w:webHidden/>
          </w:rPr>
          <w:instrText xml:space="preserve"> PAGEREF _Toc74557733 \h </w:instrText>
        </w:r>
        <w:r w:rsidR="007F1AC5">
          <w:rPr>
            <w:noProof/>
            <w:webHidden/>
          </w:rPr>
        </w:r>
        <w:r w:rsidR="007F1AC5">
          <w:rPr>
            <w:noProof/>
            <w:webHidden/>
          </w:rPr>
          <w:fldChar w:fldCharType="separate"/>
        </w:r>
        <w:r w:rsidR="00B44836">
          <w:rPr>
            <w:noProof/>
            <w:webHidden/>
          </w:rPr>
          <w:t>120</w:t>
        </w:r>
        <w:r w:rsidR="007F1AC5">
          <w:rPr>
            <w:noProof/>
            <w:webHidden/>
          </w:rPr>
          <w:fldChar w:fldCharType="end"/>
        </w:r>
      </w:hyperlink>
    </w:p>
    <w:p w14:paraId="248CB68C" w14:textId="62513DC1" w:rsidR="007F1AC5" w:rsidRDefault="00BE462A">
      <w:pPr>
        <w:pStyle w:val="TM4"/>
        <w:rPr>
          <w:rFonts w:eastAsiaTheme="minorEastAsia" w:cstheme="minorBidi"/>
          <w:noProof/>
          <w:sz w:val="22"/>
          <w:szCs w:val="22"/>
        </w:rPr>
      </w:pPr>
      <w:hyperlink w:anchor="_Toc74557734" w:history="1">
        <w:r w:rsidR="007F1AC5" w:rsidRPr="001C5F87">
          <w:rPr>
            <w:rStyle w:val="Lienhypertexte"/>
            <w:noProof/>
            <w:spacing w:val="11"/>
          </w:rPr>
          <w:t>14.</w:t>
        </w:r>
        <w:r w:rsidR="007F1AC5">
          <w:rPr>
            <w:rFonts w:eastAsiaTheme="minorEastAsia" w:cstheme="minorBidi"/>
            <w:noProof/>
            <w:sz w:val="22"/>
            <w:szCs w:val="22"/>
          </w:rPr>
          <w:tab/>
        </w:r>
        <w:r w:rsidR="007F1AC5" w:rsidRPr="001C5F87">
          <w:rPr>
            <w:rStyle w:val="Lienhypertexte"/>
            <w:noProof/>
            <w:spacing w:val="11"/>
          </w:rPr>
          <w:t>Publicité active de l’administration en matière d’environnement (Obligatoirement sous forme de redevance)</w:t>
        </w:r>
        <w:r w:rsidR="007F1AC5">
          <w:rPr>
            <w:noProof/>
            <w:webHidden/>
          </w:rPr>
          <w:tab/>
        </w:r>
        <w:r w:rsidR="007F1AC5">
          <w:rPr>
            <w:noProof/>
            <w:webHidden/>
          </w:rPr>
          <w:fldChar w:fldCharType="begin"/>
        </w:r>
        <w:r w:rsidR="007F1AC5">
          <w:rPr>
            <w:noProof/>
            <w:webHidden/>
          </w:rPr>
          <w:instrText xml:space="preserve"> PAGEREF _Toc74557734 \h </w:instrText>
        </w:r>
        <w:r w:rsidR="007F1AC5">
          <w:rPr>
            <w:noProof/>
            <w:webHidden/>
          </w:rPr>
        </w:r>
        <w:r w:rsidR="007F1AC5">
          <w:rPr>
            <w:noProof/>
            <w:webHidden/>
          </w:rPr>
          <w:fldChar w:fldCharType="separate"/>
        </w:r>
        <w:r w:rsidR="00B44836">
          <w:rPr>
            <w:noProof/>
            <w:webHidden/>
          </w:rPr>
          <w:t>121</w:t>
        </w:r>
        <w:r w:rsidR="007F1AC5">
          <w:rPr>
            <w:noProof/>
            <w:webHidden/>
          </w:rPr>
          <w:fldChar w:fldCharType="end"/>
        </w:r>
      </w:hyperlink>
    </w:p>
    <w:p w14:paraId="4543DB9F" w14:textId="5FE02519" w:rsidR="007F1AC5" w:rsidRDefault="00BE462A">
      <w:pPr>
        <w:pStyle w:val="TM3"/>
        <w:rPr>
          <w:rFonts w:eastAsiaTheme="minorEastAsia" w:cstheme="minorBidi"/>
          <w:noProof/>
        </w:rPr>
      </w:pPr>
      <w:hyperlink w:anchor="_Toc74557735" w:history="1">
        <w:r w:rsidR="007F1AC5" w:rsidRPr="001C5F87">
          <w:rPr>
            <w:rStyle w:val="Lienhypertexte"/>
            <w:rFonts w:cs="Calibri Light"/>
            <w:noProof/>
          </w:rPr>
          <w:t xml:space="preserve">VII.1.5 </w:t>
        </w:r>
        <w:r w:rsidR="007F1AC5" w:rsidRPr="001C5F87">
          <w:rPr>
            <w:rStyle w:val="Lienhypertexte"/>
            <w:noProof/>
          </w:rPr>
          <w:t>040/361-48 : Prestations communales administratives ou techniques en général</w:t>
        </w:r>
        <w:r w:rsidR="007F1AC5">
          <w:rPr>
            <w:noProof/>
            <w:webHidden/>
          </w:rPr>
          <w:tab/>
        </w:r>
        <w:r w:rsidR="007F1AC5">
          <w:rPr>
            <w:noProof/>
            <w:webHidden/>
          </w:rPr>
          <w:fldChar w:fldCharType="begin"/>
        </w:r>
        <w:r w:rsidR="007F1AC5">
          <w:rPr>
            <w:noProof/>
            <w:webHidden/>
          </w:rPr>
          <w:instrText xml:space="preserve"> PAGEREF _Toc74557735 \h </w:instrText>
        </w:r>
        <w:r w:rsidR="007F1AC5">
          <w:rPr>
            <w:noProof/>
            <w:webHidden/>
          </w:rPr>
        </w:r>
        <w:r w:rsidR="007F1AC5">
          <w:rPr>
            <w:noProof/>
            <w:webHidden/>
          </w:rPr>
          <w:fldChar w:fldCharType="separate"/>
        </w:r>
        <w:r w:rsidR="00B44836">
          <w:rPr>
            <w:noProof/>
            <w:webHidden/>
          </w:rPr>
          <w:t>121</w:t>
        </w:r>
        <w:r w:rsidR="007F1AC5">
          <w:rPr>
            <w:noProof/>
            <w:webHidden/>
          </w:rPr>
          <w:fldChar w:fldCharType="end"/>
        </w:r>
      </w:hyperlink>
    </w:p>
    <w:p w14:paraId="574D3688" w14:textId="46AA96A9" w:rsidR="007F1AC5" w:rsidRDefault="00BE462A">
      <w:pPr>
        <w:pStyle w:val="TM4"/>
        <w:rPr>
          <w:rFonts w:eastAsiaTheme="minorEastAsia" w:cstheme="minorBidi"/>
          <w:noProof/>
          <w:sz w:val="22"/>
          <w:szCs w:val="22"/>
        </w:rPr>
      </w:pPr>
      <w:hyperlink w:anchor="_Toc74557736"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Documents et travaux urbanistiques</w:t>
        </w:r>
        <w:r w:rsidR="007F1AC5">
          <w:rPr>
            <w:noProof/>
            <w:webHidden/>
          </w:rPr>
          <w:tab/>
        </w:r>
        <w:r w:rsidR="007F1AC5">
          <w:rPr>
            <w:noProof/>
            <w:webHidden/>
          </w:rPr>
          <w:fldChar w:fldCharType="begin"/>
        </w:r>
        <w:r w:rsidR="007F1AC5">
          <w:rPr>
            <w:noProof/>
            <w:webHidden/>
          </w:rPr>
          <w:instrText xml:space="preserve"> PAGEREF _Toc74557736 \h </w:instrText>
        </w:r>
        <w:r w:rsidR="007F1AC5">
          <w:rPr>
            <w:noProof/>
            <w:webHidden/>
          </w:rPr>
        </w:r>
        <w:r w:rsidR="007F1AC5">
          <w:rPr>
            <w:noProof/>
            <w:webHidden/>
          </w:rPr>
          <w:fldChar w:fldCharType="separate"/>
        </w:r>
        <w:r w:rsidR="00B44836">
          <w:rPr>
            <w:noProof/>
            <w:webHidden/>
          </w:rPr>
          <w:t>121</w:t>
        </w:r>
        <w:r w:rsidR="007F1AC5">
          <w:rPr>
            <w:noProof/>
            <w:webHidden/>
          </w:rPr>
          <w:fldChar w:fldCharType="end"/>
        </w:r>
      </w:hyperlink>
    </w:p>
    <w:p w14:paraId="4831DC18" w14:textId="7AEDDBD8" w:rsidR="007F1AC5" w:rsidRDefault="00BE462A">
      <w:pPr>
        <w:pStyle w:val="TM4"/>
        <w:rPr>
          <w:rFonts w:eastAsiaTheme="minorEastAsia" w:cstheme="minorBidi"/>
          <w:noProof/>
          <w:sz w:val="22"/>
          <w:szCs w:val="22"/>
        </w:rPr>
      </w:pPr>
      <w:hyperlink w:anchor="_Toc74557737"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Travaux administratifs spéciaux</w:t>
        </w:r>
        <w:r w:rsidR="007F1AC5">
          <w:rPr>
            <w:noProof/>
            <w:webHidden/>
          </w:rPr>
          <w:tab/>
        </w:r>
        <w:r w:rsidR="007F1AC5">
          <w:rPr>
            <w:noProof/>
            <w:webHidden/>
          </w:rPr>
          <w:fldChar w:fldCharType="begin"/>
        </w:r>
        <w:r w:rsidR="007F1AC5">
          <w:rPr>
            <w:noProof/>
            <w:webHidden/>
          </w:rPr>
          <w:instrText xml:space="preserve"> PAGEREF _Toc74557737 \h </w:instrText>
        </w:r>
        <w:r w:rsidR="007F1AC5">
          <w:rPr>
            <w:noProof/>
            <w:webHidden/>
          </w:rPr>
        </w:r>
        <w:r w:rsidR="007F1AC5">
          <w:rPr>
            <w:noProof/>
            <w:webHidden/>
          </w:rPr>
          <w:fldChar w:fldCharType="separate"/>
        </w:r>
        <w:r w:rsidR="00B44836">
          <w:rPr>
            <w:noProof/>
            <w:webHidden/>
          </w:rPr>
          <w:t>122</w:t>
        </w:r>
        <w:r w:rsidR="007F1AC5">
          <w:rPr>
            <w:noProof/>
            <w:webHidden/>
          </w:rPr>
          <w:fldChar w:fldCharType="end"/>
        </w:r>
      </w:hyperlink>
    </w:p>
    <w:p w14:paraId="3BD552A5" w14:textId="3842910C" w:rsidR="007F1AC5" w:rsidRDefault="00BE462A">
      <w:pPr>
        <w:pStyle w:val="TM4"/>
        <w:rPr>
          <w:rFonts w:eastAsiaTheme="minorEastAsia" w:cstheme="minorBidi"/>
          <w:noProof/>
          <w:sz w:val="22"/>
          <w:szCs w:val="22"/>
        </w:rPr>
      </w:pPr>
      <w:hyperlink w:anchor="_Toc74557738" w:history="1">
        <w:r w:rsidR="007F1AC5" w:rsidRPr="001C5F87">
          <w:rPr>
            <w:rStyle w:val="Lienhypertexte"/>
            <w:noProof/>
          </w:rPr>
          <w:t>3.</w:t>
        </w:r>
        <w:r w:rsidR="007F1AC5">
          <w:rPr>
            <w:rFonts w:eastAsiaTheme="minorEastAsia" w:cstheme="minorBidi"/>
            <w:noProof/>
            <w:sz w:val="22"/>
            <w:szCs w:val="22"/>
          </w:rPr>
          <w:tab/>
        </w:r>
        <w:r w:rsidR="007F1AC5" w:rsidRPr="001C5F87">
          <w:rPr>
            <w:rStyle w:val="Lienhypertexte"/>
            <w:noProof/>
          </w:rPr>
          <w:t>Recherches généalogiques</w:t>
        </w:r>
        <w:r w:rsidR="007F1AC5">
          <w:rPr>
            <w:noProof/>
            <w:webHidden/>
          </w:rPr>
          <w:tab/>
        </w:r>
        <w:r w:rsidR="007F1AC5">
          <w:rPr>
            <w:noProof/>
            <w:webHidden/>
          </w:rPr>
          <w:fldChar w:fldCharType="begin"/>
        </w:r>
        <w:r w:rsidR="007F1AC5">
          <w:rPr>
            <w:noProof/>
            <w:webHidden/>
          </w:rPr>
          <w:instrText xml:space="preserve"> PAGEREF _Toc74557738 \h </w:instrText>
        </w:r>
        <w:r w:rsidR="007F1AC5">
          <w:rPr>
            <w:noProof/>
            <w:webHidden/>
          </w:rPr>
        </w:r>
        <w:r w:rsidR="007F1AC5">
          <w:rPr>
            <w:noProof/>
            <w:webHidden/>
          </w:rPr>
          <w:fldChar w:fldCharType="separate"/>
        </w:r>
        <w:r w:rsidR="00B44836">
          <w:rPr>
            <w:noProof/>
            <w:webHidden/>
          </w:rPr>
          <w:t>122</w:t>
        </w:r>
        <w:r w:rsidR="007F1AC5">
          <w:rPr>
            <w:noProof/>
            <w:webHidden/>
          </w:rPr>
          <w:fldChar w:fldCharType="end"/>
        </w:r>
      </w:hyperlink>
    </w:p>
    <w:p w14:paraId="01D05A30" w14:textId="1A0897F9" w:rsidR="007F1AC5" w:rsidRDefault="00BE462A">
      <w:pPr>
        <w:pStyle w:val="TM4"/>
        <w:rPr>
          <w:rFonts w:eastAsiaTheme="minorEastAsia" w:cstheme="minorBidi"/>
          <w:noProof/>
          <w:sz w:val="22"/>
          <w:szCs w:val="22"/>
        </w:rPr>
      </w:pPr>
      <w:hyperlink w:anchor="_Toc74557739" w:history="1">
        <w:r w:rsidR="007F1AC5" w:rsidRPr="001C5F87">
          <w:rPr>
            <w:rStyle w:val="Lienhypertexte"/>
            <w:noProof/>
          </w:rPr>
          <w:t>4.</w:t>
        </w:r>
        <w:r w:rsidR="007F1AC5">
          <w:rPr>
            <w:rFonts w:eastAsiaTheme="minorEastAsia" w:cstheme="minorBidi"/>
            <w:noProof/>
            <w:sz w:val="22"/>
            <w:szCs w:val="22"/>
          </w:rPr>
          <w:tab/>
        </w:r>
        <w:r w:rsidR="007F1AC5" w:rsidRPr="001C5F87">
          <w:rPr>
            <w:rStyle w:val="Lienhypertexte"/>
            <w:noProof/>
          </w:rPr>
          <w:t>Le paiement par terminal bancaire :</w:t>
        </w:r>
        <w:r w:rsidR="007F1AC5">
          <w:rPr>
            <w:noProof/>
            <w:webHidden/>
          </w:rPr>
          <w:tab/>
        </w:r>
        <w:r w:rsidR="007F1AC5">
          <w:rPr>
            <w:noProof/>
            <w:webHidden/>
          </w:rPr>
          <w:fldChar w:fldCharType="begin"/>
        </w:r>
        <w:r w:rsidR="007F1AC5">
          <w:rPr>
            <w:noProof/>
            <w:webHidden/>
          </w:rPr>
          <w:instrText xml:space="preserve"> PAGEREF _Toc74557739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31209989" w14:textId="5B54B97E" w:rsidR="007F1AC5" w:rsidRDefault="00BE462A">
      <w:pPr>
        <w:pStyle w:val="TM2"/>
        <w:tabs>
          <w:tab w:val="left" w:pos="1701"/>
          <w:tab w:val="right" w:leader="underscore" w:pos="9062"/>
        </w:tabs>
        <w:rPr>
          <w:rFonts w:eastAsiaTheme="minorEastAsia" w:cstheme="minorBidi"/>
          <w:b w:val="0"/>
          <w:bCs w:val="0"/>
          <w:noProof/>
        </w:rPr>
      </w:pPr>
      <w:hyperlink w:anchor="_Toc74557740" w:history="1">
        <w:r w:rsidR="007F1AC5" w:rsidRPr="001C5F87">
          <w:rPr>
            <w:rStyle w:val="Lienhypertexte"/>
            <w:noProof/>
          </w:rPr>
          <w:t>VII.2.</w:t>
        </w:r>
        <w:r w:rsidR="007F1AC5">
          <w:rPr>
            <w:rFonts w:eastAsiaTheme="minorEastAsia" w:cstheme="minorBidi"/>
            <w:b w:val="0"/>
            <w:bCs w:val="0"/>
            <w:noProof/>
          </w:rPr>
          <w:tab/>
        </w:r>
        <w:r w:rsidR="007F1AC5" w:rsidRPr="001C5F87">
          <w:rPr>
            <w:rStyle w:val="Lienhypertexte"/>
            <w:noProof/>
          </w:rPr>
          <w:t>Taxes de remboursement</w:t>
        </w:r>
        <w:r w:rsidR="007F1AC5">
          <w:rPr>
            <w:noProof/>
            <w:webHidden/>
          </w:rPr>
          <w:tab/>
        </w:r>
        <w:r w:rsidR="007F1AC5">
          <w:rPr>
            <w:noProof/>
            <w:webHidden/>
          </w:rPr>
          <w:fldChar w:fldCharType="begin"/>
        </w:r>
        <w:r w:rsidR="007F1AC5">
          <w:rPr>
            <w:noProof/>
            <w:webHidden/>
          </w:rPr>
          <w:instrText xml:space="preserve"> PAGEREF _Toc74557740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4AAEFC28" w14:textId="778FA5C9" w:rsidR="007F1AC5" w:rsidRDefault="00BE462A">
      <w:pPr>
        <w:pStyle w:val="TM3"/>
        <w:rPr>
          <w:rFonts w:eastAsiaTheme="minorEastAsia" w:cstheme="minorBidi"/>
          <w:noProof/>
        </w:rPr>
      </w:pPr>
      <w:hyperlink w:anchor="_Toc74557741" w:history="1">
        <w:r w:rsidR="007F1AC5" w:rsidRPr="001C5F87">
          <w:rPr>
            <w:rStyle w:val="Lienhypertexte"/>
            <w:noProof/>
          </w:rPr>
          <w:t>040/362-01 : Acquisition d'assiettes de voirie</w:t>
        </w:r>
        <w:r w:rsidR="007F1AC5">
          <w:rPr>
            <w:noProof/>
            <w:webHidden/>
          </w:rPr>
          <w:tab/>
        </w:r>
        <w:r w:rsidR="007F1AC5">
          <w:rPr>
            <w:noProof/>
            <w:webHidden/>
          </w:rPr>
          <w:fldChar w:fldCharType="begin"/>
        </w:r>
        <w:r w:rsidR="007F1AC5">
          <w:rPr>
            <w:noProof/>
            <w:webHidden/>
          </w:rPr>
          <w:instrText xml:space="preserve"> PAGEREF _Toc74557741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360C5DC7" w14:textId="67DC2D7C" w:rsidR="007F1AC5" w:rsidRDefault="00BE462A">
      <w:pPr>
        <w:pStyle w:val="TM3"/>
        <w:rPr>
          <w:rFonts w:eastAsiaTheme="minorEastAsia" w:cstheme="minorBidi"/>
          <w:noProof/>
        </w:rPr>
      </w:pPr>
      <w:hyperlink w:anchor="_Toc74557742" w:history="1">
        <w:r w:rsidR="007F1AC5" w:rsidRPr="001C5F87">
          <w:rPr>
            <w:rStyle w:val="Lienhypertexte"/>
            <w:noProof/>
          </w:rPr>
          <w:t>040/362-02 : Pavage des rues (ou de revêtement de voirie)</w:t>
        </w:r>
        <w:r w:rsidR="007F1AC5">
          <w:rPr>
            <w:noProof/>
            <w:webHidden/>
          </w:rPr>
          <w:tab/>
        </w:r>
        <w:r w:rsidR="007F1AC5">
          <w:rPr>
            <w:noProof/>
            <w:webHidden/>
          </w:rPr>
          <w:fldChar w:fldCharType="begin"/>
        </w:r>
        <w:r w:rsidR="007F1AC5">
          <w:rPr>
            <w:noProof/>
            <w:webHidden/>
          </w:rPr>
          <w:instrText xml:space="preserve"> PAGEREF _Toc74557742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13766D91" w14:textId="51F0FCFB" w:rsidR="007F1AC5" w:rsidRDefault="00BE462A">
      <w:pPr>
        <w:pStyle w:val="TM3"/>
        <w:rPr>
          <w:rFonts w:eastAsiaTheme="minorEastAsia" w:cstheme="minorBidi"/>
          <w:noProof/>
        </w:rPr>
      </w:pPr>
      <w:hyperlink w:anchor="_Toc74557743" w:history="1">
        <w:r w:rsidR="007F1AC5" w:rsidRPr="001C5F87">
          <w:rPr>
            <w:rStyle w:val="Lienhypertexte"/>
            <w:noProof/>
            <w:spacing w:val="-1"/>
          </w:rPr>
          <w:t xml:space="preserve">040/362-03 : </w:t>
        </w:r>
        <w:r w:rsidR="007F1AC5" w:rsidRPr="001C5F87">
          <w:rPr>
            <w:rStyle w:val="Lienhypertexte"/>
            <w:noProof/>
          </w:rPr>
          <w:t>Construction des trottoirs</w:t>
        </w:r>
        <w:r w:rsidR="007F1AC5">
          <w:rPr>
            <w:noProof/>
            <w:webHidden/>
          </w:rPr>
          <w:tab/>
        </w:r>
        <w:r w:rsidR="007F1AC5">
          <w:rPr>
            <w:noProof/>
            <w:webHidden/>
          </w:rPr>
          <w:fldChar w:fldCharType="begin"/>
        </w:r>
        <w:r w:rsidR="007F1AC5">
          <w:rPr>
            <w:noProof/>
            <w:webHidden/>
          </w:rPr>
          <w:instrText xml:space="preserve"> PAGEREF _Toc74557743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41561816" w14:textId="407995E4" w:rsidR="007F1AC5" w:rsidRDefault="00BE462A">
      <w:pPr>
        <w:pStyle w:val="TM3"/>
        <w:rPr>
          <w:rFonts w:eastAsiaTheme="minorEastAsia" w:cstheme="minorBidi"/>
          <w:noProof/>
        </w:rPr>
      </w:pPr>
      <w:hyperlink w:anchor="_Toc74557744" w:history="1">
        <w:r w:rsidR="007F1AC5" w:rsidRPr="001C5F87">
          <w:rPr>
            <w:rStyle w:val="Lienhypertexte"/>
            <w:noProof/>
          </w:rPr>
          <w:t>040/362-04 : Constructions d'égouts</w:t>
        </w:r>
        <w:r w:rsidR="007F1AC5">
          <w:rPr>
            <w:noProof/>
            <w:webHidden/>
          </w:rPr>
          <w:tab/>
        </w:r>
        <w:r w:rsidR="007F1AC5">
          <w:rPr>
            <w:noProof/>
            <w:webHidden/>
          </w:rPr>
          <w:fldChar w:fldCharType="begin"/>
        </w:r>
        <w:r w:rsidR="007F1AC5">
          <w:rPr>
            <w:noProof/>
            <w:webHidden/>
          </w:rPr>
          <w:instrText xml:space="preserve"> PAGEREF _Toc74557744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1EE6D79D" w14:textId="04C271DB" w:rsidR="007F1AC5" w:rsidRDefault="00BE462A">
      <w:pPr>
        <w:pStyle w:val="TM3"/>
        <w:rPr>
          <w:rFonts w:eastAsiaTheme="minorEastAsia" w:cstheme="minorBidi"/>
          <w:noProof/>
        </w:rPr>
      </w:pPr>
      <w:hyperlink w:anchor="_Toc74557745" w:history="1">
        <w:r w:rsidR="007F1AC5" w:rsidRPr="001C5F87">
          <w:rPr>
            <w:rStyle w:val="Lienhypertexte"/>
            <w:noProof/>
          </w:rPr>
          <w:t>040/362-05 : Travaux de raccordement d'immeubles au réseau d'égouts</w:t>
        </w:r>
        <w:r w:rsidR="007F1AC5">
          <w:rPr>
            <w:noProof/>
            <w:webHidden/>
          </w:rPr>
          <w:tab/>
        </w:r>
        <w:r w:rsidR="007F1AC5">
          <w:rPr>
            <w:noProof/>
            <w:webHidden/>
          </w:rPr>
          <w:fldChar w:fldCharType="begin"/>
        </w:r>
        <w:r w:rsidR="007F1AC5">
          <w:rPr>
            <w:noProof/>
            <w:webHidden/>
          </w:rPr>
          <w:instrText xml:space="preserve"> PAGEREF _Toc74557745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18EA70CA" w14:textId="54F19A80" w:rsidR="007F1AC5" w:rsidRDefault="00BE462A">
      <w:pPr>
        <w:pStyle w:val="TM3"/>
        <w:rPr>
          <w:rFonts w:eastAsiaTheme="minorEastAsia" w:cstheme="minorBidi"/>
          <w:noProof/>
        </w:rPr>
      </w:pPr>
      <w:hyperlink w:anchor="_Toc74557746" w:history="1">
        <w:r w:rsidR="007F1AC5" w:rsidRPr="001C5F87">
          <w:rPr>
            <w:rStyle w:val="Lienhypertexte"/>
            <w:noProof/>
          </w:rPr>
          <w:t>040/362-07 : Urbanisation</w:t>
        </w:r>
        <w:r w:rsidR="007F1AC5">
          <w:rPr>
            <w:noProof/>
            <w:webHidden/>
          </w:rPr>
          <w:tab/>
        </w:r>
        <w:r w:rsidR="007F1AC5">
          <w:rPr>
            <w:noProof/>
            <w:webHidden/>
          </w:rPr>
          <w:fldChar w:fldCharType="begin"/>
        </w:r>
        <w:r w:rsidR="007F1AC5">
          <w:rPr>
            <w:noProof/>
            <w:webHidden/>
          </w:rPr>
          <w:instrText xml:space="preserve"> PAGEREF _Toc74557746 \h </w:instrText>
        </w:r>
        <w:r w:rsidR="007F1AC5">
          <w:rPr>
            <w:noProof/>
            <w:webHidden/>
          </w:rPr>
        </w:r>
        <w:r w:rsidR="007F1AC5">
          <w:rPr>
            <w:noProof/>
            <w:webHidden/>
          </w:rPr>
          <w:fldChar w:fldCharType="separate"/>
        </w:r>
        <w:r w:rsidR="00B44836">
          <w:rPr>
            <w:noProof/>
            <w:webHidden/>
          </w:rPr>
          <w:t>124</w:t>
        </w:r>
        <w:r w:rsidR="007F1AC5">
          <w:rPr>
            <w:noProof/>
            <w:webHidden/>
          </w:rPr>
          <w:fldChar w:fldCharType="end"/>
        </w:r>
      </w:hyperlink>
    </w:p>
    <w:p w14:paraId="74F5A52F" w14:textId="30CEA50F" w:rsidR="007F1AC5" w:rsidRDefault="00BE462A">
      <w:pPr>
        <w:pStyle w:val="TM3"/>
        <w:rPr>
          <w:rFonts w:eastAsiaTheme="minorEastAsia" w:cstheme="minorBidi"/>
          <w:noProof/>
        </w:rPr>
      </w:pPr>
      <w:hyperlink w:anchor="_Toc74557747" w:history="1">
        <w:r w:rsidR="007F1AC5" w:rsidRPr="001C5F87">
          <w:rPr>
            <w:rStyle w:val="Lienhypertexte"/>
            <w:noProof/>
          </w:rPr>
          <w:t>040/362-08 : Inflexion dans les trottoirs</w:t>
        </w:r>
        <w:r w:rsidR="007F1AC5">
          <w:rPr>
            <w:noProof/>
            <w:webHidden/>
          </w:rPr>
          <w:tab/>
        </w:r>
        <w:r w:rsidR="007F1AC5">
          <w:rPr>
            <w:noProof/>
            <w:webHidden/>
          </w:rPr>
          <w:fldChar w:fldCharType="begin"/>
        </w:r>
        <w:r w:rsidR="007F1AC5">
          <w:rPr>
            <w:noProof/>
            <w:webHidden/>
          </w:rPr>
          <w:instrText xml:space="preserve"> PAGEREF _Toc74557747 \h </w:instrText>
        </w:r>
        <w:r w:rsidR="007F1AC5">
          <w:rPr>
            <w:noProof/>
            <w:webHidden/>
          </w:rPr>
        </w:r>
        <w:r w:rsidR="007F1AC5">
          <w:rPr>
            <w:noProof/>
            <w:webHidden/>
          </w:rPr>
          <w:fldChar w:fldCharType="separate"/>
        </w:r>
        <w:r w:rsidR="00B44836">
          <w:rPr>
            <w:noProof/>
            <w:webHidden/>
          </w:rPr>
          <w:t>125</w:t>
        </w:r>
        <w:r w:rsidR="007F1AC5">
          <w:rPr>
            <w:noProof/>
            <w:webHidden/>
          </w:rPr>
          <w:fldChar w:fldCharType="end"/>
        </w:r>
      </w:hyperlink>
    </w:p>
    <w:p w14:paraId="0ECEF7EF" w14:textId="27F0865D" w:rsidR="007F1AC5" w:rsidRDefault="00BE462A">
      <w:pPr>
        <w:pStyle w:val="TM3"/>
        <w:rPr>
          <w:rFonts w:eastAsiaTheme="minorEastAsia" w:cstheme="minorBidi"/>
          <w:noProof/>
        </w:rPr>
      </w:pPr>
      <w:hyperlink w:anchor="_Toc74557748" w:history="1">
        <w:r w:rsidR="007F1AC5" w:rsidRPr="001C5F87">
          <w:rPr>
            <w:rStyle w:val="Lienhypertexte"/>
            <w:noProof/>
          </w:rPr>
          <w:t>040/362-09 : Aménagement spécial des rues piétonnières commerçantes</w:t>
        </w:r>
        <w:r w:rsidR="007F1AC5">
          <w:rPr>
            <w:noProof/>
            <w:webHidden/>
          </w:rPr>
          <w:tab/>
        </w:r>
        <w:r w:rsidR="007F1AC5">
          <w:rPr>
            <w:noProof/>
            <w:webHidden/>
          </w:rPr>
          <w:fldChar w:fldCharType="begin"/>
        </w:r>
        <w:r w:rsidR="007F1AC5">
          <w:rPr>
            <w:noProof/>
            <w:webHidden/>
          </w:rPr>
          <w:instrText xml:space="preserve"> PAGEREF _Toc74557748 \h </w:instrText>
        </w:r>
        <w:r w:rsidR="007F1AC5">
          <w:rPr>
            <w:noProof/>
            <w:webHidden/>
          </w:rPr>
        </w:r>
        <w:r w:rsidR="007F1AC5">
          <w:rPr>
            <w:noProof/>
            <w:webHidden/>
          </w:rPr>
          <w:fldChar w:fldCharType="separate"/>
        </w:r>
        <w:r w:rsidR="00B44836">
          <w:rPr>
            <w:noProof/>
            <w:webHidden/>
          </w:rPr>
          <w:t>125</w:t>
        </w:r>
        <w:r w:rsidR="007F1AC5">
          <w:rPr>
            <w:noProof/>
            <w:webHidden/>
          </w:rPr>
          <w:fldChar w:fldCharType="end"/>
        </w:r>
      </w:hyperlink>
    </w:p>
    <w:p w14:paraId="350A490B" w14:textId="5138FA74" w:rsidR="007F1AC5" w:rsidRDefault="00BE462A">
      <w:pPr>
        <w:pStyle w:val="TM2"/>
        <w:tabs>
          <w:tab w:val="left" w:pos="1701"/>
          <w:tab w:val="right" w:leader="underscore" w:pos="9062"/>
        </w:tabs>
        <w:rPr>
          <w:rFonts w:eastAsiaTheme="minorEastAsia" w:cstheme="minorBidi"/>
          <w:b w:val="0"/>
          <w:bCs w:val="0"/>
          <w:noProof/>
        </w:rPr>
      </w:pPr>
      <w:hyperlink w:anchor="_Toc74557749" w:history="1">
        <w:r w:rsidR="007F1AC5" w:rsidRPr="001C5F87">
          <w:rPr>
            <w:rStyle w:val="Lienhypertexte"/>
            <w:noProof/>
          </w:rPr>
          <w:t>VII.3.</w:t>
        </w:r>
        <w:r w:rsidR="007F1AC5">
          <w:rPr>
            <w:rFonts w:eastAsiaTheme="minorEastAsia" w:cstheme="minorBidi"/>
            <w:b w:val="0"/>
            <w:bCs w:val="0"/>
            <w:noProof/>
          </w:rPr>
          <w:tab/>
        </w:r>
        <w:r w:rsidR="007F1AC5" w:rsidRPr="001C5F87">
          <w:rPr>
            <w:rStyle w:val="Lienhypertexte"/>
            <w:noProof/>
          </w:rPr>
          <w:t>Taxes ou redevances sur les prestations d’hygiène publique</w:t>
        </w:r>
        <w:r w:rsidR="007F1AC5">
          <w:rPr>
            <w:noProof/>
            <w:webHidden/>
          </w:rPr>
          <w:tab/>
        </w:r>
        <w:r w:rsidR="007F1AC5">
          <w:rPr>
            <w:noProof/>
            <w:webHidden/>
          </w:rPr>
          <w:fldChar w:fldCharType="begin"/>
        </w:r>
        <w:r w:rsidR="007F1AC5">
          <w:rPr>
            <w:noProof/>
            <w:webHidden/>
          </w:rPr>
          <w:instrText xml:space="preserve"> PAGEREF _Toc74557749 \h </w:instrText>
        </w:r>
        <w:r w:rsidR="007F1AC5">
          <w:rPr>
            <w:noProof/>
            <w:webHidden/>
          </w:rPr>
        </w:r>
        <w:r w:rsidR="007F1AC5">
          <w:rPr>
            <w:noProof/>
            <w:webHidden/>
          </w:rPr>
          <w:fldChar w:fldCharType="separate"/>
        </w:r>
        <w:r w:rsidR="00B44836">
          <w:rPr>
            <w:noProof/>
            <w:webHidden/>
          </w:rPr>
          <w:t>125</w:t>
        </w:r>
        <w:r w:rsidR="007F1AC5">
          <w:rPr>
            <w:noProof/>
            <w:webHidden/>
          </w:rPr>
          <w:fldChar w:fldCharType="end"/>
        </w:r>
      </w:hyperlink>
    </w:p>
    <w:p w14:paraId="66A0EDD5" w14:textId="4F019F10" w:rsidR="007F1AC5" w:rsidRDefault="00BE462A">
      <w:pPr>
        <w:pStyle w:val="TM3"/>
        <w:rPr>
          <w:rFonts w:eastAsiaTheme="minorEastAsia" w:cstheme="minorBidi"/>
          <w:noProof/>
        </w:rPr>
      </w:pPr>
      <w:hyperlink w:anchor="_Toc74557750" w:history="1">
        <w:r w:rsidR="007F1AC5" w:rsidRPr="001C5F87">
          <w:rPr>
            <w:rStyle w:val="Lienhypertexte"/>
            <w:noProof/>
          </w:rPr>
          <w:t>040/363-02 : Travaux de raccordement au réseau de distribution d'eau</w:t>
        </w:r>
        <w:r w:rsidR="007F1AC5">
          <w:rPr>
            <w:noProof/>
            <w:webHidden/>
          </w:rPr>
          <w:tab/>
        </w:r>
        <w:r w:rsidR="007F1AC5">
          <w:rPr>
            <w:noProof/>
            <w:webHidden/>
          </w:rPr>
          <w:fldChar w:fldCharType="begin"/>
        </w:r>
        <w:r w:rsidR="007F1AC5">
          <w:rPr>
            <w:noProof/>
            <w:webHidden/>
          </w:rPr>
          <w:instrText xml:space="preserve"> PAGEREF _Toc74557750 \h </w:instrText>
        </w:r>
        <w:r w:rsidR="007F1AC5">
          <w:rPr>
            <w:noProof/>
            <w:webHidden/>
          </w:rPr>
        </w:r>
        <w:r w:rsidR="007F1AC5">
          <w:rPr>
            <w:noProof/>
            <w:webHidden/>
          </w:rPr>
          <w:fldChar w:fldCharType="separate"/>
        </w:r>
        <w:r w:rsidR="00B44836">
          <w:rPr>
            <w:noProof/>
            <w:webHidden/>
          </w:rPr>
          <w:t>125</w:t>
        </w:r>
        <w:r w:rsidR="007F1AC5">
          <w:rPr>
            <w:noProof/>
            <w:webHidden/>
          </w:rPr>
          <w:fldChar w:fldCharType="end"/>
        </w:r>
      </w:hyperlink>
    </w:p>
    <w:p w14:paraId="46D0DF1E" w14:textId="0CE0E74B" w:rsidR="007F1AC5" w:rsidRDefault="00BE462A">
      <w:pPr>
        <w:pStyle w:val="TM3"/>
        <w:rPr>
          <w:rFonts w:eastAsiaTheme="minorEastAsia" w:cstheme="minorBidi"/>
          <w:noProof/>
        </w:rPr>
      </w:pPr>
      <w:hyperlink w:anchor="_Toc74557751" w:history="1">
        <w:r w:rsidR="007F1AC5" w:rsidRPr="001C5F87">
          <w:rPr>
            <w:rStyle w:val="Lienhypertexte"/>
            <w:noProof/>
            <w:lang w:eastAsia="zh-CN"/>
          </w:rPr>
          <w:t>040/363-03 : Enlèvement des immondices - Traitement des immondices</w:t>
        </w:r>
        <w:r w:rsidR="007F1AC5">
          <w:rPr>
            <w:noProof/>
            <w:webHidden/>
          </w:rPr>
          <w:tab/>
        </w:r>
        <w:r w:rsidR="007F1AC5">
          <w:rPr>
            <w:noProof/>
            <w:webHidden/>
          </w:rPr>
          <w:fldChar w:fldCharType="begin"/>
        </w:r>
        <w:r w:rsidR="007F1AC5">
          <w:rPr>
            <w:noProof/>
            <w:webHidden/>
          </w:rPr>
          <w:instrText xml:space="preserve"> PAGEREF _Toc74557751 \h </w:instrText>
        </w:r>
        <w:r w:rsidR="007F1AC5">
          <w:rPr>
            <w:noProof/>
            <w:webHidden/>
          </w:rPr>
        </w:r>
        <w:r w:rsidR="007F1AC5">
          <w:rPr>
            <w:noProof/>
            <w:webHidden/>
          </w:rPr>
          <w:fldChar w:fldCharType="separate"/>
        </w:r>
        <w:r w:rsidR="00B44836">
          <w:rPr>
            <w:noProof/>
            <w:webHidden/>
          </w:rPr>
          <w:t>125</w:t>
        </w:r>
        <w:r w:rsidR="007F1AC5">
          <w:rPr>
            <w:noProof/>
            <w:webHidden/>
          </w:rPr>
          <w:fldChar w:fldCharType="end"/>
        </w:r>
      </w:hyperlink>
    </w:p>
    <w:p w14:paraId="560C5A76" w14:textId="02DA0005" w:rsidR="007F1AC5" w:rsidRDefault="00BE462A">
      <w:pPr>
        <w:pStyle w:val="TM3"/>
        <w:rPr>
          <w:rFonts w:eastAsiaTheme="minorEastAsia" w:cstheme="minorBidi"/>
          <w:noProof/>
        </w:rPr>
      </w:pPr>
      <w:hyperlink w:anchor="_Toc74557752" w:history="1">
        <w:r w:rsidR="007F1AC5" w:rsidRPr="001C5F87">
          <w:rPr>
            <w:rStyle w:val="Lienhypertexte"/>
            <w:noProof/>
          </w:rPr>
          <w:t>040/363-04 : Vidange des fosses d'aisance</w:t>
        </w:r>
        <w:r w:rsidR="007F1AC5">
          <w:rPr>
            <w:noProof/>
            <w:webHidden/>
          </w:rPr>
          <w:tab/>
        </w:r>
        <w:r w:rsidR="007F1AC5">
          <w:rPr>
            <w:noProof/>
            <w:webHidden/>
          </w:rPr>
          <w:fldChar w:fldCharType="begin"/>
        </w:r>
        <w:r w:rsidR="007F1AC5">
          <w:rPr>
            <w:noProof/>
            <w:webHidden/>
          </w:rPr>
          <w:instrText xml:space="preserve"> PAGEREF _Toc74557752 \h </w:instrText>
        </w:r>
        <w:r w:rsidR="007F1AC5">
          <w:rPr>
            <w:noProof/>
            <w:webHidden/>
          </w:rPr>
        </w:r>
        <w:r w:rsidR="007F1AC5">
          <w:rPr>
            <w:noProof/>
            <w:webHidden/>
          </w:rPr>
          <w:fldChar w:fldCharType="separate"/>
        </w:r>
        <w:r w:rsidR="00B44836">
          <w:rPr>
            <w:noProof/>
            <w:webHidden/>
          </w:rPr>
          <w:t>129</w:t>
        </w:r>
        <w:r w:rsidR="007F1AC5">
          <w:rPr>
            <w:noProof/>
            <w:webHidden/>
          </w:rPr>
          <w:fldChar w:fldCharType="end"/>
        </w:r>
      </w:hyperlink>
    </w:p>
    <w:p w14:paraId="32F75588" w14:textId="1A5CB6C6" w:rsidR="007F1AC5" w:rsidRDefault="00BE462A">
      <w:pPr>
        <w:pStyle w:val="TM3"/>
        <w:rPr>
          <w:rFonts w:eastAsiaTheme="minorEastAsia" w:cstheme="minorBidi"/>
          <w:noProof/>
        </w:rPr>
      </w:pPr>
      <w:hyperlink w:anchor="_Toc74557753" w:history="1">
        <w:r w:rsidR="007F1AC5" w:rsidRPr="001C5F87">
          <w:rPr>
            <w:rStyle w:val="Lienhypertexte"/>
            <w:noProof/>
          </w:rPr>
          <w:t>040/363-05 : Enlèvement d'objets encombrants</w:t>
        </w:r>
        <w:r w:rsidR="007F1AC5">
          <w:rPr>
            <w:noProof/>
            <w:webHidden/>
          </w:rPr>
          <w:tab/>
        </w:r>
        <w:r w:rsidR="007F1AC5">
          <w:rPr>
            <w:noProof/>
            <w:webHidden/>
          </w:rPr>
          <w:fldChar w:fldCharType="begin"/>
        </w:r>
        <w:r w:rsidR="007F1AC5">
          <w:rPr>
            <w:noProof/>
            <w:webHidden/>
          </w:rPr>
          <w:instrText xml:space="preserve"> PAGEREF _Toc74557753 \h </w:instrText>
        </w:r>
        <w:r w:rsidR="007F1AC5">
          <w:rPr>
            <w:noProof/>
            <w:webHidden/>
          </w:rPr>
        </w:r>
        <w:r w:rsidR="007F1AC5">
          <w:rPr>
            <w:noProof/>
            <w:webHidden/>
          </w:rPr>
          <w:fldChar w:fldCharType="separate"/>
        </w:r>
        <w:r w:rsidR="00B44836">
          <w:rPr>
            <w:noProof/>
            <w:webHidden/>
          </w:rPr>
          <w:t>129</w:t>
        </w:r>
        <w:r w:rsidR="007F1AC5">
          <w:rPr>
            <w:noProof/>
            <w:webHidden/>
          </w:rPr>
          <w:fldChar w:fldCharType="end"/>
        </w:r>
      </w:hyperlink>
    </w:p>
    <w:p w14:paraId="55991520" w14:textId="3208C23D" w:rsidR="007F1AC5" w:rsidRDefault="00BE462A">
      <w:pPr>
        <w:pStyle w:val="TM3"/>
        <w:rPr>
          <w:rFonts w:eastAsiaTheme="minorEastAsia" w:cstheme="minorBidi"/>
          <w:noProof/>
        </w:rPr>
      </w:pPr>
      <w:hyperlink w:anchor="_Toc74557754" w:history="1">
        <w:r w:rsidR="007F1AC5" w:rsidRPr="001C5F87">
          <w:rPr>
            <w:rStyle w:val="Lienhypertexte"/>
            <w:noProof/>
          </w:rPr>
          <w:t>040/363-07 : Enlèvement des versages sauvages</w:t>
        </w:r>
        <w:r w:rsidR="007F1AC5">
          <w:rPr>
            <w:noProof/>
            <w:webHidden/>
          </w:rPr>
          <w:tab/>
        </w:r>
        <w:r w:rsidR="007F1AC5">
          <w:rPr>
            <w:noProof/>
            <w:webHidden/>
          </w:rPr>
          <w:fldChar w:fldCharType="begin"/>
        </w:r>
        <w:r w:rsidR="007F1AC5">
          <w:rPr>
            <w:noProof/>
            <w:webHidden/>
          </w:rPr>
          <w:instrText xml:space="preserve"> PAGEREF _Toc74557754 \h </w:instrText>
        </w:r>
        <w:r w:rsidR="007F1AC5">
          <w:rPr>
            <w:noProof/>
            <w:webHidden/>
          </w:rPr>
        </w:r>
        <w:r w:rsidR="007F1AC5">
          <w:rPr>
            <w:noProof/>
            <w:webHidden/>
          </w:rPr>
          <w:fldChar w:fldCharType="separate"/>
        </w:r>
        <w:r w:rsidR="00B44836">
          <w:rPr>
            <w:noProof/>
            <w:webHidden/>
          </w:rPr>
          <w:t>129</w:t>
        </w:r>
        <w:r w:rsidR="007F1AC5">
          <w:rPr>
            <w:noProof/>
            <w:webHidden/>
          </w:rPr>
          <w:fldChar w:fldCharType="end"/>
        </w:r>
      </w:hyperlink>
    </w:p>
    <w:p w14:paraId="76C5F1B9" w14:textId="31490729" w:rsidR="007F1AC5" w:rsidRDefault="00BE462A">
      <w:pPr>
        <w:pStyle w:val="TM3"/>
        <w:rPr>
          <w:rFonts w:eastAsiaTheme="minorEastAsia" w:cstheme="minorBidi"/>
          <w:noProof/>
        </w:rPr>
      </w:pPr>
      <w:hyperlink w:anchor="_Toc74557756" w:history="1">
        <w:r w:rsidR="007F1AC5" w:rsidRPr="001C5F87">
          <w:rPr>
            <w:rStyle w:val="Lienhypertexte"/>
            <w:noProof/>
            <w:lang w:eastAsia="zh-CN"/>
          </w:rPr>
          <w:t>040/363-08 : Immeubles reliés ou reliables au réseau d'égouts</w:t>
        </w:r>
        <w:r w:rsidR="007F1AC5">
          <w:rPr>
            <w:noProof/>
            <w:webHidden/>
          </w:rPr>
          <w:tab/>
        </w:r>
        <w:r w:rsidR="007F1AC5">
          <w:rPr>
            <w:noProof/>
            <w:webHidden/>
          </w:rPr>
          <w:fldChar w:fldCharType="begin"/>
        </w:r>
        <w:r w:rsidR="007F1AC5">
          <w:rPr>
            <w:noProof/>
            <w:webHidden/>
          </w:rPr>
          <w:instrText xml:space="preserve"> PAGEREF _Toc74557756 \h </w:instrText>
        </w:r>
        <w:r w:rsidR="007F1AC5">
          <w:rPr>
            <w:noProof/>
            <w:webHidden/>
          </w:rPr>
        </w:r>
        <w:r w:rsidR="007F1AC5">
          <w:rPr>
            <w:noProof/>
            <w:webHidden/>
          </w:rPr>
          <w:fldChar w:fldCharType="separate"/>
        </w:r>
        <w:r w:rsidR="00B44836">
          <w:rPr>
            <w:noProof/>
            <w:webHidden/>
          </w:rPr>
          <w:t>130</w:t>
        </w:r>
        <w:r w:rsidR="007F1AC5">
          <w:rPr>
            <w:noProof/>
            <w:webHidden/>
          </w:rPr>
          <w:fldChar w:fldCharType="end"/>
        </w:r>
      </w:hyperlink>
    </w:p>
    <w:p w14:paraId="22D73DB8" w14:textId="1548255F" w:rsidR="007F1AC5" w:rsidRDefault="00BE462A">
      <w:pPr>
        <w:pStyle w:val="TM3"/>
        <w:rPr>
          <w:rFonts w:eastAsiaTheme="minorEastAsia" w:cstheme="minorBidi"/>
          <w:noProof/>
        </w:rPr>
      </w:pPr>
      <w:hyperlink w:anchor="_Toc74557757" w:history="1">
        <w:r w:rsidR="007F1AC5" w:rsidRPr="001C5F87">
          <w:rPr>
            <w:rStyle w:val="Lienhypertexte"/>
            <w:noProof/>
          </w:rPr>
          <w:t>040/363-09 : Entretien des égouts</w:t>
        </w:r>
        <w:r w:rsidR="007F1AC5">
          <w:rPr>
            <w:noProof/>
            <w:webHidden/>
          </w:rPr>
          <w:tab/>
        </w:r>
        <w:r w:rsidR="007F1AC5">
          <w:rPr>
            <w:noProof/>
            <w:webHidden/>
          </w:rPr>
          <w:fldChar w:fldCharType="begin"/>
        </w:r>
        <w:r w:rsidR="007F1AC5">
          <w:rPr>
            <w:noProof/>
            <w:webHidden/>
          </w:rPr>
          <w:instrText xml:space="preserve"> PAGEREF _Toc74557757 \h </w:instrText>
        </w:r>
        <w:r w:rsidR="007F1AC5">
          <w:rPr>
            <w:noProof/>
            <w:webHidden/>
          </w:rPr>
        </w:r>
        <w:r w:rsidR="007F1AC5">
          <w:rPr>
            <w:noProof/>
            <w:webHidden/>
          </w:rPr>
          <w:fldChar w:fldCharType="separate"/>
        </w:r>
        <w:r w:rsidR="00B44836">
          <w:rPr>
            <w:noProof/>
            <w:webHidden/>
          </w:rPr>
          <w:t>130</w:t>
        </w:r>
        <w:r w:rsidR="007F1AC5">
          <w:rPr>
            <w:noProof/>
            <w:webHidden/>
          </w:rPr>
          <w:fldChar w:fldCharType="end"/>
        </w:r>
      </w:hyperlink>
    </w:p>
    <w:p w14:paraId="36678AE5" w14:textId="4F4E3D06" w:rsidR="007F1AC5" w:rsidRDefault="00BE462A">
      <w:pPr>
        <w:pStyle w:val="TM3"/>
        <w:rPr>
          <w:noProof/>
        </w:rPr>
      </w:pPr>
      <w:hyperlink w:anchor="_Toc74557758" w:history="1">
        <w:r w:rsidR="007F1AC5" w:rsidRPr="001C5F87">
          <w:rPr>
            <w:rStyle w:val="Lienhypertexte"/>
            <w:noProof/>
          </w:rPr>
          <w:t>04001/363-10 : Inhumations, dispersions des cendres et mises en columbarium</w:t>
        </w:r>
        <w:r w:rsidR="007F1AC5">
          <w:rPr>
            <w:noProof/>
            <w:webHidden/>
          </w:rPr>
          <w:tab/>
        </w:r>
        <w:r w:rsidR="007F1AC5">
          <w:rPr>
            <w:noProof/>
            <w:webHidden/>
          </w:rPr>
          <w:fldChar w:fldCharType="begin"/>
        </w:r>
        <w:r w:rsidR="007F1AC5">
          <w:rPr>
            <w:noProof/>
            <w:webHidden/>
          </w:rPr>
          <w:instrText xml:space="preserve"> PAGEREF _Toc74557758 \h </w:instrText>
        </w:r>
        <w:r w:rsidR="007F1AC5">
          <w:rPr>
            <w:noProof/>
            <w:webHidden/>
          </w:rPr>
        </w:r>
        <w:r w:rsidR="007F1AC5">
          <w:rPr>
            <w:noProof/>
            <w:webHidden/>
          </w:rPr>
          <w:fldChar w:fldCharType="separate"/>
        </w:r>
        <w:r w:rsidR="00B44836">
          <w:rPr>
            <w:noProof/>
            <w:webHidden/>
          </w:rPr>
          <w:t>131</w:t>
        </w:r>
        <w:r w:rsidR="007F1AC5">
          <w:rPr>
            <w:noProof/>
            <w:webHidden/>
          </w:rPr>
          <w:fldChar w:fldCharType="end"/>
        </w:r>
      </w:hyperlink>
    </w:p>
    <w:p w14:paraId="0787F409" w14:textId="1F8DAA1D" w:rsidR="00ED5C2E" w:rsidRPr="00F1013D" w:rsidRDefault="00ED5C2E">
      <w:pPr>
        <w:pStyle w:val="TM3"/>
        <w:rPr>
          <w:rFonts w:eastAsiaTheme="minorEastAsia"/>
        </w:rPr>
      </w:pPr>
      <w:r>
        <w:rPr>
          <w:rFonts w:eastAsiaTheme="minorEastAsia"/>
        </w:rPr>
        <w:t>04002/363-10 : Taxe sur l'utilisation de cercueils en polyester</w:t>
      </w:r>
      <w:r>
        <w:rPr>
          <w:rFonts w:eastAsiaTheme="minorEastAsia"/>
        </w:rPr>
        <w:tab/>
        <w:t>131</w:t>
      </w:r>
    </w:p>
    <w:p w14:paraId="3D483EDF" w14:textId="4F5C02F0" w:rsidR="007F1AC5" w:rsidRDefault="00BE462A">
      <w:pPr>
        <w:pStyle w:val="TM3"/>
        <w:rPr>
          <w:rFonts w:eastAsiaTheme="minorEastAsia" w:cstheme="minorBidi"/>
          <w:noProof/>
        </w:rPr>
      </w:pPr>
      <w:hyperlink w:anchor="_Toc74557759" w:history="1">
        <w:r w:rsidR="007F1AC5" w:rsidRPr="001C5F87">
          <w:rPr>
            <w:rStyle w:val="Lienhypertexte"/>
            <w:noProof/>
          </w:rPr>
          <w:t>040/363-11 : Exhumations</w:t>
        </w:r>
        <w:r w:rsidR="007F1AC5">
          <w:rPr>
            <w:noProof/>
            <w:webHidden/>
          </w:rPr>
          <w:tab/>
        </w:r>
        <w:r w:rsidR="007F1AC5">
          <w:rPr>
            <w:noProof/>
            <w:webHidden/>
          </w:rPr>
          <w:fldChar w:fldCharType="begin"/>
        </w:r>
        <w:r w:rsidR="007F1AC5">
          <w:rPr>
            <w:noProof/>
            <w:webHidden/>
          </w:rPr>
          <w:instrText xml:space="preserve"> PAGEREF _Toc74557759 \h </w:instrText>
        </w:r>
        <w:r w:rsidR="007F1AC5">
          <w:rPr>
            <w:noProof/>
            <w:webHidden/>
          </w:rPr>
        </w:r>
        <w:r w:rsidR="007F1AC5">
          <w:rPr>
            <w:noProof/>
            <w:webHidden/>
          </w:rPr>
          <w:fldChar w:fldCharType="separate"/>
        </w:r>
        <w:r w:rsidR="00B44836">
          <w:rPr>
            <w:noProof/>
            <w:webHidden/>
          </w:rPr>
          <w:t>133</w:t>
        </w:r>
        <w:r w:rsidR="007F1AC5">
          <w:rPr>
            <w:noProof/>
            <w:webHidden/>
          </w:rPr>
          <w:fldChar w:fldCharType="end"/>
        </w:r>
      </w:hyperlink>
    </w:p>
    <w:p w14:paraId="17A0B606" w14:textId="76A6D047" w:rsidR="007F1AC5" w:rsidRDefault="00BE462A">
      <w:pPr>
        <w:pStyle w:val="TM3"/>
        <w:rPr>
          <w:rFonts w:eastAsiaTheme="minorEastAsia" w:cstheme="minorBidi"/>
          <w:noProof/>
        </w:rPr>
      </w:pPr>
      <w:hyperlink w:anchor="_Toc74557760" w:history="1">
        <w:r w:rsidR="007F1AC5" w:rsidRPr="001C5F87">
          <w:rPr>
            <w:rStyle w:val="Lienhypertexte"/>
            <w:noProof/>
          </w:rPr>
          <w:t>040/363-12 : Transports funèbres</w:t>
        </w:r>
        <w:r w:rsidR="007F1AC5">
          <w:rPr>
            <w:noProof/>
            <w:webHidden/>
          </w:rPr>
          <w:tab/>
        </w:r>
        <w:r w:rsidR="007F1AC5">
          <w:rPr>
            <w:noProof/>
            <w:webHidden/>
          </w:rPr>
          <w:fldChar w:fldCharType="begin"/>
        </w:r>
        <w:r w:rsidR="007F1AC5">
          <w:rPr>
            <w:noProof/>
            <w:webHidden/>
          </w:rPr>
          <w:instrText xml:space="preserve"> PAGEREF _Toc74557760 \h </w:instrText>
        </w:r>
        <w:r w:rsidR="007F1AC5">
          <w:rPr>
            <w:noProof/>
            <w:webHidden/>
          </w:rPr>
        </w:r>
        <w:r w:rsidR="007F1AC5">
          <w:rPr>
            <w:noProof/>
            <w:webHidden/>
          </w:rPr>
          <w:fldChar w:fldCharType="separate"/>
        </w:r>
        <w:r w:rsidR="00B44836">
          <w:rPr>
            <w:noProof/>
            <w:webHidden/>
          </w:rPr>
          <w:t>135</w:t>
        </w:r>
        <w:r w:rsidR="007F1AC5">
          <w:rPr>
            <w:noProof/>
            <w:webHidden/>
          </w:rPr>
          <w:fldChar w:fldCharType="end"/>
        </w:r>
      </w:hyperlink>
    </w:p>
    <w:p w14:paraId="0B73C2D3" w14:textId="76EEBF16" w:rsidR="007F1AC5" w:rsidRDefault="00BE462A">
      <w:pPr>
        <w:pStyle w:val="TM3"/>
        <w:rPr>
          <w:rFonts w:eastAsiaTheme="minorEastAsia" w:cstheme="minorBidi"/>
          <w:noProof/>
        </w:rPr>
      </w:pPr>
      <w:hyperlink w:anchor="_Toc74557761" w:history="1">
        <w:r w:rsidR="007F1AC5" w:rsidRPr="001C5F87">
          <w:rPr>
            <w:rStyle w:val="Lienhypertexte"/>
            <w:noProof/>
          </w:rPr>
          <w:t>040/363-13 : Location de caveaux d’attente</w:t>
        </w:r>
        <w:r w:rsidR="007F1AC5">
          <w:rPr>
            <w:noProof/>
            <w:webHidden/>
          </w:rPr>
          <w:tab/>
        </w:r>
        <w:r w:rsidR="007F1AC5">
          <w:rPr>
            <w:noProof/>
            <w:webHidden/>
          </w:rPr>
          <w:fldChar w:fldCharType="begin"/>
        </w:r>
        <w:r w:rsidR="007F1AC5">
          <w:rPr>
            <w:noProof/>
            <w:webHidden/>
          </w:rPr>
          <w:instrText xml:space="preserve"> PAGEREF _Toc74557761 \h </w:instrText>
        </w:r>
        <w:r w:rsidR="007F1AC5">
          <w:rPr>
            <w:noProof/>
            <w:webHidden/>
          </w:rPr>
        </w:r>
        <w:r w:rsidR="007F1AC5">
          <w:rPr>
            <w:noProof/>
            <w:webHidden/>
          </w:rPr>
          <w:fldChar w:fldCharType="separate"/>
        </w:r>
        <w:r w:rsidR="00B44836">
          <w:rPr>
            <w:noProof/>
            <w:webHidden/>
          </w:rPr>
          <w:t>135</w:t>
        </w:r>
        <w:r w:rsidR="007F1AC5">
          <w:rPr>
            <w:noProof/>
            <w:webHidden/>
          </w:rPr>
          <w:fldChar w:fldCharType="end"/>
        </w:r>
      </w:hyperlink>
    </w:p>
    <w:p w14:paraId="7305C66E" w14:textId="18C3CC4A" w:rsidR="007F1AC5" w:rsidRDefault="00BE462A">
      <w:pPr>
        <w:pStyle w:val="TM3"/>
        <w:rPr>
          <w:noProof/>
        </w:rPr>
      </w:pPr>
      <w:hyperlink w:anchor="_Toc74557762" w:history="1">
        <w:r w:rsidR="007F1AC5" w:rsidRPr="001C5F87">
          <w:rPr>
            <w:rStyle w:val="Lienhypertexte"/>
            <w:noProof/>
          </w:rPr>
          <w:t>040/363-14 : Séjour à la morgue ou au dépôt mortuaire</w:t>
        </w:r>
        <w:r w:rsidR="007F1AC5">
          <w:rPr>
            <w:noProof/>
            <w:webHidden/>
          </w:rPr>
          <w:tab/>
        </w:r>
        <w:r w:rsidR="007F1AC5">
          <w:rPr>
            <w:noProof/>
            <w:webHidden/>
          </w:rPr>
          <w:fldChar w:fldCharType="begin"/>
        </w:r>
        <w:r w:rsidR="007F1AC5">
          <w:rPr>
            <w:noProof/>
            <w:webHidden/>
          </w:rPr>
          <w:instrText xml:space="preserve"> PAGEREF _Toc74557762 \h </w:instrText>
        </w:r>
        <w:r w:rsidR="007F1AC5">
          <w:rPr>
            <w:noProof/>
            <w:webHidden/>
          </w:rPr>
        </w:r>
        <w:r w:rsidR="007F1AC5">
          <w:rPr>
            <w:noProof/>
            <w:webHidden/>
          </w:rPr>
          <w:fldChar w:fldCharType="separate"/>
        </w:r>
        <w:r w:rsidR="00B44836">
          <w:rPr>
            <w:noProof/>
            <w:webHidden/>
          </w:rPr>
          <w:t>135</w:t>
        </w:r>
        <w:r w:rsidR="007F1AC5">
          <w:rPr>
            <w:noProof/>
            <w:webHidden/>
          </w:rPr>
          <w:fldChar w:fldCharType="end"/>
        </w:r>
      </w:hyperlink>
    </w:p>
    <w:p w14:paraId="2A80FDBD" w14:textId="4713826F" w:rsidR="00ED5C2E" w:rsidRPr="00F1013D" w:rsidRDefault="00ED5C2E">
      <w:pPr>
        <w:pStyle w:val="TM3"/>
        <w:rPr>
          <w:rFonts w:eastAsiaTheme="minorEastAsia"/>
        </w:rPr>
      </w:pPr>
      <w:r>
        <w:rPr>
          <w:rFonts w:eastAsiaTheme="minorEastAsia"/>
        </w:rPr>
        <w:t>040/363-15 : Concession dans les cimetières</w:t>
      </w:r>
      <w:r>
        <w:rPr>
          <w:rFonts w:eastAsiaTheme="minorEastAsia"/>
        </w:rPr>
        <w:tab/>
        <w:t>135</w:t>
      </w:r>
    </w:p>
    <w:p w14:paraId="3F9A697D" w14:textId="4ED2DBC1" w:rsidR="007F1AC5" w:rsidRDefault="00BE462A">
      <w:pPr>
        <w:pStyle w:val="TM3"/>
        <w:rPr>
          <w:rFonts w:eastAsiaTheme="minorEastAsia" w:cstheme="minorBidi"/>
          <w:noProof/>
        </w:rPr>
      </w:pPr>
      <w:hyperlink w:anchor="_Toc74557763" w:history="1">
        <w:r w:rsidR="007F1AC5" w:rsidRPr="001C5F87">
          <w:rPr>
            <w:rStyle w:val="Lienhypertexte"/>
            <w:noProof/>
          </w:rPr>
          <w:t>040/363-xx : Redevance pour la propreté des trottoirs</w:t>
        </w:r>
        <w:r w:rsidR="007F1AC5">
          <w:rPr>
            <w:noProof/>
            <w:webHidden/>
          </w:rPr>
          <w:tab/>
        </w:r>
        <w:r w:rsidR="007F1AC5">
          <w:rPr>
            <w:noProof/>
            <w:webHidden/>
          </w:rPr>
          <w:fldChar w:fldCharType="begin"/>
        </w:r>
        <w:r w:rsidR="007F1AC5">
          <w:rPr>
            <w:noProof/>
            <w:webHidden/>
          </w:rPr>
          <w:instrText xml:space="preserve"> PAGEREF _Toc74557763 \h </w:instrText>
        </w:r>
        <w:r w:rsidR="007F1AC5">
          <w:rPr>
            <w:noProof/>
            <w:webHidden/>
          </w:rPr>
        </w:r>
        <w:r w:rsidR="007F1AC5">
          <w:rPr>
            <w:noProof/>
            <w:webHidden/>
          </w:rPr>
          <w:fldChar w:fldCharType="separate"/>
        </w:r>
        <w:r w:rsidR="00B44836">
          <w:rPr>
            <w:noProof/>
            <w:webHidden/>
          </w:rPr>
          <w:t>135</w:t>
        </w:r>
        <w:r w:rsidR="007F1AC5">
          <w:rPr>
            <w:noProof/>
            <w:webHidden/>
          </w:rPr>
          <w:fldChar w:fldCharType="end"/>
        </w:r>
      </w:hyperlink>
    </w:p>
    <w:p w14:paraId="21CDC03F" w14:textId="1F381911" w:rsidR="007F1AC5" w:rsidRDefault="00BE462A">
      <w:pPr>
        <w:pStyle w:val="TM3"/>
        <w:rPr>
          <w:rFonts w:eastAsiaTheme="minorEastAsia" w:cstheme="minorBidi"/>
          <w:noProof/>
        </w:rPr>
      </w:pPr>
      <w:hyperlink w:anchor="_Toc74557764" w:history="1">
        <w:r w:rsidR="007F1AC5" w:rsidRPr="001C5F87">
          <w:rPr>
            <w:rStyle w:val="Lienhypertexte"/>
            <w:noProof/>
          </w:rPr>
          <w:t>040/363-48 : Prestations diverses d’hygiène publique</w:t>
        </w:r>
        <w:r w:rsidR="007F1AC5">
          <w:rPr>
            <w:noProof/>
            <w:webHidden/>
          </w:rPr>
          <w:tab/>
        </w:r>
        <w:r w:rsidR="007F1AC5">
          <w:rPr>
            <w:noProof/>
            <w:webHidden/>
          </w:rPr>
          <w:fldChar w:fldCharType="begin"/>
        </w:r>
        <w:r w:rsidR="007F1AC5">
          <w:rPr>
            <w:noProof/>
            <w:webHidden/>
          </w:rPr>
          <w:instrText xml:space="preserve"> PAGEREF _Toc74557764 \h </w:instrText>
        </w:r>
        <w:r w:rsidR="007F1AC5">
          <w:rPr>
            <w:noProof/>
            <w:webHidden/>
          </w:rPr>
        </w:r>
        <w:r w:rsidR="007F1AC5">
          <w:rPr>
            <w:noProof/>
            <w:webHidden/>
          </w:rPr>
          <w:fldChar w:fldCharType="separate"/>
        </w:r>
        <w:r w:rsidR="00B44836">
          <w:rPr>
            <w:noProof/>
            <w:webHidden/>
          </w:rPr>
          <w:t>136</w:t>
        </w:r>
        <w:r w:rsidR="007F1AC5">
          <w:rPr>
            <w:noProof/>
            <w:webHidden/>
          </w:rPr>
          <w:fldChar w:fldCharType="end"/>
        </w:r>
      </w:hyperlink>
    </w:p>
    <w:p w14:paraId="6D54F093" w14:textId="4AC916F7" w:rsidR="007F1AC5" w:rsidRDefault="00BE462A">
      <w:pPr>
        <w:pStyle w:val="TM2"/>
        <w:tabs>
          <w:tab w:val="left" w:pos="1701"/>
          <w:tab w:val="right" w:leader="underscore" w:pos="9062"/>
        </w:tabs>
        <w:rPr>
          <w:rFonts w:eastAsiaTheme="minorEastAsia" w:cstheme="minorBidi"/>
          <w:b w:val="0"/>
          <w:bCs w:val="0"/>
          <w:noProof/>
        </w:rPr>
      </w:pPr>
      <w:hyperlink w:anchor="_Toc74557765" w:history="1">
        <w:r w:rsidR="007F1AC5" w:rsidRPr="001C5F87">
          <w:rPr>
            <w:rStyle w:val="Lienhypertexte"/>
            <w:noProof/>
          </w:rPr>
          <w:t>VII.4.</w:t>
        </w:r>
        <w:r w:rsidR="007F1AC5">
          <w:rPr>
            <w:rFonts w:eastAsiaTheme="minorEastAsia" w:cstheme="minorBidi"/>
            <w:b w:val="0"/>
            <w:bCs w:val="0"/>
            <w:noProof/>
          </w:rPr>
          <w:tab/>
        </w:r>
        <w:r w:rsidR="007F1AC5" w:rsidRPr="001C5F87">
          <w:rPr>
            <w:rStyle w:val="Lienhypertexte"/>
            <w:noProof/>
          </w:rPr>
          <w:t>Taxes sur les entreprises industrielles, commerciales et agricoles</w:t>
        </w:r>
        <w:r w:rsidR="007F1AC5">
          <w:rPr>
            <w:noProof/>
            <w:webHidden/>
          </w:rPr>
          <w:tab/>
        </w:r>
        <w:r w:rsidR="007F1AC5">
          <w:rPr>
            <w:noProof/>
            <w:webHidden/>
          </w:rPr>
          <w:fldChar w:fldCharType="begin"/>
        </w:r>
        <w:r w:rsidR="007F1AC5">
          <w:rPr>
            <w:noProof/>
            <w:webHidden/>
          </w:rPr>
          <w:instrText xml:space="preserve"> PAGEREF _Toc74557765 \h </w:instrText>
        </w:r>
        <w:r w:rsidR="007F1AC5">
          <w:rPr>
            <w:noProof/>
            <w:webHidden/>
          </w:rPr>
        </w:r>
        <w:r w:rsidR="007F1AC5">
          <w:rPr>
            <w:noProof/>
            <w:webHidden/>
          </w:rPr>
          <w:fldChar w:fldCharType="separate"/>
        </w:r>
        <w:r w:rsidR="00B44836">
          <w:rPr>
            <w:noProof/>
            <w:webHidden/>
          </w:rPr>
          <w:t>136</w:t>
        </w:r>
        <w:r w:rsidR="007F1AC5">
          <w:rPr>
            <w:noProof/>
            <w:webHidden/>
          </w:rPr>
          <w:fldChar w:fldCharType="end"/>
        </w:r>
      </w:hyperlink>
    </w:p>
    <w:p w14:paraId="6E9E2060" w14:textId="79DAE575" w:rsidR="007F1AC5" w:rsidRDefault="00BE462A">
      <w:pPr>
        <w:pStyle w:val="TM3"/>
        <w:rPr>
          <w:rFonts w:eastAsiaTheme="minorEastAsia" w:cstheme="minorBidi"/>
          <w:noProof/>
        </w:rPr>
      </w:pPr>
      <w:hyperlink w:anchor="_Toc74557766" w:history="1">
        <w:r w:rsidR="007F1AC5" w:rsidRPr="001C5F87">
          <w:rPr>
            <w:rStyle w:val="Lienhypertexte"/>
            <w:noProof/>
          </w:rPr>
          <w:t>040/364-02 : Établissement occupant du personnel de bar</w:t>
        </w:r>
        <w:r w:rsidR="007F1AC5">
          <w:rPr>
            <w:noProof/>
            <w:webHidden/>
          </w:rPr>
          <w:tab/>
        </w:r>
        <w:r w:rsidR="007F1AC5">
          <w:rPr>
            <w:noProof/>
            <w:webHidden/>
          </w:rPr>
          <w:fldChar w:fldCharType="begin"/>
        </w:r>
        <w:r w:rsidR="007F1AC5">
          <w:rPr>
            <w:noProof/>
            <w:webHidden/>
          </w:rPr>
          <w:instrText xml:space="preserve"> PAGEREF _Toc74557766 \h </w:instrText>
        </w:r>
        <w:r w:rsidR="007F1AC5">
          <w:rPr>
            <w:noProof/>
            <w:webHidden/>
          </w:rPr>
        </w:r>
        <w:r w:rsidR="007F1AC5">
          <w:rPr>
            <w:noProof/>
            <w:webHidden/>
          </w:rPr>
          <w:fldChar w:fldCharType="separate"/>
        </w:r>
        <w:r w:rsidR="00B44836">
          <w:rPr>
            <w:noProof/>
            <w:webHidden/>
          </w:rPr>
          <w:t>136</w:t>
        </w:r>
        <w:r w:rsidR="007F1AC5">
          <w:rPr>
            <w:noProof/>
            <w:webHidden/>
          </w:rPr>
          <w:fldChar w:fldCharType="end"/>
        </w:r>
      </w:hyperlink>
    </w:p>
    <w:p w14:paraId="434CEF26" w14:textId="20F67F93" w:rsidR="007F1AC5" w:rsidRDefault="00BE462A">
      <w:pPr>
        <w:pStyle w:val="TM3"/>
        <w:rPr>
          <w:rFonts w:eastAsiaTheme="minorEastAsia" w:cstheme="minorBidi"/>
          <w:noProof/>
        </w:rPr>
      </w:pPr>
      <w:hyperlink w:anchor="_Toc74557767" w:history="1">
        <w:r w:rsidR="007F1AC5" w:rsidRPr="001C5F87">
          <w:rPr>
            <w:rStyle w:val="Lienhypertexte"/>
            <w:noProof/>
          </w:rPr>
          <w:t>040/364-03 : Force motrice</w:t>
        </w:r>
        <w:r w:rsidR="007F1AC5">
          <w:rPr>
            <w:noProof/>
            <w:webHidden/>
          </w:rPr>
          <w:tab/>
        </w:r>
        <w:r w:rsidR="007F1AC5">
          <w:rPr>
            <w:noProof/>
            <w:webHidden/>
          </w:rPr>
          <w:fldChar w:fldCharType="begin"/>
        </w:r>
        <w:r w:rsidR="007F1AC5">
          <w:rPr>
            <w:noProof/>
            <w:webHidden/>
          </w:rPr>
          <w:instrText xml:space="preserve"> PAGEREF _Toc74557767 \h </w:instrText>
        </w:r>
        <w:r w:rsidR="007F1AC5">
          <w:rPr>
            <w:noProof/>
            <w:webHidden/>
          </w:rPr>
        </w:r>
        <w:r w:rsidR="007F1AC5">
          <w:rPr>
            <w:noProof/>
            <w:webHidden/>
          </w:rPr>
          <w:fldChar w:fldCharType="separate"/>
        </w:r>
        <w:r w:rsidR="00B44836">
          <w:rPr>
            <w:noProof/>
            <w:webHidden/>
          </w:rPr>
          <w:t>137</w:t>
        </w:r>
        <w:r w:rsidR="007F1AC5">
          <w:rPr>
            <w:noProof/>
            <w:webHidden/>
          </w:rPr>
          <w:fldChar w:fldCharType="end"/>
        </w:r>
      </w:hyperlink>
    </w:p>
    <w:p w14:paraId="797F4A69" w14:textId="3E66DEE2" w:rsidR="007F1AC5" w:rsidRDefault="00BE462A">
      <w:pPr>
        <w:pStyle w:val="TM3"/>
        <w:rPr>
          <w:rFonts w:eastAsiaTheme="minorEastAsia" w:cstheme="minorBidi"/>
          <w:noProof/>
        </w:rPr>
      </w:pPr>
      <w:hyperlink w:anchor="_Toc74557768" w:history="1">
        <w:r w:rsidR="007F1AC5" w:rsidRPr="001C5F87">
          <w:rPr>
            <w:rStyle w:val="Lienhypertexte"/>
            <w:noProof/>
          </w:rPr>
          <w:t>040/364-04 : Tanks et réservoirs</w:t>
        </w:r>
        <w:r w:rsidR="007F1AC5">
          <w:rPr>
            <w:noProof/>
            <w:webHidden/>
          </w:rPr>
          <w:tab/>
        </w:r>
        <w:r w:rsidR="007F1AC5">
          <w:rPr>
            <w:noProof/>
            <w:webHidden/>
          </w:rPr>
          <w:fldChar w:fldCharType="begin"/>
        </w:r>
        <w:r w:rsidR="007F1AC5">
          <w:rPr>
            <w:noProof/>
            <w:webHidden/>
          </w:rPr>
          <w:instrText xml:space="preserve"> PAGEREF _Toc74557768 \h </w:instrText>
        </w:r>
        <w:r w:rsidR="007F1AC5">
          <w:rPr>
            <w:noProof/>
            <w:webHidden/>
          </w:rPr>
        </w:r>
        <w:r w:rsidR="007F1AC5">
          <w:rPr>
            <w:noProof/>
            <w:webHidden/>
          </w:rPr>
          <w:fldChar w:fldCharType="separate"/>
        </w:r>
        <w:r w:rsidR="00B44836">
          <w:rPr>
            <w:noProof/>
            <w:webHidden/>
          </w:rPr>
          <w:t>138</w:t>
        </w:r>
        <w:r w:rsidR="007F1AC5">
          <w:rPr>
            <w:noProof/>
            <w:webHidden/>
          </w:rPr>
          <w:fldChar w:fldCharType="end"/>
        </w:r>
      </w:hyperlink>
    </w:p>
    <w:p w14:paraId="23569489" w14:textId="7BA7A79C" w:rsidR="007F1AC5" w:rsidRDefault="00BE462A">
      <w:pPr>
        <w:pStyle w:val="TM3"/>
        <w:rPr>
          <w:rFonts w:eastAsiaTheme="minorEastAsia" w:cstheme="minorBidi"/>
          <w:noProof/>
        </w:rPr>
      </w:pPr>
      <w:hyperlink w:anchor="_Toc74557769" w:history="1">
        <w:r w:rsidR="007F1AC5" w:rsidRPr="001C5F87">
          <w:rPr>
            <w:rStyle w:val="Lienhypertexte"/>
            <w:noProof/>
          </w:rPr>
          <w:t>040/364-09 : Mines, minières, carrières et terrils</w:t>
        </w:r>
        <w:r w:rsidR="007F1AC5">
          <w:rPr>
            <w:noProof/>
            <w:webHidden/>
          </w:rPr>
          <w:tab/>
        </w:r>
        <w:r w:rsidR="007F1AC5">
          <w:rPr>
            <w:noProof/>
            <w:webHidden/>
          </w:rPr>
          <w:fldChar w:fldCharType="begin"/>
        </w:r>
        <w:r w:rsidR="007F1AC5">
          <w:rPr>
            <w:noProof/>
            <w:webHidden/>
          </w:rPr>
          <w:instrText xml:space="preserve"> PAGEREF _Toc74557769 \h </w:instrText>
        </w:r>
        <w:r w:rsidR="007F1AC5">
          <w:rPr>
            <w:noProof/>
            <w:webHidden/>
          </w:rPr>
        </w:r>
        <w:r w:rsidR="007F1AC5">
          <w:rPr>
            <w:noProof/>
            <w:webHidden/>
          </w:rPr>
          <w:fldChar w:fldCharType="separate"/>
        </w:r>
        <w:r w:rsidR="00B44836">
          <w:rPr>
            <w:noProof/>
            <w:webHidden/>
          </w:rPr>
          <w:t>139</w:t>
        </w:r>
        <w:r w:rsidR="007F1AC5">
          <w:rPr>
            <w:noProof/>
            <w:webHidden/>
          </w:rPr>
          <w:fldChar w:fldCharType="end"/>
        </w:r>
      </w:hyperlink>
    </w:p>
    <w:p w14:paraId="4B8CFEF2" w14:textId="52421154" w:rsidR="007F1AC5" w:rsidRDefault="00BE462A">
      <w:pPr>
        <w:pStyle w:val="TM3"/>
        <w:rPr>
          <w:rFonts w:eastAsiaTheme="minorEastAsia" w:cstheme="minorBidi"/>
          <w:noProof/>
        </w:rPr>
      </w:pPr>
      <w:hyperlink w:anchor="_Toc74557770" w:history="1">
        <w:r w:rsidR="007F1AC5" w:rsidRPr="001C5F87">
          <w:rPr>
            <w:rStyle w:val="Lienhypertexte"/>
            <w:noProof/>
          </w:rPr>
          <w:t>040/364-12 : Débits de boissons</w:t>
        </w:r>
        <w:r w:rsidR="007F1AC5">
          <w:rPr>
            <w:noProof/>
            <w:webHidden/>
          </w:rPr>
          <w:tab/>
        </w:r>
        <w:r w:rsidR="007F1AC5">
          <w:rPr>
            <w:noProof/>
            <w:webHidden/>
          </w:rPr>
          <w:fldChar w:fldCharType="begin"/>
        </w:r>
        <w:r w:rsidR="007F1AC5">
          <w:rPr>
            <w:noProof/>
            <w:webHidden/>
          </w:rPr>
          <w:instrText xml:space="preserve"> PAGEREF _Toc74557770 \h </w:instrText>
        </w:r>
        <w:r w:rsidR="007F1AC5">
          <w:rPr>
            <w:noProof/>
            <w:webHidden/>
          </w:rPr>
        </w:r>
        <w:r w:rsidR="007F1AC5">
          <w:rPr>
            <w:noProof/>
            <w:webHidden/>
          </w:rPr>
          <w:fldChar w:fldCharType="separate"/>
        </w:r>
        <w:r w:rsidR="00B44836">
          <w:rPr>
            <w:noProof/>
            <w:webHidden/>
          </w:rPr>
          <w:t>139</w:t>
        </w:r>
        <w:r w:rsidR="007F1AC5">
          <w:rPr>
            <w:noProof/>
            <w:webHidden/>
          </w:rPr>
          <w:fldChar w:fldCharType="end"/>
        </w:r>
      </w:hyperlink>
    </w:p>
    <w:p w14:paraId="7B1D6613" w14:textId="44EEA308" w:rsidR="007F1AC5" w:rsidRDefault="00BE462A">
      <w:pPr>
        <w:pStyle w:val="TM3"/>
        <w:rPr>
          <w:rFonts w:eastAsiaTheme="minorEastAsia" w:cstheme="minorBidi"/>
          <w:noProof/>
        </w:rPr>
      </w:pPr>
      <w:hyperlink w:anchor="_Toc74557771" w:history="1">
        <w:r w:rsidR="007F1AC5" w:rsidRPr="001C5F87">
          <w:rPr>
            <w:rStyle w:val="Lienhypertexte"/>
            <w:noProof/>
          </w:rPr>
          <w:t>040/364-13 : Débits de tabac</w:t>
        </w:r>
        <w:r w:rsidR="007F1AC5">
          <w:rPr>
            <w:noProof/>
            <w:webHidden/>
          </w:rPr>
          <w:tab/>
        </w:r>
        <w:r w:rsidR="007F1AC5">
          <w:rPr>
            <w:noProof/>
            <w:webHidden/>
          </w:rPr>
          <w:fldChar w:fldCharType="begin"/>
        </w:r>
        <w:r w:rsidR="007F1AC5">
          <w:rPr>
            <w:noProof/>
            <w:webHidden/>
          </w:rPr>
          <w:instrText xml:space="preserve"> PAGEREF _Toc74557771 \h </w:instrText>
        </w:r>
        <w:r w:rsidR="007F1AC5">
          <w:rPr>
            <w:noProof/>
            <w:webHidden/>
          </w:rPr>
        </w:r>
        <w:r w:rsidR="007F1AC5">
          <w:rPr>
            <w:noProof/>
            <w:webHidden/>
          </w:rPr>
          <w:fldChar w:fldCharType="separate"/>
        </w:r>
        <w:r w:rsidR="00B44836">
          <w:rPr>
            <w:noProof/>
            <w:webHidden/>
          </w:rPr>
          <w:t>140</w:t>
        </w:r>
        <w:r w:rsidR="007F1AC5">
          <w:rPr>
            <w:noProof/>
            <w:webHidden/>
          </w:rPr>
          <w:fldChar w:fldCharType="end"/>
        </w:r>
      </w:hyperlink>
    </w:p>
    <w:p w14:paraId="31E1D0C7" w14:textId="72028E10" w:rsidR="007F1AC5" w:rsidRDefault="00BE462A">
      <w:pPr>
        <w:pStyle w:val="TM3"/>
        <w:rPr>
          <w:rFonts w:eastAsiaTheme="minorEastAsia" w:cstheme="minorBidi"/>
          <w:noProof/>
        </w:rPr>
      </w:pPr>
      <w:hyperlink w:anchor="_Toc74557772" w:history="1">
        <w:r w:rsidR="007F1AC5" w:rsidRPr="001C5F87">
          <w:rPr>
            <w:rStyle w:val="Lienhypertexte"/>
            <w:noProof/>
          </w:rPr>
          <w:t>040/364-16 : Agences de paris sur les courses de chevaux</w:t>
        </w:r>
        <w:r w:rsidR="007F1AC5">
          <w:rPr>
            <w:noProof/>
            <w:webHidden/>
          </w:rPr>
          <w:tab/>
        </w:r>
        <w:r w:rsidR="007F1AC5">
          <w:rPr>
            <w:noProof/>
            <w:webHidden/>
          </w:rPr>
          <w:fldChar w:fldCharType="begin"/>
        </w:r>
        <w:r w:rsidR="007F1AC5">
          <w:rPr>
            <w:noProof/>
            <w:webHidden/>
          </w:rPr>
          <w:instrText xml:space="preserve"> PAGEREF _Toc74557772 \h </w:instrText>
        </w:r>
        <w:r w:rsidR="007F1AC5">
          <w:rPr>
            <w:noProof/>
            <w:webHidden/>
          </w:rPr>
        </w:r>
        <w:r w:rsidR="007F1AC5">
          <w:rPr>
            <w:noProof/>
            <w:webHidden/>
          </w:rPr>
          <w:fldChar w:fldCharType="separate"/>
        </w:r>
        <w:r w:rsidR="00B44836">
          <w:rPr>
            <w:noProof/>
            <w:webHidden/>
          </w:rPr>
          <w:t>140</w:t>
        </w:r>
        <w:r w:rsidR="007F1AC5">
          <w:rPr>
            <w:noProof/>
            <w:webHidden/>
          </w:rPr>
          <w:fldChar w:fldCharType="end"/>
        </w:r>
      </w:hyperlink>
    </w:p>
    <w:p w14:paraId="3F132F18" w14:textId="0E28BF3D" w:rsidR="007F1AC5" w:rsidRDefault="00BE462A">
      <w:pPr>
        <w:pStyle w:val="TM3"/>
        <w:rPr>
          <w:rFonts w:eastAsiaTheme="minorEastAsia" w:cstheme="minorBidi"/>
          <w:noProof/>
        </w:rPr>
      </w:pPr>
      <w:hyperlink w:anchor="_Toc74557773" w:history="1">
        <w:r w:rsidR="007F1AC5" w:rsidRPr="001C5F87">
          <w:rPr>
            <w:rStyle w:val="Lienhypertexte"/>
            <w:noProof/>
          </w:rPr>
          <w:t>040/364-18 : Clubs privés</w:t>
        </w:r>
        <w:r w:rsidR="007F1AC5">
          <w:rPr>
            <w:noProof/>
            <w:webHidden/>
          </w:rPr>
          <w:tab/>
        </w:r>
        <w:r w:rsidR="007F1AC5">
          <w:rPr>
            <w:noProof/>
            <w:webHidden/>
          </w:rPr>
          <w:fldChar w:fldCharType="begin"/>
        </w:r>
        <w:r w:rsidR="007F1AC5">
          <w:rPr>
            <w:noProof/>
            <w:webHidden/>
          </w:rPr>
          <w:instrText xml:space="preserve"> PAGEREF _Toc74557773 \h </w:instrText>
        </w:r>
        <w:r w:rsidR="007F1AC5">
          <w:rPr>
            <w:noProof/>
            <w:webHidden/>
          </w:rPr>
        </w:r>
        <w:r w:rsidR="007F1AC5">
          <w:rPr>
            <w:noProof/>
            <w:webHidden/>
          </w:rPr>
          <w:fldChar w:fldCharType="separate"/>
        </w:r>
        <w:r w:rsidR="00B44836">
          <w:rPr>
            <w:noProof/>
            <w:webHidden/>
          </w:rPr>
          <w:t>140</w:t>
        </w:r>
        <w:r w:rsidR="007F1AC5">
          <w:rPr>
            <w:noProof/>
            <w:webHidden/>
          </w:rPr>
          <w:fldChar w:fldCharType="end"/>
        </w:r>
      </w:hyperlink>
    </w:p>
    <w:p w14:paraId="5E028C86" w14:textId="67214CCD" w:rsidR="007F1AC5" w:rsidRDefault="00BE462A">
      <w:pPr>
        <w:pStyle w:val="TM3"/>
        <w:rPr>
          <w:rFonts w:eastAsiaTheme="minorEastAsia" w:cstheme="minorBidi"/>
          <w:noProof/>
        </w:rPr>
      </w:pPr>
      <w:hyperlink w:anchor="_Toc74557774" w:history="1">
        <w:r w:rsidR="007F1AC5" w:rsidRPr="001C5F87">
          <w:rPr>
            <w:rStyle w:val="Lienhypertexte"/>
            <w:noProof/>
          </w:rPr>
          <w:t>040/364-21 : Exploitations de taxis</w:t>
        </w:r>
        <w:r w:rsidR="007F1AC5">
          <w:rPr>
            <w:noProof/>
            <w:webHidden/>
          </w:rPr>
          <w:tab/>
        </w:r>
        <w:r w:rsidR="007F1AC5">
          <w:rPr>
            <w:noProof/>
            <w:webHidden/>
          </w:rPr>
          <w:fldChar w:fldCharType="begin"/>
        </w:r>
        <w:r w:rsidR="007F1AC5">
          <w:rPr>
            <w:noProof/>
            <w:webHidden/>
          </w:rPr>
          <w:instrText xml:space="preserve"> PAGEREF _Toc74557774 \h </w:instrText>
        </w:r>
        <w:r w:rsidR="007F1AC5">
          <w:rPr>
            <w:noProof/>
            <w:webHidden/>
          </w:rPr>
        </w:r>
        <w:r w:rsidR="007F1AC5">
          <w:rPr>
            <w:noProof/>
            <w:webHidden/>
          </w:rPr>
          <w:fldChar w:fldCharType="separate"/>
        </w:r>
        <w:r w:rsidR="00B44836">
          <w:rPr>
            <w:noProof/>
            <w:webHidden/>
          </w:rPr>
          <w:t>141</w:t>
        </w:r>
        <w:r w:rsidR="007F1AC5">
          <w:rPr>
            <w:noProof/>
            <w:webHidden/>
          </w:rPr>
          <w:fldChar w:fldCharType="end"/>
        </w:r>
      </w:hyperlink>
    </w:p>
    <w:p w14:paraId="22D5E499" w14:textId="2EFD9EBE" w:rsidR="007F1AC5" w:rsidRDefault="00BE462A">
      <w:pPr>
        <w:pStyle w:val="TM3"/>
        <w:rPr>
          <w:noProof/>
        </w:rPr>
      </w:pPr>
      <w:hyperlink w:anchor="_Toc74557775" w:history="1">
        <w:r w:rsidR="007F1AC5" w:rsidRPr="001C5F87">
          <w:rPr>
            <w:rStyle w:val="Lienhypertexte"/>
            <w:noProof/>
          </w:rPr>
          <w:t>040/364-22 : Enseignes et publicités assimilées</w:t>
        </w:r>
        <w:r w:rsidR="007F1AC5">
          <w:rPr>
            <w:noProof/>
            <w:webHidden/>
          </w:rPr>
          <w:tab/>
        </w:r>
        <w:r w:rsidR="007F1AC5">
          <w:rPr>
            <w:noProof/>
            <w:webHidden/>
          </w:rPr>
          <w:fldChar w:fldCharType="begin"/>
        </w:r>
        <w:r w:rsidR="007F1AC5">
          <w:rPr>
            <w:noProof/>
            <w:webHidden/>
          </w:rPr>
          <w:instrText xml:space="preserve"> PAGEREF _Toc74557775 \h </w:instrText>
        </w:r>
        <w:r w:rsidR="007F1AC5">
          <w:rPr>
            <w:noProof/>
            <w:webHidden/>
          </w:rPr>
        </w:r>
        <w:r w:rsidR="007F1AC5">
          <w:rPr>
            <w:noProof/>
            <w:webHidden/>
          </w:rPr>
          <w:fldChar w:fldCharType="separate"/>
        </w:r>
        <w:r w:rsidR="00B44836">
          <w:rPr>
            <w:noProof/>
            <w:webHidden/>
          </w:rPr>
          <w:t>142</w:t>
        </w:r>
        <w:r w:rsidR="007F1AC5">
          <w:rPr>
            <w:noProof/>
            <w:webHidden/>
          </w:rPr>
          <w:fldChar w:fldCharType="end"/>
        </w:r>
      </w:hyperlink>
    </w:p>
    <w:p w14:paraId="1A1749D3" w14:textId="77777777" w:rsidR="00A85E13" w:rsidRDefault="00BE462A" w:rsidP="00A85E13">
      <w:pPr>
        <w:pStyle w:val="TM3"/>
        <w:rPr>
          <w:rFonts w:eastAsiaTheme="minorEastAsia" w:cstheme="minorBidi"/>
          <w:noProof/>
        </w:rPr>
      </w:pPr>
      <w:hyperlink w:anchor="_Toc74557777" w:history="1">
        <w:r w:rsidR="00A85E13" w:rsidRPr="001C5F87">
          <w:rPr>
            <w:rStyle w:val="Lienhypertexte"/>
            <w:noProof/>
            <w:lang w:eastAsia="zh-CN"/>
          </w:rPr>
          <w:t>040/364-23 : Panneaux publicitaires</w:t>
        </w:r>
        <w:r w:rsidR="00A85E13">
          <w:rPr>
            <w:noProof/>
            <w:webHidden/>
          </w:rPr>
          <w:tab/>
        </w:r>
        <w:r w:rsidR="00A85E13">
          <w:rPr>
            <w:noProof/>
            <w:webHidden/>
          </w:rPr>
          <w:fldChar w:fldCharType="begin"/>
        </w:r>
        <w:r w:rsidR="00A85E13">
          <w:rPr>
            <w:noProof/>
            <w:webHidden/>
          </w:rPr>
          <w:instrText xml:space="preserve"> PAGEREF _Toc74557777 \h </w:instrText>
        </w:r>
        <w:r w:rsidR="00A85E13">
          <w:rPr>
            <w:noProof/>
            <w:webHidden/>
          </w:rPr>
        </w:r>
        <w:r w:rsidR="00A85E13">
          <w:rPr>
            <w:noProof/>
            <w:webHidden/>
          </w:rPr>
          <w:fldChar w:fldCharType="separate"/>
        </w:r>
        <w:r w:rsidR="00A85E13">
          <w:rPr>
            <w:noProof/>
            <w:webHidden/>
          </w:rPr>
          <w:t>143</w:t>
        </w:r>
        <w:r w:rsidR="00A85E13">
          <w:rPr>
            <w:noProof/>
            <w:webHidden/>
          </w:rPr>
          <w:fldChar w:fldCharType="end"/>
        </w:r>
      </w:hyperlink>
    </w:p>
    <w:p w14:paraId="02AF74FD" w14:textId="0E57DCCF" w:rsidR="007F1AC5" w:rsidRDefault="00BE462A">
      <w:pPr>
        <w:pStyle w:val="TM3"/>
        <w:rPr>
          <w:rFonts w:eastAsiaTheme="minorEastAsia" w:cstheme="minorBidi"/>
          <w:noProof/>
        </w:rPr>
      </w:pPr>
      <w:hyperlink w:anchor="_Toc74557776" w:history="1">
        <w:r w:rsidR="007F1AC5" w:rsidRPr="001C5F87">
          <w:rPr>
            <w:rStyle w:val="Lienhypertexte"/>
            <w:noProof/>
          </w:rPr>
          <w:t>04001/364-22 : Enseignes et publicités assimilées obsolètes</w:t>
        </w:r>
        <w:r w:rsidR="007F1AC5">
          <w:rPr>
            <w:noProof/>
            <w:webHidden/>
          </w:rPr>
          <w:tab/>
        </w:r>
        <w:r w:rsidR="007F1AC5">
          <w:rPr>
            <w:noProof/>
            <w:webHidden/>
          </w:rPr>
          <w:fldChar w:fldCharType="begin"/>
        </w:r>
        <w:r w:rsidR="007F1AC5">
          <w:rPr>
            <w:noProof/>
            <w:webHidden/>
          </w:rPr>
          <w:instrText xml:space="preserve"> PAGEREF _Toc74557776 \h </w:instrText>
        </w:r>
        <w:r w:rsidR="007F1AC5">
          <w:rPr>
            <w:noProof/>
            <w:webHidden/>
          </w:rPr>
        </w:r>
        <w:r w:rsidR="007F1AC5">
          <w:rPr>
            <w:noProof/>
            <w:webHidden/>
          </w:rPr>
          <w:fldChar w:fldCharType="separate"/>
        </w:r>
        <w:r w:rsidR="00B44836">
          <w:rPr>
            <w:noProof/>
            <w:webHidden/>
          </w:rPr>
          <w:t>142</w:t>
        </w:r>
        <w:r w:rsidR="007F1AC5">
          <w:rPr>
            <w:noProof/>
            <w:webHidden/>
          </w:rPr>
          <w:fldChar w:fldCharType="end"/>
        </w:r>
      </w:hyperlink>
    </w:p>
    <w:p w14:paraId="2DEE1EC4" w14:textId="21A196E8" w:rsidR="007F1AC5" w:rsidRDefault="00BE462A">
      <w:pPr>
        <w:pStyle w:val="TM3"/>
        <w:rPr>
          <w:rFonts w:eastAsiaTheme="minorEastAsia" w:cstheme="minorBidi"/>
          <w:noProof/>
        </w:rPr>
      </w:pPr>
      <w:hyperlink w:anchor="_Toc74557778" w:history="1">
        <w:r w:rsidR="007F1AC5" w:rsidRPr="001C5F87">
          <w:rPr>
            <w:rStyle w:val="Lienhypertexte"/>
            <w:noProof/>
          </w:rPr>
          <w:t>04001/364-24 : Distribution gratuite d'écrits publicitaires ou d’échantillons publicitaires non adressés et de supports de presse régionale gratuite</w:t>
        </w:r>
        <w:r w:rsidR="007F1AC5">
          <w:rPr>
            <w:noProof/>
            <w:webHidden/>
          </w:rPr>
          <w:tab/>
        </w:r>
        <w:r w:rsidR="007F1AC5">
          <w:rPr>
            <w:noProof/>
            <w:webHidden/>
          </w:rPr>
          <w:fldChar w:fldCharType="begin"/>
        </w:r>
        <w:r w:rsidR="007F1AC5">
          <w:rPr>
            <w:noProof/>
            <w:webHidden/>
          </w:rPr>
          <w:instrText xml:space="preserve"> PAGEREF _Toc74557778 \h </w:instrText>
        </w:r>
        <w:r w:rsidR="007F1AC5">
          <w:rPr>
            <w:noProof/>
            <w:webHidden/>
          </w:rPr>
        </w:r>
        <w:r w:rsidR="007F1AC5">
          <w:rPr>
            <w:noProof/>
            <w:webHidden/>
          </w:rPr>
          <w:fldChar w:fldCharType="separate"/>
        </w:r>
        <w:r w:rsidR="00B44836">
          <w:rPr>
            <w:noProof/>
            <w:webHidden/>
          </w:rPr>
          <w:t>143</w:t>
        </w:r>
        <w:r w:rsidR="007F1AC5">
          <w:rPr>
            <w:noProof/>
            <w:webHidden/>
          </w:rPr>
          <w:fldChar w:fldCharType="end"/>
        </w:r>
      </w:hyperlink>
    </w:p>
    <w:p w14:paraId="231F03B2" w14:textId="28D3956E" w:rsidR="007F1AC5" w:rsidRDefault="00BE462A">
      <w:pPr>
        <w:pStyle w:val="TM4"/>
        <w:rPr>
          <w:rFonts w:eastAsiaTheme="minorEastAsia" w:cstheme="minorBidi"/>
          <w:noProof/>
          <w:sz w:val="22"/>
          <w:szCs w:val="22"/>
        </w:rPr>
      </w:pPr>
      <w:hyperlink w:anchor="_Toc74557779" w:history="1">
        <w:r w:rsidR="007F1AC5" w:rsidRPr="001C5F87">
          <w:rPr>
            <w:rStyle w:val="Lienhypertexte"/>
            <w:noProof/>
          </w:rPr>
          <w:t>1.</w:t>
        </w:r>
        <w:r w:rsidR="007F1AC5">
          <w:rPr>
            <w:rFonts w:eastAsiaTheme="minorEastAsia" w:cstheme="minorBidi"/>
            <w:noProof/>
            <w:sz w:val="22"/>
            <w:szCs w:val="22"/>
          </w:rPr>
          <w:tab/>
        </w:r>
        <w:r w:rsidR="007F1AC5" w:rsidRPr="001C5F87">
          <w:rPr>
            <w:rStyle w:val="Lienhypertexte"/>
            <w:noProof/>
          </w:rPr>
          <w:t>Les écrits (ou les échantillons) publicitaires non adressés</w:t>
        </w:r>
        <w:r w:rsidR="007F1AC5">
          <w:rPr>
            <w:noProof/>
            <w:webHidden/>
          </w:rPr>
          <w:tab/>
        </w:r>
        <w:r w:rsidR="007F1AC5">
          <w:rPr>
            <w:noProof/>
            <w:webHidden/>
          </w:rPr>
          <w:fldChar w:fldCharType="begin"/>
        </w:r>
        <w:r w:rsidR="007F1AC5">
          <w:rPr>
            <w:noProof/>
            <w:webHidden/>
          </w:rPr>
          <w:instrText xml:space="preserve"> PAGEREF _Toc74557779 \h </w:instrText>
        </w:r>
        <w:r w:rsidR="007F1AC5">
          <w:rPr>
            <w:noProof/>
            <w:webHidden/>
          </w:rPr>
        </w:r>
        <w:r w:rsidR="007F1AC5">
          <w:rPr>
            <w:noProof/>
            <w:webHidden/>
          </w:rPr>
          <w:fldChar w:fldCharType="separate"/>
        </w:r>
        <w:r w:rsidR="00B44836">
          <w:rPr>
            <w:noProof/>
            <w:webHidden/>
          </w:rPr>
          <w:t>144</w:t>
        </w:r>
        <w:r w:rsidR="007F1AC5">
          <w:rPr>
            <w:noProof/>
            <w:webHidden/>
          </w:rPr>
          <w:fldChar w:fldCharType="end"/>
        </w:r>
      </w:hyperlink>
    </w:p>
    <w:p w14:paraId="77DD89DE" w14:textId="39D53336" w:rsidR="007F1AC5" w:rsidRDefault="00BE462A">
      <w:pPr>
        <w:pStyle w:val="TM4"/>
        <w:rPr>
          <w:rFonts w:eastAsiaTheme="minorEastAsia" w:cstheme="minorBidi"/>
          <w:noProof/>
          <w:sz w:val="22"/>
          <w:szCs w:val="22"/>
        </w:rPr>
      </w:pPr>
      <w:hyperlink w:anchor="_Toc74557780" w:history="1">
        <w:r w:rsidR="007F1AC5" w:rsidRPr="001C5F87">
          <w:rPr>
            <w:rStyle w:val="Lienhypertexte"/>
            <w:noProof/>
          </w:rPr>
          <w:t>2.</w:t>
        </w:r>
        <w:r w:rsidR="007F1AC5">
          <w:rPr>
            <w:rFonts w:eastAsiaTheme="minorEastAsia" w:cstheme="minorBidi"/>
            <w:noProof/>
            <w:sz w:val="22"/>
            <w:szCs w:val="22"/>
          </w:rPr>
          <w:tab/>
        </w:r>
        <w:r w:rsidR="007F1AC5" w:rsidRPr="001C5F87">
          <w:rPr>
            <w:rStyle w:val="Lienhypertexte"/>
            <w:noProof/>
          </w:rPr>
          <w:t>Les supports de la presse régionale gratuite</w:t>
        </w:r>
        <w:r w:rsidR="007F1AC5">
          <w:rPr>
            <w:noProof/>
            <w:webHidden/>
          </w:rPr>
          <w:tab/>
        </w:r>
        <w:r w:rsidR="007F1AC5">
          <w:rPr>
            <w:noProof/>
            <w:webHidden/>
          </w:rPr>
          <w:fldChar w:fldCharType="begin"/>
        </w:r>
        <w:r w:rsidR="007F1AC5">
          <w:rPr>
            <w:noProof/>
            <w:webHidden/>
          </w:rPr>
          <w:instrText xml:space="preserve"> PAGEREF _Toc74557780 \h </w:instrText>
        </w:r>
        <w:r w:rsidR="007F1AC5">
          <w:rPr>
            <w:noProof/>
            <w:webHidden/>
          </w:rPr>
        </w:r>
        <w:r w:rsidR="007F1AC5">
          <w:rPr>
            <w:noProof/>
            <w:webHidden/>
          </w:rPr>
          <w:fldChar w:fldCharType="separate"/>
        </w:r>
        <w:r w:rsidR="00B44836">
          <w:rPr>
            <w:noProof/>
            <w:webHidden/>
          </w:rPr>
          <w:t>144</w:t>
        </w:r>
        <w:r w:rsidR="007F1AC5">
          <w:rPr>
            <w:noProof/>
            <w:webHidden/>
          </w:rPr>
          <w:fldChar w:fldCharType="end"/>
        </w:r>
      </w:hyperlink>
    </w:p>
    <w:p w14:paraId="08FF116C" w14:textId="682A6215" w:rsidR="007F1AC5" w:rsidRDefault="00BE462A">
      <w:pPr>
        <w:pStyle w:val="TM3"/>
        <w:rPr>
          <w:rFonts w:eastAsiaTheme="minorEastAsia" w:cstheme="minorBidi"/>
          <w:noProof/>
        </w:rPr>
      </w:pPr>
      <w:hyperlink w:anchor="_Toc74557781" w:history="1">
        <w:r w:rsidR="007F1AC5" w:rsidRPr="001C5F87">
          <w:rPr>
            <w:rStyle w:val="Lienhypertexte"/>
            <w:noProof/>
          </w:rPr>
          <w:t>04002/364-24 : Diffusion publicitaire sur la voie publique</w:t>
        </w:r>
        <w:r w:rsidR="007F1AC5">
          <w:rPr>
            <w:noProof/>
            <w:webHidden/>
          </w:rPr>
          <w:tab/>
        </w:r>
        <w:r w:rsidR="007F1AC5">
          <w:rPr>
            <w:noProof/>
            <w:webHidden/>
          </w:rPr>
          <w:fldChar w:fldCharType="begin"/>
        </w:r>
        <w:r w:rsidR="007F1AC5">
          <w:rPr>
            <w:noProof/>
            <w:webHidden/>
          </w:rPr>
          <w:instrText xml:space="preserve"> PAGEREF _Toc74557781 \h </w:instrText>
        </w:r>
        <w:r w:rsidR="007F1AC5">
          <w:rPr>
            <w:noProof/>
            <w:webHidden/>
          </w:rPr>
        </w:r>
        <w:r w:rsidR="007F1AC5">
          <w:rPr>
            <w:noProof/>
            <w:webHidden/>
          </w:rPr>
          <w:fldChar w:fldCharType="separate"/>
        </w:r>
        <w:r w:rsidR="00B44836">
          <w:rPr>
            <w:noProof/>
            <w:webHidden/>
          </w:rPr>
          <w:t>147</w:t>
        </w:r>
        <w:r w:rsidR="007F1AC5">
          <w:rPr>
            <w:noProof/>
            <w:webHidden/>
          </w:rPr>
          <w:fldChar w:fldCharType="end"/>
        </w:r>
      </w:hyperlink>
    </w:p>
    <w:p w14:paraId="3C4C14CE" w14:textId="029174F3" w:rsidR="007F1AC5" w:rsidRDefault="00BE462A">
      <w:pPr>
        <w:pStyle w:val="TM3"/>
        <w:rPr>
          <w:rFonts w:eastAsiaTheme="minorEastAsia" w:cstheme="minorBidi"/>
          <w:noProof/>
        </w:rPr>
      </w:pPr>
      <w:hyperlink w:anchor="_Toc74557782" w:history="1">
        <w:r w:rsidR="007F1AC5" w:rsidRPr="001C5F87">
          <w:rPr>
            <w:rStyle w:val="Lienhypertexte"/>
            <w:noProof/>
          </w:rPr>
          <w:t>040/364-26 : Séjour</w:t>
        </w:r>
        <w:r w:rsidR="007F1AC5">
          <w:rPr>
            <w:noProof/>
            <w:webHidden/>
          </w:rPr>
          <w:tab/>
        </w:r>
        <w:r w:rsidR="007F1AC5">
          <w:rPr>
            <w:noProof/>
            <w:webHidden/>
          </w:rPr>
          <w:fldChar w:fldCharType="begin"/>
        </w:r>
        <w:r w:rsidR="007F1AC5">
          <w:rPr>
            <w:noProof/>
            <w:webHidden/>
          </w:rPr>
          <w:instrText xml:space="preserve"> PAGEREF _Toc74557782 \h </w:instrText>
        </w:r>
        <w:r w:rsidR="007F1AC5">
          <w:rPr>
            <w:noProof/>
            <w:webHidden/>
          </w:rPr>
        </w:r>
        <w:r w:rsidR="007F1AC5">
          <w:rPr>
            <w:noProof/>
            <w:webHidden/>
          </w:rPr>
          <w:fldChar w:fldCharType="separate"/>
        </w:r>
        <w:r w:rsidR="00B44836">
          <w:rPr>
            <w:noProof/>
            <w:webHidden/>
          </w:rPr>
          <w:t>147</w:t>
        </w:r>
        <w:r w:rsidR="007F1AC5">
          <w:rPr>
            <w:noProof/>
            <w:webHidden/>
          </w:rPr>
          <w:fldChar w:fldCharType="end"/>
        </w:r>
      </w:hyperlink>
    </w:p>
    <w:p w14:paraId="4DC701FF" w14:textId="38B73FD5" w:rsidR="007F1AC5" w:rsidRDefault="00BE462A">
      <w:pPr>
        <w:pStyle w:val="TM3"/>
        <w:rPr>
          <w:rFonts w:eastAsiaTheme="minorEastAsia" w:cstheme="minorBidi"/>
          <w:noProof/>
        </w:rPr>
      </w:pPr>
      <w:hyperlink w:anchor="_Toc74557783" w:history="1">
        <w:r w:rsidR="007F1AC5" w:rsidRPr="001C5F87">
          <w:rPr>
            <w:rStyle w:val="Lienhypertexte"/>
            <w:noProof/>
          </w:rPr>
          <w:t>040/364-27 : Terrains de camping</w:t>
        </w:r>
        <w:r w:rsidR="007F1AC5">
          <w:rPr>
            <w:noProof/>
            <w:webHidden/>
          </w:rPr>
          <w:tab/>
        </w:r>
        <w:r w:rsidR="007F1AC5">
          <w:rPr>
            <w:noProof/>
            <w:webHidden/>
          </w:rPr>
          <w:fldChar w:fldCharType="begin"/>
        </w:r>
        <w:r w:rsidR="007F1AC5">
          <w:rPr>
            <w:noProof/>
            <w:webHidden/>
          </w:rPr>
          <w:instrText xml:space="preserve"> PAGEREF _Toc74557783 \h </w:instrText>
        </w:r>
        <w:r w:rsidR="007F1AC5">
          <w:rPr>
            <w:noProof/>
            <w:webHidden/>
          </w:rPr>
        </w:r>
        <w:r w:rsidR="007F1AC5">
          <w:rPr>
            <w:noProof/>
            <w:webHidden/>
          </w:rPr>
          <w:fldChar w:fldCharType="separate"/>
        </w:r>
        <w:r w:rsidR="00B44836">
          <w:rPr>
            <w:noProof/>
            <w:webHidden/>
          </w:rPr>
          <w:t>148</w:t>
        </w:r>
        <w:r w:rsidR="007F1AC5">
          <w:rPr>
            <w:noProof/>
            <w:webHidden/>
          </w:rPr>
          <w:fldChar w:fldCharType="end"/>
        </w:r>
      </w:hyperlink>
    </w:p>
    <w:p w14:paraId="66A46156" w14:textId="70B28CC2" w:rsidR="007F1AC5" w:rsidRDefault="00BE462A">
      <w:pPr>
        <w:pStyle w:val="TM3"/>
        <w:rPr>
          <w:rFonts w:eastAsiaTheme="minorEastAsia" w:cstheme="minorBidi"/>
          <w:noProof/>
        </w:rPr>
      </w:pPr>
      <w:hyperlink w:anchor="_Toc74557784" w:history="1">
        <w:r w:rsidR="007F1AC5" w:rsidRPr="001C5F87">
          <w:rPr>
            <w:rStyle w:val="Lienhypertexte"/>
            <w:noProof/>
          </w:rPr>
          <w:t>040/364-29 : Dépôts de mitrailles et de véhicules usagés et véhicules isolés abandonnés</w:t>
        </w:r>
        <w:r w:rsidR="007F1AC5">
          <w:rPr>
            <w:noProof/>
            <w:webHidden/>
          </w:rPr>
          <w:tab/>
        </w:r>
        <w:r w:rsidR="007F1AC5">
          <w:rPr>
            <w:noProof/>
            <w:webHidden/>
          </w:rPr>
          <w:fldChar w:fldCharType="begin"/>
        </w:r>
        <w:r w:rsidR="007F1AC5">
          <w:rPr>
            <w:noProof/>
            <w:webHidden/>
          </w:rPr>
          <w:instrText xml:space="preserve"> PAGEREF _Toc74557784 \h </w:instrText>
        </w:r>
        <w:r w:rsidR="007F1AC5">
          <w:rPr>
            <w:noProof/>
            <w:webHidden/>
          </w:rPr>
        </w:r>
        <w:r w:rsidR="007F1AC5">
          <w:rPr>
            <w:noProof/>
            <w:webHidden/>
          </w:rPr>
          <w:fldChar w:fldCharType="separate"/>
        </w:r>
        <w:r w:rsidR="00B44836">
          <w:rPr>
            <w:noProof/>
            <w:webHidden/>
          </w:rPr>
          <w:t>148</w:t>
        </w:r>
        <w:r w:rsidR="007F1AC5">
          <w:rPr>
            <w:noProof/>
            <w:webHidden/>
          </w:rPr>
          <w:fldChar w:fldCharType="end"/>
        </w:r>
      </w:hyperlink>
    </w:p>
    <w:p w14:paraId="4B3707F1" w14:textId="75408DA7" w:rsidR="007F1AC5" w:rsidRDefault="00BE462A">
      <w:pPr>
        <w:pStyle w:val="TM3"/>
        <w:rPr>
          <w:rFonts w:eastAsiaTheme="minorEastAsia" w:cstheme="minorBidi"/>
          <w:noProof/>
        </w:rPr>
      </w:pPr>
      <w:hyperlink w:anchor="_Toc74557785" w:history="1">
        <w:r w:rsidR="007F1AC5" w:rsidRPr="001C5F87">
          <w:rPr>
            <w:rStyle w:val="Lienhypertexte"/>
            <w:noProof/>
          </w:rPr>
          <w:t>040/364-30 : Établissements dangereux, insalubres et incommodes ainsi que ceux visés par le permis d’environnement</w:t>
        </w:r>
        <w:r w:rsidR="007F1AC5">
          <w:rPr>
            <w:noProof/>
            <w:webHidden/>
          </w:rPr>
          <w:tab/>
        </w:r>
        <w:r w:rsidR="007F1AC5">
          <w:rPr>
            <w:noProof/>
            <w:webHidden/>
          </w:rPr>
          <w:fldChar w:fldCharType="begin"/>
        </w:r>
        <w:r w:rsidR="007F1AC5">
          <w:rPr>
            <w:noProof/>
            <w:webHidden/>
          </w:rPr>
          <w:instrText xml:space="preserve"> PAGEREF _Toc74557785 \h </w:instrText>
        </w:r>
        <w:r w:rsidR="007F1AC5">
          <w:rPr>
            <w:noProof/>
            <w:webHidden/>
          </w:rPr>
        </w:r>
        <w:r w:rsidR="007F1AC5">
          <w:rPr>
            <w:noProof/>
            <w:webHidden/>
          </w:rPr>
          <w:fldChar w:fldCharType="separate"/>
        </w:r>
        <w:r w:rsidR="00B44836">
          <w:rPr>
            <w:noProof/>
            <w:webHidden/>
          </w:rPr>
          <w:t>149</w:t>
        </w:r>
        <w:r w:rsidR="007F1AC5">
          <w:rPr>
            <w:noProof/>
            <w:webHidden/>
          </w:rPr>
          <w:fldChar w:fldCharType="end"/>
        </w:r>
      </w:hyperlink>
    </w:p>
    <w:p w14:paraId="19389161" w14:textId="03856F8F" w:rsidR="007F1AC5" w:rsidRDefault="00BE462A">
      <w:pPr>
        <w:pStyle w:val="TM3"/>
        <w:rPr>
          <w:rFonts w:eastAsiaTheme="minorEastAsia" w:cstheme="minorBidi"/>
          <w:noProof/>
        </w:rPr>
      </w:pPr>
      <w:hyperlink w:anchor="_Toc74557786" w:history="1">
        <w:r w:rsidR="007F1AC5" w:rsidRPr="001C5F87">
          <w:rPr>
            <w:rStyle w:val="Lienhypertexte"/>
            <w:noProof/>
          </w:rPr>
          <w:t>040/364-32 : Agences bancaires</w:t>
        </w:r>
        <w:r w:rsidR="007F1AC5">
          <w:rPr>
            <w:noProof/>
            <w:webHidden/>
          </w:rPr>
          <w:tab/>
        </w:r>
        <w:r w:rsidR="007F1AC5">
          <w:rPr>
            <w:noProof/>
            <w:webHidden/>
          </w:rPr>
          <w:fldChar w:fldCharType="begin"/>
        </w:r>
        <w:r w:rsidR="007F1AC5">
          <w:rPr>
            <w:noProof/>
            <w:webHidden/>
          </w:rPr>
          <w:instrText xml:space="preserve"> PAGEREF _Toc74557786 \h </w:instrText>
        </w:r>
        <w:r w:rsidR="007F1AC5">
          <w:rPr>
            <w:noProof/>
            <w:webHidden/>
          </w:rPr>
        </w:r>
        <w:r w:rsidR="007F1AC5">
          <w:rPr>
            <w:noProof/>
            <w:webHidden/>
          </w:rPr>
          <w:fldChar w:fldCharType="separate"/>
        </w:r>
        <w:r w:rsidR="00B44836">
          <w:rPr>
            <w:noProof/>
            <w:webHidden/>
          </w:rPr>
          <w:t>150</w:t>
        </w:r>
        <w:r w:rsidR="007F1AC5">
          <w:rPr>
            <w:noProof/>
            <w:webHidden/>
          </w:rPr>
          <w:fldChar w:fldCharType="end"/>
        </w:r>
      </w:hyperlink>
    </w:p>
    <w:p w14:paraId="2A2DEE23" w14:textId="1F11EBEB" w:rsidR="007F1AC5" w:rsidRDefault="00BE462A">
      <w:pPr>
        <w:pStyle w:val="TM3"/>
        <w:rPr>
          <w:rFonts w:eastAsiaTheme="minorEastAsia" w:cstheme="minorBidi"/>
          <w:noProof/>
        </w:rPr>
      </w:pPr>
      <w:hyperlink w:anchor="_Toc74557787" w:history="1">
        <w:r w:rsidR="007F1AC5" w:rsidRPr="001C5F87">
          <w:rPr>
            <w:rStyle w:val="Lienhypertexte"/>
            <w:noProof/>
          </w:rPr>
          <w:t>040/364-33 : Centres d'enfouissement technique</w:t>
        </w:r>
        <w:r w:rsidR="007F1AC5">
          <w:rPr>
            <w:noProof/>
            <w:webHidden/>
          </w:rPr>
          <w:tab/>
        </w:r>
        <w:r w:rsidR="007F1AC5">
          <w:rPr>
            <w:noProof/>
            <w:webHidden/>
          </w:rPr>
          <w:fldChar w:fldCharType="begin"/>
        </w:r>
        <w:r w:rsidR="007F1AC5">
          <w:rPr>
            <w:noProof/>
            <w:webHidden/>
          </w:rPr>
          <w:instrText xml:space="preserve"> PAGEREF _Toc74557787 \h </w:instrText>
        </w:r>
        <w:r w:rsidR="007F1AC5">
          <w:rPr>
            <w:noProof/>
            <w:webHidden/>
          </w:rPr>
        </w:r>
        <w:r w:rsidR="007F1AC5">
          <w:rPr>
            <w:noProof/>
            <w:webHidden/>
          </w:rPr>
          <w:fldChar w:fldCharType="separate"/>
        </w:r>
        <w:r w:rsidR="00B44836">
          <w:rPr>
            <w:noProof/>
            <w:webHidden/>
          </w:rPr>
          <w:t>150</w:t>
        </w:r>
        <w:r w:rsidR="007F1AC5">
          <w:rPr>
            <w:noProof/>
            <w:webHidden/>
          </w:rPr>
          <w:fldChar w:fldCharType="end"/>
        </w:r>
      </w:hyperlink>
    </w:p>
    <w:p w14:paraId="3F157B86" w14:textId="0FE718B8" w:rsidR="007F1AC5" w:rsidRDefault="00BE462A">
      <w:pPr>
        <w:pStyle w:val="TM3"/>
        <w:rPr>
          <w:rFonts w:eastAsiaTheme="minorEastAsia" w:cstheme="minorBidi"/>
          <w:noProof/>
        </w:rPr>
      </w:pPr>
      <w:hyperlink w:anchor="_Toc74557788" w:history="1">
        <w:r w:rsidR="007F1AC5" w:rsidRPr="001C5F87">
          <w:rPr>
            <w:rStyle w:val="Lienhypertexte"/>
            <w:noProof/>
          </w:rPr>
          <w:t>040/364-34 : Logements loués meublés</w:t>
        </w:r>
        <w:r w:rsidR="007F1AC5">
          <w:rPr>
            <w:noProof/>
            <w:webHidden/>
          </w:rPr>
          <w:tab/>
        </w:r>
        <w:r w:rsidR="007F1AC5">
          <w:rPr>
            <w:noProof/>
            <w:webHidden/>
          </w:rPr>
          <w:fldChar w:fldCharType="begin"/>
        </w:r>
        <w:r w:rsidR="007F1AC5">
          <w:rPr>
            <w:noProof/>
            <w:webHidden/>
          </w:rPr>
          <w:instrText xml:space="preserve"> PAGEREF _Toc74557788 \h </w:instrText>
        </w:r>
        <w:r w:rsidR="007F1AC5">
          <w:rPr>
            <w:noProof/>
            <w:webHidden/>
          </w:rPr>
        </w:r>
        <w:r w:rsidR="007F1AC5">
          <w:rPr>
            <w:noProof/>
            <w:webHidden/>
          </w:rPr>
          <w:fldChar w:fldCharType="separate"/>
        </w:r>
        <w:r w:rsidR="00B44836">
          <w:rPr>
            <w:noProof/>
            <w:webHidden/>
          </w:rPr>
          <w:t>150</w:t>
        </w:r>
        <w:r w:rsidR="007F1AC5">
          <w:rPr>
            <w:noProof/>
            <w:webHidden/>
          </w:rPr>
          <w:fldChar w:fldCharType="end"/>
        </w:r>
      </w:hyperlink>
    </w:p>
    <w:p w14:paraId="3630901C" w14:textId="74CF7B61" w:rsidR="007F1AC5" w:rsidRDefault="00BE462A">
      <w:pPr>
        <w:pStyle w:val="TM3"/>
        <w:rPr>
          <w:rFonts w:eastAsiaTheme="minorEastAsia" w:cstheme="minorBidi"/>
          <w:noProof/>
        </w:rPr>
      </w:pPr>
      <w:hyperlink w:anchor="_Toc74557789" w:history="1">
        <w:r w:rsidR="007F1AC5" w:rsidRPr="001C5F87">
          <w:rPr>
            <w:rStyle w:val="Lienhypertexte"/>
            <w:noProof/>
          </w:rPr>
          <w:t>04001/364-48 : Taxe industrielle compensatoire</w:t>
        </w:r>
        <w:r w:rsidR="007F1AC5">
          <w:rPr>
            <w:noProof/>
            <w:webHidden/>
          </w:rPr>
          <w:tab/>
        </w:r>
        <w:r w:rsidR="007F1AC5">
          <w:rPr>
            <w:noProof/>
            <w:webHidden/>
          </w:rPr>
          <w:fldChar w:fldCharType="begin"/>
        </w:r>
        <w:r w:rsidR="007F1AC5">
          <w:rPr>
            <w:noProof/>
            <w:webHidden/>
          </w:rPr>
          <w:instrText xml:space="preserve"> PAGEREF _Toc74557789 \h </w:instrText>
        </w:r>
        <w:r w:rsidR="007F1AC5">
          <w:rPr>
            <w:noProof/>
            <w:webHidden/>
          </w:rPr>
        </w:r>
        <w:r w:rsidR="007F1AC5">
          <w:rPr>
            <w:noProof/>
            <w:webHidden/>
          </w:rPr>
          <w:fldChar w:fldCharType="separate"/>
        </w:r>
        <w:r w:rsidR="00B44836">
          <w:rPr>
            <w:noProof/>
            <w:webHidden/>
          </w:rPr>
          <w:t>151</w:t>
        </w:r>
        <w:r w:rsidR="007F1AC5">
          <w:rPr>
            <w:noProof/>
            <w:webHidden/>
          </w:rPr>
          <w:fldChar w:fldCharType="end"/>
        </w:r>
      </w:hyperlink>
    </w:p>
    <w:p w14:paraId="00154024" w14:textId="33D1FCBC" w:rsidR="007F1AC5" w:rsidRDefault="00BE462A">
      <w:pPr>
        <w:pStyle w:val="TM3"/>
        <w:rPr>
          <w:rFonts w:eastAsiaTheme="minorEastAsia" w:cstheme="minorBidi"/>
          <w:noProof/>
        </w:rPr>
      </w:pPr>
      <w:hyperlink w:anchor="_Toc74557790" w:history="1">
        <w:r w:rsidR="007F1AC5" w:rsidRPr="001C5F87">
          <w:rPr>
            <w:rStyle w:val="Lienhypertexte"/>
            <w:noProof/>
          </w:rPr>
          <w:t>04002/364-48 : Commerce de frites (hot-dogs, beignets, etc.) à emporter</w:t>
        </w:r>
        <w:r w:rsidR="007F1AC5">
          <w:rPr>
            <w:noProof/>
            <w:webHidden/>
          </w:rPr>
          <w:tab/>
        </w:r>
        <w:r w:rsidR="007F1AC5">
          <w:rPr>
            <w:noProof/>
            <w:webHidden/>
          </w:rPr>
          <w:fldChar w:fldCharType="begin"/>
        </w:r>
        <w:r w:rsidR="007F1AC5">
          <w:rPr>
            <w:noProof/>
            <w:webHidden/>
          </w:rPr>
          <w:instrText xml:space="preserve"> PAGEREF _Toc74557790 \h </w:instrText>
        </w:r>
        <w:r w:rsidR="007F1AC5">
          <w:rPr>
            <w:noProof/>
            <w:webHidden/>
          </w:rPr>
        </w:r>
        <w:r w:rsidR="007F1AC5">
          <w:rPr>
            <w:noProof/>
            <w:webHidden/>
          </w:rPr>
          <w:fldChar w:fldCharType="separate"/>
        </w:r>
        <w:r w:rsidR="00B44836">
          <w:rPr>
            <w:noProof/>
            <w:webHidden/>
          </w:rPr>
          <w:t>151</w:t>
        </w:r>
        <w:r w:rsidR="007F1AC5">
          <w:rPr>
            <w:noProof/>
            <w:webHidden/>
          </w:rPr>
          <w:fldChar w:fldCharType="end"/>
        </w:r>
      </w:hyperlink>
    </w:p>
    <w:p w14:paraId="4A4A60DF" w14:textId="46DCE785" w:rsidR="007F1AC5" w:rsidRDefault="00BE462A">
      <w:pPr>
        <w:pStyle w:val="TM3"/>
        <w:rPr>
          <w:rFonts w:eastAsiaTheme="minorEastAsia" w:cstheme="minorBidi"/>
          <w:noProof/>
        </w:rPr>
      </w:pPr>
      <w:hyperlink w:anchor="_Toc74557791" w:history="1">
        <w:r w:rsidR="007F1AC5" w:rsidRPr="001C5F87">
          <w:rPr>
            <w:rStyle w:val="Lienhypertexte"/>
            <w:noProof/>
          </w:rPr>
          <w:t>04003/364-48 : Loges foraines et loges mobiles</w:t>
        </w:r>
        <w:r w:rsidR="007F1AC5">
          <w:rPr>
            <w:noProof/>
            <w:webHidden/>
          </w:rPr>
          <w:tab/>
        </w:r>
        <w:r w:rsidR="007F1AC5">
          <w:rPr>
            <w:noProof/>
            <w:webHidden/>
          </w:rPr>
          <w:fldChar w:fldCharType="begin"/>
        </w:r>
        <w:r w:rsidR="007F1AC5">
          <w:rPr>
            <w:noProof/>
            <w:webHidden/>
          </w:rPr>
          <w:instrText xml:space="preserve"> PAGEREF _Toc74557791 \h </w:instrText>
        </w:r>
        <w:r w:rsidR="007F1AC5">
          <w:rPr>
            <w:noProof/>
            <w:webHidden/>
          </w:rPr>
        </w:r>
        <w:r w:rsidR="007F1AC5">
          <w:rPr>
            <w:noProof/>
            <w:webHidden/>
          </w:rPr>
          <w:fldChar w:fldCharType="separate"/>
        </w:r>
        <w:r w:rsidR="00B44836">
          <w:rPr>
            <w:noProof/>
            <w:webHidden/>
          </w:rPr>
          <w:t>151</w:t>
        </w:r>
        <w:r w:rsidR="007F1AC5">
          <w:rPr>
            <w:noProof/>
            <w:webHidden/>
          </w:rPr>
          <w:fldChar w:fldCharType="end"/>
        </w:r>
      </w:hyperlink>
    </w:p>
    <w:p w14:paraId="227322E8" w14:textId="69681784" w:rsidR="007F1AC5" w:rsidRDefault="00BE462A">
      <w:pPr>
        <w:pStyle w:val="TM3"/>
        <w:rPr>
          <w:rFonts w:eastAsiaTheme="minorEastAsia" w:cstheme="minorBidi"/>
          <w:noProof/>
        </w:rPr>
      </w:pPr>
      <w:hyperlink w:anchor="_Toc74557792" w:history="1">
        <w:r w:rsidR="007F1AC5" w:rsidRPr="001C5F87">
          <w:rPr>
            <w:rStyle w:val="Lienhypertexte"/>
            <w:noProof/>
          </w:rPr>
          <w:t>04004/364-48 : Commerces de nuit</w:t>
        </w:r>
        <w:r w:rsidR="007F1AC5">
          <w:rPr>
            <w:noProof/>
            <w:webHidden/>
          </w:rPr>
          <w:tab/>
        </w:r>
        <w:r w:rsidR="007F1AC5">
          <w:rPr>
            <w:noProof/>
            <w:webHidden/>
          </w:rPr>
          <w:fldChar w:fldCharType="begin"/>
        </w:r>
        <w:r w:rsidR="007F1AC5">
          <w:rPr>
            <w:noProof/>
            <w:webHidden/>
          </w:rPr>
          <w:instrText xml:space="preserve"> PAGEREF _Toc74557792 \h </w:instrText>
        </w:r>
        <w:r w:rsidR="007F1AC5">
          <w:rPr>
            <w:noProof/>
            <w:webHidden/>
          </w:rPr>
        </w:r>
        <w:r w:rsidR="007F1AC5">
          <w:rPr>
            <w:noProof/>
            <w:webHidden/>
          </w:rPr>
          <w:fldChar w:fldCharType="separate"/>
        </w:r>
        <w:r w:rsidR="00B44836">
          <w:rPr>
            <w:noProof/>
            <w:webHidden/>
          </w:rPr>
          <w:t>152</w:t>
        </w:r>
        <w:r w:rsidR="007F1AC5">
          <w:rPr>
            <w:noProof/>
            <w:webHidden/>
          </w:rPr>
          <w:fldChar w:fldCharType="end"/>
        </w:r>
      </w:hyperlink>
    </w:p>
    <w:p w14:paraId="360EE1DE" w14:textId="167ABD10" w:rsidR="007F1AC5" w:rsidRDefault="00BE462A">
      <w:pPr>
        <w:pStyle w:val="TM3"/>
        <w:rPr>
          <w:rFonts w:eastAsiaTheme="minorEastAsia" w:cstheme="minorBidi"/>
          <w:noProof/>
        </w:rPr>
      </w:pPr>
      <w:hyperlink w:anchor="_Toc74557793" w:history="1">
        <w:r w:rsidR="007F1AC5" w:rsidRPr="001C5F87">
          <w:rPr>
            <w:rStyle w:val="Lienhypertexte"/>
            <w:noProof/>
          </w:rPr>
          <w:t>04005/364-48 : Phone shops</w:t>
        </w:r>
        <w:r w:rsidR="007F1AC5">
          <w:rPr>
            <w:noProof/>
            <w:webHidden/>
          </w:rPr>
          <w:tab/>
        </w:r>
        <w:r w:rsidR="007F1AC5">
          <w:rPr>
            <w:noProof/>
            <w:webHidden/>
          </w:rPr>
          <w:fldChar w:fldCharType="begin"/>
        </w:r>
        <w:r w:rsidR="007F1AC5">
          <w:rPr>
            <w:noProof/>
            <w:webHidden/>
          </w:rPr>
          <w:instrText xml:space="preserve"> PAGEREF _Toc74557793 \h </w:instrText>
        </w:r>
        <w:r w:rsidR="007F1AC5">
          <w:rPr>
            <w:noProof/>
            <w:webHidden/>
          </w:rPr>
        </w:r>
        <w:r w:rsidR="007F1AC5">
          <w:rPr>
            <w:noProof/>
            <w:webHidden/>
          </w:rPr>
          <w:fldChar w:fldCharType="separate"/>
        </w:r>
        <w:r w:rsidR="00B44836">
          <w:rPr>
            <w:noProof/>
            <w:webHidden/>
          </w:rPr>
          <w:t>152</w:t>
        </w:r>
        <w:r w:rsidR="007F1AC5">
          <w:rPr>
            <w:noProof/>
            <w:webHidden/>
          </w:rPr>
          <w:fldChar w:fldCharType="end"/>
        </w:r>
      </w:hyperlink>
    </w:p>
    <w:p w14:paraId="73FBD557" w14:textId="7503391C" w:rsidR="007F1AC5" w:rsidRDefault="00BE462A">
      <w:pPr>
        <w:pStyle w:val="TM3"/>
        <w:rPr>
          <w:rFonts w:eastAsiaTheme="minorEastAsia" w:cstheme="minorBidi"/>
          <w:noProof/>
        </w:rPr>
      </w:pPr>
      <w:hyperlink w:anchor="_Toc74557794" w:history="1">
        <w:r w:rsidR="007F1AC5" w:rsidRPr="001C5F87">
          <w:rPr>
            <w:rStyle w:val="Lienhypertexte"/>
            <w:noProof/>
          </w:rPr>
          <w:t>04006/364-48 : Exploitation de parkings</w:t>
        </w:r>
        <w:r w:rsidR="007F1AC5">
          <w:rPr>
            <w:noProof/>
            <w:webHidden/>
          </w:rPr>
          <w:tab/>
        </w:r>
        <w:r w:rsidR="007F1AC5">
          <w:rPr>
            <w:noProof/>
            <w:webHidden/>
          </w:rPr>
          <w:fldChar w:fldCharType="begin"/>
        </w:r>
        <w:r w:rsidR="007F1AC5">
          <w:rPr>
            <w:noProof/>
            <w:webHidden/>
          </w:rPr>
          <w:instrText xml:space="preserve"> PAGEREF _Toc74557794 \h </w:instrText>
        </w:r>
        <w:r w:rsidR="007F1AC5">
          <w:rPr>
            <w:noProof/>
            <w:webHidden/>
          </w:rPr>
        </w:r>
        <w:r w:rsidR="007F1AC5">
          <w:rPr>
            <w:noProof/>
            <w:webHidden/>
          </w:rPr>
          <w:fldChar w:fldCharType="separate"/>
        </w:r>
        <w:r w:rsidR="00B44836">
          <w:rPr>
            <w:noProof/>
            <w:webHidden/>
          </w:rPr>
          <w:t>152</w:t>
        </w:r>
        <w:r w:rsidR="007F1AC5">
          <w:rPr>
            <w:noProof/>
            <w:webHidden/>
          </w:rPr>
          <w:fldChar w:fldCharType="end"/>
        </w:r>
      </w:hyperlink>
    </w:p>
    <w:p w14:paraId="1F3466B0" w14:textId="463D95CB" w:rsidR="007F1AC5" w:rsidRDefault="00BE462A">
      <w:pPr>
        <w:pStyle w:val="TM3"/>
        <w:rPr>
          <w:rFonts w:eastAsiaTheme="minorEastAsia" w:cstheme="minorBidi"/>
          <w:noProof/>
        </w:rPr>
      </w:pPr>
      <w:hyperlink w:anchor="_Toc74557795" w:history="1">
        <w:r w:rsidR="007F1AC5" w:rsidRPr="001C5F87">
          <w:rPr>
            <w:rStyle w:val="Lienhypertexte"/>
            <w:noProof/>
          </w:rPr>
          <w:t>04007/364-48 Cannabis shops</w:t>
        </w:r>
        <w:r w:rsidR="007F1AC5">
          <w:rPr>
            <w:noProof/>
            <w:webHidden/>
          </w:rPr>
          <w:tab/>
        </w:r>
        <w:r w:rsidR="007F1AC5">
          <w:rPr>
            <w:noProof/>
            <w:webHidden/>
          </w:rPr>
          <w:fldChar w:fldCharType="begin"/>
        </w:r>
        <w:r w:rsidR="007F1AC5">
          <w:rPr>
            <w:noProof/>
            <w:webHidden/>
          </w:rPr>
          <w:instrText xml:space="preserve"> PAGEREF _Toc74557795 \h </w:instrText>
        </w:r>
        <w:r w:rsidR="007F1AC5">
          <w:rPr>
            <w:noProof/>
            <w:webHidden/>
          </w:rPr>
        </w:r>
        <w:r w:rsidR="007F1AC5">
          <w:rPr>
            <w:noProof/>
            <w:webHidden/>
          </w:rPr>
          <w:fldChar w:fldCharType="separate"/>
        </w:r>
        <w:r w:rsidR="00B44836">
          <w:rPr>
            <w:noProof/>
            <w:webHidden/>
          </w:rPr>
          <w:t>153</w:t>
        </w:r>
        <w:r w:rsidR="007F1AC5">
          <w:rPr>
            <w:noProof/>
            <w:webHidden/>
          </w:rPr>
          <w:fldChar w:fldCharType="end"/>
        </w:r>
      </w:hyperlink>
    </w:p>
    <w:p w14:paraId="38543FFC" w14:textId="3530FFE2" w:rsidR="007F1AC5" w:rsidRDefault="00BE462A">
      <w:pPr>
        <w:pStyle w:val="TM3"/>
        <w:rPr>
          <w:noProof/>
        </w:rPr>
      </w:pPr>
      <w:hyperlink w:anchor="_Toc74557796" w:history="1">
        <w:r w:rsidR="007F1AC5" w:rsidRPr="001C5F87">
          <w:rPr>
            <w:rStyle w:val="Lienhypertexte"/>
            <w:noProof/>
          </w:rPr>
          <w:t>04008/364-48 Bar à chichas, pipes à eau et assimilés</w:t>
        </w:r>
        <w:r w:rsidR="007F1AC5">
          <w:rPr>
            <w:noProof/>
            <w:webHidden/>
          </w:rPr>
          <w:tab/>
        </w:r>
        <w:r w:rsidR="007F1AC5">
          <w:rPr>
            <w:noProof/>
            <w:webHidden/>
          </w:rPr>
          <w:fldChar w:fldCharType="begin"/>
        </w:r>
        <w:r w:rsidR="007F1AC5">
          <w:rPr>
            <w:noProof/>
            <w:webHidden/>
          </w:rPr>
          <w:instrText xml:space="preserve"> PAGEREF _Toc74557796 \h </w:instrText>
        </w:r>
        <w:r w:rsidR="007F1AC5">
          <w:rPr>
            <w:noProof/>
            <w:webHidden/>
          </w:rPr>
        </w:r>
        <w:r w:rsidR="007F1AC5">
          <w:rPr>
            <w:noProof/>
            <w:webHidden/>
          </w:rPr>
          <w:fldChar w:fldCharType="separate"/>
        </w:r>
        <w:r w:rsidR="00B44836">
          <w:rPr>
            <w:noProof/>
            <w:webHidden/>
          </w:rPr>
          <w:t>153</w:t>
        </w:r>
        <w:r w:rsidR="007F1AC5">
          <w:rPr>
            <w:noProof/>
            <w:webHidden/>
          </w:rPr>
          <w:fldChar w:fldCharType="end"/>
        </w:r>
      </w:hyperlink>
    </w:p>
    <w:p w14:paraId="33D544C3" w14:textId="38946225" w:rsidR="00A85E13" w:rsidRPr="00F1013D" w:rsidRDefault="00A85E13">
      <w:pPr>
        <w:pStyle w:val="TM3"/>
        <w:rPr>
          <w:rFonts w:eastAsiaTheme="minorEastAsia"/>
        </w:rPr>
      </w:pPr>
    </w:p>
    <w:p w14:paraId="13277C6B" w14:textId="58235D23" w:rsidR="007F1AC5" w:rsidRDefault="00BE462A">
      <w:pPr>
        <w:pStyle w:val="TM2"/>
        <w:tabs>
          <w:tab w:val="left" w:pos="1701"/>
          <w:tab w:val="right" w:leader="underscore" w:pos="9062"/>
        </w:tabs>
        <w:rPr>
          <w:rFonts w:eastAsiaTheme="minorEastAsia" w:cstheme="minorBidi"/>
          <w:b w:val="0"/>
          <w:bCs w:val="0"/>
          <w:noProof/>
        </w:rPr>
      </w:pPr>
      <w:hyperlink w:anchor="_Toc74557797" w:history="1">
        <w:r w:rsidR="007F1AC5" w:rsidRPr="001C5F87">
          <w:rPr>
            <w:rStyle w:val="Lienhypertexte"/>
            <w:noProof/>
          </w:rPr>
          <w:t>VII.5.</w:t>
        </w:r>
        <w:r w:rsidR="007F1AC5">
          <w:rPr>
            <w:rFonts w:eastAsiaTheme="minorEastAsia" w:cstheme="minorBidi"/>
            <w:b w:val="0"/>
            <w:bCs w:val="0"/>
            <w:noProof/>
          </w:rPr>
          <w:tab/>
        </w:r>
        <w:r w:rsidR="007F1AC5" w:rsidRPr="001C5F87">
          <w:rPr>
            <w:rStyle w:val="Lienhypertexte"/>
            <w:noProof/>
          </w:rPr>
          <w:t>Taxe sur les spectacles et divertissements</w:t>
        </w:r>
        <w:r w:rsidR="007F1AC5">
          <w:rPr>
            <w:noProof/>
            <w:webHidden/>
          </w:rPr>
          <w:tab/>
        </w:r>
        <w:r w:rsidR="007F1AC5">
          <w:rPr>
            <w:noProof/>
            <w:webHidden/>
          </w:rPr>
          <w:fldChar w:fldCharType="begin"/>
        </w:r>
        <w:r w:rsidR="007F1AC5">
          <w:rPr>
            <w:noProof/>
            <w:webHidden/>
          </w:rPr>
          <w:instrText xml:space="preserve"> PAGEREF _Toc74557797 \h </w:instrText>
        </w:r>
        <w:r w:rsidR="007F1AC5">
          <w:rPr>
            <w:noProof/>
            <w:webHidden/>
          </w:rPr>
        </w:r>
        <w:r w:rsidR="007F1AC5">
          <w:rPr>
            <w:noProof/>
            <w:webHidden/>
          </w:rPr>
          <w:fldChar w:fldCharType="separate"/>
        </w:r>
        <w:r w:rsidR="00B44836">
          <w:rPr>
            <w:noProof/>
            <w:webHidden/>
          </w:rPr>
          <w:t>154</w:t>
        </w:r>
        <w:r w:rsidR="007F1AC5">
          <w:rPr>
            <w:noProof/>
            <w:webHidden/>
          </w:rPr>
          <w:fldChar w:fldCharType="end"/>
        </w:r>
      </w:hyperlink>
    </w:p>
    <w:p w14:paraId="6CDCCE7D" w14:textId="54BFDE97" w:rsidR="007F1AC5" w:rsidRDefault="00BE462A">
      <w:pPr>
        <w:pStyle w:val="TM3"/>
        <w:rPr>
          <w:rFonts w:eastAsiaTheme="minorEastAsia" w:cstheme="minorBidi"/>
          <w:noProof/>
        </w:rPr>
      </w:pPr>
      <w:hyperlink w:anchor="_Toc74557798" w:history="1">
        <w:r w:rsidR="007F1AC5" w:rsidRPr="001C5F87">
          <w:rPr>
            <w:rStyle w:val="Lienhypertexte"/>
            <w:noProof/>
          </w:rPr>
          <w:t>040/365-01 : Spectacles et divertissements</w:t>
        </w:r>
        <w:r w:rsidR="007F1AC5">
          <w:rPr>
            <w:noProof/>
            <w:webHidden/>
          </w:rPr>
          <w:tab/>
        </w:r>
        <w:r w:rsidR="007F1AC5">
          <w:rPr>
            <w:noProof/>
            <w:webHidden/>
          </w:rPr>
          <w:fldChar w:fldCharType="begin"/>
        </w:r>
        <w:r w:rsidR="007F1AC5">
          <w:rPr>
            <w:noProof/>
            <w:webHidden/>
          </w:rPr>
          <w:instrText xml:space="preserve"> PAGEREF _Toc74557798 \h </w:instrText>
        </w:r>
        <w:r w:rsidR="007F1AC5">
          <w:rPr>
            <w:noProof/>
            <w:webHidden/>
          </w:rPr>
        </w:r>
        <w:r w:rsidR="007F1AC5">
          <w:rPr>
            <w:noProof/>
            <w:webHidden/>
          </w:rPr>
          <w:fldChar w:fldCharType="separate"/>
        </w:r>
        <w:r w:rsidR="00B44836">
          <w:rPr>
            <w:noProof/>
            <w:webHidden/>
          </w:rPr>
          <w:t>154</w:t>
        </w:r>
        <w:r w:rsidR="007F1AC5">
          <w:rPr>
            <w:noProof/>
            <w:webHidden/>
          </w:rPr>
          <w:fldChar w:fldCharType="end"/>
        </w:r>
      </w:hyperlink>
    </w:p>
    <w:p w14:paraId="6DEA8566" w14:textId="1097E87C" w:rsidR="007F1AC5" w:rsidRDefault="00BE462A">
      <w:pPr>
        <w:pStyle w:val="TM3"/>
        <w:rPr>
          <w:rFonts w:eastAsiaTheme="minorEastAsia" w:cstheme="minorBidi"/>
          <w:noProof/>
        </w:rPr>
      </w:pPr>
      <w:hyperlink w:anchor="_Toc74557799" w:history="1">
        <w:r w:rsidR="007F1AC5" w:rsidRPr="001C5F87">
          <w:rPr>
            <w:rStyle w:val="Lienhypertexte"/>
            <w:noProof/>
          </w:rPr>
          <w:t>040/365-02 : Dancings</w:t>
        </w:r>
        <w:r w:rsidR="007F1AC5">
          <w:rPr>
            <w:noProof/>
            <w:webHidden/>
          </w:rPr>
          <w:tab/>
        </w:r>
        <w:r w:rsidR="007F1AC5">
          <w:rPr>
            <w:noProof/>
            <w:webHidden/>
          </w:rPr>
          <w:fldChar w:fldCharType="begin"/>
        </w:r>
        <w:r w:rsidR="007F1AC5">
          <w:rPr>
            <w:noProof/>
            <w:webHidden/>
          </w:rPr>
          <w:instrText xml:space="preserve"> PAGEREF _Toc74557799 \h </w:instrText>
        </w:r>
        <w:r w:rsidR="007F1AC5">
          <w:rPr>
            <w:noProof/>
            <w:webHidden/>
          </w:rPr>
        </w:r>
        <w:r w:rsidR="007F1AC5">
          <w:rPr>
            <w:noProof/>
            <w:webHidden/>
          </w:rPr>
          <w:fldChar w:fldCharType="separate"/>
        </w:r>
        <w:r w:rsidR="00B44836">
          <w:rPr>
            <w:noProof/>
            <w:webHidden/>
          </w:rPr>
          <w:t>155</w:t>
        </w:r>
        <w:r w:rsidR="007F1AC5">
          <w:rPr>
            <w:noProof/>
            <w:webHidden/>
          </w:rPr>
          <w:fldChar w:fldCharType="end"/>
        </w:r>
      </w:hyperlink>
    </w:p>
    <w:p w14:paraId="590C7AC9" w14:textId="5EC6E158" w:rsidR="007F1AC5" w:rsidRDefault="00BE462A">
      <w:pPr>
        <w:pStyle w:val="TM3"/>
        <w:rPr>
          <w:rFonts w:eastAsiaTheme="minorEastAsia" w:cstheme="minorBidi"/>
          <w:noProof/>
        </w:rPr>
      </w:pPr>
      <w:hyperlink w:anchor="_Toc74557800" w:history="1">
        <w:r w:rsidR="007F1AC5" w:rsidRPr="001C5F87">
          <w:rPr>
            <w:rStyle w:val="Lienhypertexte"/>
            <w:noProof/>
          </w:rPr>
          <w:t>040/365-08 : Mise à l'eau d'embarcations dans un but commercial</w:t>
        </w:r>
        <w:r w:rsidR="007F1AC5">
          <w:rPr>
            <w:noProof/>
            <w:webHidden/>
          </w:rPr>
          <w:tab/>
        </w:r>
        <w:r w:rsidR="007F1AC5">
          <w:rPr>
            <w:noProof/>
            <w:webHidden/>
          </w:rPr>
          <w:fldChar w:fldCharType="begin"/>
        </w:r>
        <w:r w:rsidR="007F1AC5">
          <w:rPr>
            <w:noProof/>
            <w:webHidden/>
          </w:rPr>
          <w:instrText xml:space="preserve"> PAGEREF _Toc74557800 \h </w:instrText>
        </w:r>
        <w:r w:rsidR="007F1AC5">
          <w:rPr>
            <w:noProof/>
            <w:webHidden/>
          </w:rPr>
        </w:r>
        <w:r w:rsidR="007F1AC5">
          <w:rPr>
            <w:noProof/>
            <w:webHidden/>
          </w:rPr>
          <w:fldChar w:fldCharType="separate"/>
        </w:r>
        <w:r w:rsidR="00B44836">
          <w:rPr>
            <w:noProof/>
            <w:webHidden/>
          </w:rPr>
          <w:t>156</w:t>
        </w:r>
        <w:r w:rsidR="007F1AC5">
          <w:rPr>
            <w:noProof/>
            <w:webHidden/>
          </w:rPr>
          <w:fldChar w:fldCharType="end"/>
        </w:r>
      </w:hyperlink>
    </w:p>
    <w:p w14:paraId="4ECF5E0A" w14:textId="6EEA1CFB" w:rsidR="007F1AC5" w:rsidRDefault="00BE462A">
      <w:pPr>
        <w:pStyle w:val="TM2"/>
        <w:tabs>
          <w:tab w:val="left" w:pos="1701"/>
          <w:tab w:val="right" w:leader="underscore" w:pos="9062"/>
        </w:tabs>
        <w:rPr>
          <w:rFonts w:eastAsiaTheme="minorEastAsia" w:cstheme="minorBidi"/>
          <w:b w:val="0"/>
          <w:bCs w:val="0"/>
          <w:noProof/>
        </w:rPr>
      </w:pPr>
      <w:hyperlink w:anchor="_Toc74557801" w:history="1">
        <w:r w:rsidR="007F1AC5" w:rsidRPr="001C5F87">
          <w:rPr>
            <w:rStyle w:val="Lienhypertexte"/>
            <w:noProof/>
          </w:rPr>
          <w:t>VII.6.</w:t>
        </w:r>
        <w:r w:rsidR="007F1AC5">
          <w:rPr>
            <w:rFonts w:eastAsiaTheme="minorEastAsia" w:cstheme="minorBidi"/>
            <w:b w:val="0"/>
            <w:bCs w:val="0"/>
            <w:noProof/>
          </w:rPr>
          <w:tab/>
        </w:r>
        <w:r w:rsidR="007F1AC5" w:rsidRPr="001C5F87">
          <w:rPr>
            <w:rStyle w:val="Lienhypertexte"/>
            <w:noProof/>
          </w:rPr>
          <w:t>Taxes ou redevances pour l’occupation du domaine public</w:t>
        </w:r>
        <w:r w:rsidR="007F1AC5">
          <w:rPr>
            <w:noProof/>
            <w:webHidden/>
          </w:rPr>
          <w:tab/>
        </w:r>
        <w:r w:rsidR="007F1AC5">
          <w:rPr>
            <w:noProof/>
            <w:webHidden/>
          </w:rPr>
          <w:fldChar w:fldCharType="begin"/>
        </w:r>
        <w:r w:rsidR="007F1AC5">
          <w:rPr>
            <w:noProof/>
            <w:webHidden/>
          </w:rPr>
          <w:instrText xml:space="preserve"> PAGEREF _Toc74557801 \h </w:instrText>
        </w:r>
        <w:r w:rsidR="007F1AC5">
          <w:rPr>
            <w:noProof/>
            <w:webHidden/>
          </w:rPr>
        </w:r>
        <w:r w:rsidR="007F1AC5">
          <w:rPr>
            <w:noProof/>
            <w:webHidden/>
          </w:rPr>
          <w:fldChar w:fldCharType="separate"/>
        </w:r>
        <w:r w:rsidR="00B44836">
          <w:rPr>
            <w:noProof/>
            <w:webHidden/>
          </w:rPr>
          <w:t>156</w:t>
        </w:r>
        <w:r w:rsidR="007F1AC5">
          <w:rPr>
            <w:noProof/>
            <w:webHidden/>
          </w:rPr>
          <w:fldChar w:fldCharType="end"/>
        </w:r>
      </w:hyperlink>
    </w:p>
    <w:p w14:paraId="04578A7E" w14:textId="4D09F229" w:rsidR="007F1AC5" w:rsidRDefault="00BE462A">
      <w:pPr>
        <w:pStyle w:val="TM3"/>
        <w:rPr>
          <w:rFonts w:eastAsiaTheme="minorEastAsia" w:cstheme="minorBidi"/>
          <w:noProof/>
        </w:rPr>
      </w:pPr>
      <w:hyperlink w:anchor="_Toc74557802" w:history="1">
        <w:r w:rsidR="007F1AC5" w:rsidRPr="001C5F87">
          <w:rPr>
            <w:rStyle w:val="Lienhypertexte"/>
            <w:noProof/>
          </w:rPr>
          <w:t>040/366-01 : Droits d'emplacement sur les marchés</w:t>
        </w:r>
        <w:r w:rsidR="007F1AC5">
          <w:rPr>
            <w:noProof/>
            <w:webHidden/>
          </w:rPr>
          <w:tab/>
        </w:r>
        <w:r w:rsidR="007F1AC5">
          <w:rPr>
            <w:noProof/>
            <w:webHidden/>
          </w:rPr>
          <w:fldChar w:fldCharType="begin"/>
        </w:r>
        <w:r w:rsidR="007F1AC5">
          <w:rPr>
            <w:noProof/>
            <w:webHidden/>
          </w:rPr>
          <w:instrText xml:space="preserve"> PAGEREF _Toc74557802 \h </w:instrText>
        </w:r>
        <w:r w:rsidR="007F1AC5">
          <w:rPr>
            <w:noProof/>
            <w:webHidden/>
          </w:rPr>
        </w:r>
        <w:r w:rsidR="007F1AC5">
          <w:rPr>
            <w:noProof/>
            <w:webHidden/>
          </w:rPr>
          <w:fldChar w:fldCharType="separate"/>
        </w:r>
        <w:r w:rsidR="00B44836">
          <w:rPr>
            <w:noProof/>
            <w:webHidden/>
          </w:rPr>
          <w:t>156</w:t>
        </w:r>
        <w:r w:rsidR="007F1AC5">
          <w:rPr>
            <w:noProof/>
            <w:webHidden/>
          </w:rPr>
          <w:fldChar w:fldCharType="end"/>
        </w:r>
      </w:hyperlink>
    </w:p>
    <w:p w14:paraId="2D68A39F" w14:textId="2783CBB8" w:rsidR="007F1AC5" w:rsidRDefault="00BE462A">
      <w:pPr>
        <w:pStyle w:val="TM3"/>
        <w:rPr>
          <w:rFonts w:eastAsiaTheme="minorEastAsia" w:cstheme="minorBidi"/>
          <w:noProof/>
        </w:rPr>
      </w:pPr>
      <w:hyperlink w:anchor="_Toc74557803" w:history="1">
        <w:r w:rsidR="007F1AC5" w:rsidRPr="001C5F87">
          <w:rPr>
            <w:rStyle w:val="Lienhypertexte"/>
            <w:noProof/>
            <w:lang w:eastAsia="zh-CN"/>
          </w:rPr>
          <w:t>040/366-03 : Loges foraines, loges mobiles et loges servant au logement sur la voie publique</w:t>
        </w:r>
        <w:r w:rsidR="007F1AC5">
          <w:rPr>
            <w:noProof/>
            <w:webHidden/>
          </w:rPr>
          <w:tab/>
        </w:r>
        <w:r w:rsidR="007F1AC5">
          <w:rPr>
            <w:noProof/>
            <w:webHidden/>
          </w:rPr>
          <w:fldChar w:fldCharType="begin"/>
        </w:r>
        <w:r w:rsidR="007F1AC5">
          <w:rPr>
            <w:noProof/>
            <w:webHidden/>
          </w:rPr>
          <w:instrText xml:space="preserve"> PAGEREF _Toc74557803 \h </w:instrText>
        </w:r>
        <w:r w:rsidR="007F1AC5">
          <w:rPr>
            <w:noProof/>
            <w:webHidden/>
          </w:rPr>
        </w:r>
        <w:r w:rsidR="007F1AC5">
          <w:rPr>
            <w:noProof/>
            <w:webHidden/>
          </w:rPr>
          <w:fldChar w:fldCharType="separate"/>
        </w:r>
        <w:r w:rsidR="00B44836">
          <w:rPr>
            <w:noProof/>
            <w:webHidden/>
          </w:rPr>
          <w:t>157</w:t>
        </w:r>
        <w:r w:rsidR="007F1AC5">
          <w:rPr>
            <w:noProof/>
            <w:webHidden/>
          </w:rPr>
          <w:fldChar w:fldCharType="end"/>
        </w:r>
      </w:hyperlink>
    </w:p>
    <w:p w14:paraId="69064EC5" w14:textId="3C83406F" w:rsidR="007F1AC5" w:rsidRDefault="00BE462A">
      <w:pPr>
        <w:pStyle w:val="TM3"/>
        <w:rPr>
          <w:rFonts w:eastAsiaTheme="minorEastAsia" w:cstheme="minorBidi"/>
          <w:noProof/>
        </w:rPr>
      </w:pPr>
      <w:hyperlink w:anchor="_Toc74557805" w:history="1">
        <w:r w:rsidR="007F1AC5" w:rsidRPr="001C5F87">
          <w:rPr>
            <w:rStyle w:val="Lienhypertexte"/>
            <w:bCs/>
            <w:noProof/>
            <w:lang w:eastAsia="zh-CN"/>
          </w:rPr>
          <w:t>040/366-05 : Droit de quai</w:t>
        </w:r>
        <w:r w:rsidR="007F1AC5">
          <w:rPr>
            <w:noProof/>
            <w:webHidden/>
          </w:rPr>
          <w:tab/>
        </w:r>
        <w:r w:rsidR="007F1AC5">
          <w:rPr>
            <w:noProof/>
            <w:webHidden/>
          </w:rPr>
          <w:fldChar w:fldCharType="begin"/>
        </w:r>
        <w:r w:rsidR="007F1AC5">
          <w:rPr>
            <w:noProof/>
            <w:webHidden/>
          </w:rPr>
          <w:instrText xml:space="preserve"> PAGEREF _Toc74557805 \h </w:instrText>
        </w:r>
        <w:r w:rsidR="007F1AC5">
          <w:rPr>
            <w:noProof/>
            <w:webHidden/>
          </w:rPr>
        </w:r>
        <w:r w:rsidR="007F1AC5">
          <w:rPr>
            <w:noProof/>
            <w:webHidden/>
          </w:rPr>
          <w:fldChar w:fldCharType="separate"/>
        </w:r>
        <w:r w:rsidR="00B44836">
          <w:rPr>
            <w:noProof/>
            <w:webHidden/>
          </w:rPr>
          <w:t>157</w:t>
        </w:r>
        <w:r w:rsidR="007F1AC5">
          <w:rPr>
            <w:noProof/>
            <w:webHidden/>
          </w:rPr>
          <w:fldChar w:fldCharType="end"/>
        </w:r>
      </w:hyperlink>
    </w:p>
    <w:p w14:paraId="3208BABA" w14:textId="7E7B890E" w:rsidR="007F1AC5" w:rsidRDefault="00BE462A">
      <w:pPr>
        <w:pStyle w:val="TM3"/>
        <w:rPr>
          <w:noProof/>
        </w:rPr>
      </w:pPr>
      <w:hyperlink w:anchor="_Toc74557806" w:history="1">
        <w:r w:rsidR="007F1AC5" w:rsidRPr="001C5F87">
          <w:rPr>
            <w:rStyle w:val="Lienhypertexte"/>
            <w:noProof/>
            <w:lang w:eastAsia="zh-CN"/>
          </w:rPr>
          <w:t>040/366-06 : Placement de terrasses, de tables et de chaises</w:t>
        </w:r>
        <w:r w:rsidR="007F1AC5">
          <w:rPr>
            <w:noProof/>
            <w:webHidden/>
          </w:rPr>
          <w:tab/>
        </w:r>
        <w:r w:rsidR="007F1AC5">
          <w:rPr>
            <w:noProof/>
            <w:webHidden/>
          </w:rPr>
          <w:fldChar w:fldCharType="begin"/>
        </w:r>
        <w:r w:rsidR="007F1AC5">
          <w:rPr>
            <w:noProof/>
            <w:webHidden/>
          </w:rPr>
          <w:instrText xml:space="preserve"> PAGEREF _Toc74557806 \h </w:instrText>
        </w:r>
        <w:r w:rsidR="007F1AC5">
          <w:rPr>
            <w:noProof/>
            <w:webHidden/>
          </w:rPr>
        </w:r>
        <w:r w:rsidR="007F1AC5">
          <w:rPr>
            <w:noProof/>
            <w:webHidden/>
          </w:rPr>
          <w:fldChar w:fldCharType="separate"/>
        </w:r>
        <w:r w:rsidR="00B44836">
          <w:rPr>
            <w:noProof/>
            <w:webHidden/>
          </w:rPr>
          <w:t>157</w:t>
        </w:r>
        <w:r w:rsidR="007F1AC5">
          <w:rPr>
            <w:noProof/>
            <w:webHidden/>
          </w:rPr>
          <w:fldChar w:fldCharType="end"/>
        </w:r>
      </w:hyperlink>
    </w:p>
    <w:p w14:paraId="38A5C76D" w14:textId="4936DD37" w:rsidR="00D742BD" w:rsidRPr="00D742BD" w:rsidRDefault="00D742BD" w:rsidP="00D742BD">
      <w:pPr>
        <w:pStyle w:val="TM3"/>
        <w:rPr>
          <w:rFonts w:eastAsiaTheme="minorEastAsia"/>
        </w:rPr>
      </w:pPr>
      <w:r>
        <w:rPr>
          <w:rFonts w:eastAsiaTheme="minorEastAsia"/>
        </w:rPr>
        <w:t>040/366-07 : Parking</w:t>
      </w:r>
      <w:r>
        <w:rPr>
          <w:rFonts w:eastAsiaTheme="minorEastAsia"/>
        </w:rPr>
        <w:tab/>
        <w:t>158</w:t>
      </w:r>
    </w:p>
    <w:p w14:paraId="13F03F46" w14:textId="67FA6837" w:rsidR="007F1AC5" w:rsidRDefault="00BE462A">
      <w:pPr>
        <w:pStyle w:val="TM3"/>
        <w:rPr>
          <w:rFonts w:eastAsiaTheme="minorEastAsia" w:cstheme="minorBidi"/>
          <w:noProof/>
        </w:rPr>
      </w:pPr>
      <w:hyperlink w:anchor="_Toc74557807" w:history="1">
        <w:r w:rsidR="007F1AC5" w:rsidRPr="001C5F87">
          <w:rPr>
            <w:rStyle w:val="Lienhypertexte"/>
            <w:noProof/>
          </w:rPr>
          <w:t>040/366-08 : Stationnement de taxis et voitures de louage</w:t>
        </w:r>
        <w:r w:rsidR="007F1AC5">
          <w:rPr>
            <w:noProof/>
            <w:webHidden/>
          </w:rPr>
          <w:tab/>
        </w:r>
        <w:r w:rsidR="007F1AC5">
          <w:rPr>
            <w:noProof/>
            <w:webHidden/>
          </w:rPr>
          <w:fldChar w:fldCharType="begin"/>
        </w:r>
        <w:r w:rsidR="007F1AC5">
          <w:rPr>
            <w:noProof/>
            <w:webHidden/>
          </w:rPr>
          <w:instrText xml:space="preserve"> PAGEREF _Toc74557807 \h </w:instrText>
        </w:r>
        <w:r w:rsidR="007F1AC5">
          <w:rPr>
            <w:noProof/>
            <w:webHidden/>
          </w:rPr>
        </w:r>
        <w:r w:rsidR="007F1AC5">
          <w:rPr>
            <w:noProof/>
            <w:webHidden/>
          </w:rPr>
          <w:fldChar w:fldCharType="separate"/>
        </w:r>
        <w:r w:rsidR="00B44836">
          <w:rPr>
            <w:noProof/>
            <w:webHidden/>
          </w:rPr>
          <w:t>160</w:t>
        </w:r>
        <w:r w:rsidR="007F1AC5">
          <w:rPr>
            <w:noProof/>
            <w:webHidden/>
          </w:rPr>
          <w:fldChar w:fldCharType="end"/>
        </w:r>
      </w:hyperlink>
    </w:p>
    <w:p w14:paraId="02B821C5" w14:textId="31CDBCFB" w:rsidR="007F1AC5" w:rsidRDefault="00BE462A">
      <w:pPr>
        <w:pStyle w:val="TM3"/>
        <w:rPr>
          <w:rFonts w:eastAsiaTheme="minorEastAsia" w:cstheme="minorBidi"/>
          <w:noProof/>
        </w:rPr>
      </w:pPr>
      <w:hyperlink w:anchor="_Toc74557808" w:history="1">
        <w:r w:rsidR="007F1AC5" w:rsidRPr="001C5F87">
          <w:rPr>
            <w:rStyle w:val="Lienhypertexte"/>
            <w:noProof/>
            <w:lang w:eastAsia="zh-CN"/>
          </w:rPr>
          <w:t>040/366-09 : Commerces de frites - kiosques à journaux sur la voie publique</w:t>
        </w:r>
        <w:r w:rsidR="007F1AC5">
          <w:rPr>
            <w:noProof/>
            <w:webHidden/>
          </w:rPr>
          <w:tab/>
        </w:r>
        <w:r w:rsidR="007F1AC5">
          <w:rPr>
            <w:noProof/>
            <w:webHidden/>
          </w:rPr>
          <w:fldChar w:fldCharType="begin"/>
        </w:r>
        <w:r w:rsidR="007F1AC5">
          <w:rPr>
            <w:noProof/>
            <w:webHidden/>
          </w:rPr>
          <w:instrText xml:space="preserve"> PAGEREF _Toc74557808 \h </w:instrText>
        </w:r>
        <w:r w:rsidR="007F1AC5">
          <w:rPr>
            <w:noProof/>
            <w:webHidden/>
          </w:rPr>
        </w:r>
        <w:r w:rsidR="007F1AC5">
          <w:rPr>
            <w:noProof/>
            <w:webHidden/>
          </w:rPr>
          <w:fldChar w:fldCharType="separate"/>
        </w:r>
        <w:r w:rsidR="00B44836">
          <w:rPr>
            <w:noProof/>
            <w:webHidden/>
          </w:rPr>
          <w:t>160</w:t>
        </w:r>
        <w:r w:rsidR="007F1AC5">
          <w:rPr>
            <w:noProof/>
            <w:webHidden/>
          </w:rPr>
          <w:fldChar w:fldCharType="end"/>
        </w:r>
      </w:hyperlink>
    </w:p>
    <w:p w14:paraId="6CF44506" w14:textId="3D27E5EE" w:rsidR="007F1AC5" w:rsidRDefault="00BE462A">
      <w:pPr>
        <w:pStyle w:val="TM2"/>
        <w:tabs>
          <w:tab w:val="left" w:pos="1701"/>
          <w:tab w:val="right" w:leader="underscore" w:pos="9062"/>
        </w:tabs>
        <w:rPr>
          <w:rFonts w:eastAsiaTheme="minorEastAsia" w:cstheme="minorBidi"/>
          <w:b w:val="0"/>
          <w:bCs w:val="0"/>
          <w:noProof/>
        </w:rPr>
      </w:pPr>
      <w:hyperlink w:anchor="_Toc74557809" w:history="1">
        <w:r w:rsidR="007F1AC5" w:rsidRPr="001C5F87">
          <w:rPr>
            <w:rStyle w:val="Lienhypertexte"/>
            <w:noProof/>
          </w:rPr>
          <w:t>VII.7.</w:t>
        </w:r>
        <w:r w:rsidR="007F1AC5">
          <w:rPr>
            <w:rFonts w:eastAsiaTheme="minorEastAsia" w:cstheme="minorBidi"/>
            <w:b w:val="0"/>
            <w:bCs w:val="0"/>
            <w:noProof/>
          </w:rPr>
          <w:tab/>
        </w:r>
        <w:r w:rsidR="007F1AC5" w:rsidRPr="001C5F87">
          <w:rPr>
            <w:rStyle w:val="Lienhypertexte"/>
            <w:noProof/>
          </w:rPr>
          <w:t>Taxes sur le patrimoine</w:t>
        </w:r>
        <w:r w:rsidR="007F1AC5">
          <w:rPr>
            <w:noProof/>
            <w:webHidden/>
          </w:rPr>
          <w:tab/>
        </w:r>
        <w:r w:rsidR="007F1AC5">
          <w:rPr>
            <w:noProof/>
            <w:webHidden/>
          </w:rPr>
          <w:fldChar w:fldCharType="begin"/>
        </w:r>
        <w:r w:rsidR="007F1AC5">
          <w:rPr>
            <w:noProof/>
            <w:webHidden/>
          </w:rPr>
          <w:instrText xml:space="preserve"> PAGEREF _Toc74557809 \h </w:instrText>
        </w:r>
        <w:r w:rsidR="007F1AC5">
          <w:rPr>
            <w:noProof/>
            <w:webHidden/>
          </w:rPr>
        </w:r>
        <w:r w:rsidR="007F1AC5">
          <w:rPr>
            <w:noProof/>
            <w:webHidden/>
          </w:rPr>
          <w:fldChar w:fldCharType="separate"/>
        </w:r>
        <w:r w:rsidR="00B44836">
          <w:rPr>
            <w:noProof/>
            <w:webHidden/>
          </w:rPr>
          <w:t>161</w:t>
        </w:r>
        <w:r w:rsidR="007F1AC5">
          <w:rPr>
            <w:noProof/>
            <w:webHidden/>
          </w:rPr>
          <w:fldChar w:fldCharType="end"/>
        </w:r>
      </w:hyperlink>
    </w:p>
    <w:p w14:paraId="7208FBCD" w14:textId="004458B6" w:rsidR="007F1AC5" w:rsidRDefault="00BE462A">
      <w:pPr>
        <w:pStyle w:val="TM3"/>
        <w:rPr>
          <w:rFonts w:eastAsiaTheme="minorEastAsia" w:cstheme="minorBidi"/>
          <w:noProof/>
        </w:rPr>
      </w:pPr>
      <w:hyperlink w:anchor="_Toc74557810" w:history="1">
        <w:r w:rsidR="007F1AC5" w:rsidRPr="001C5F87">
          <w:rPr>
            <w:rStyle w:val="Lienhypertexte"/>
            <w:noProof/>
          </w:rPr>
          <w:t>04001/367-09 : Parcelles non bâties dans le périmètre d’urbanisation non périmé</w:t>
        </w:r>
        <w:r w:rsidR="007F1AC5">
          <w:rPr>
            <w:noProof/>
            <w:webHidden/>
          </w:rPr>
          <w:tab/>
        </w:r>
        <w:r w:rsidR="007F1AC5">
          <w:rPr>
            <w:noProof/>
            <w:webHidden/>
          </w:rPr>
          <w:fldChar w:fldCharType="begin"/>
        </w:r>
        <w:r w:rsidR="007F1AC5">
          <w:rPr>
            <w:noProof/>
            <w:webHidden/>
          </w:rPr>
          <w:instrText xml:space="preserve"> PAGEREF _Toc74557810 \h </w:instrText>
        </w:r>
        <w:r w:rsidR="007F1AC5">
          <w:rPr>
            <w:noProof/>
            <w:webHidden/>
          </w:rPr>
        </w:r>
        <w:r w:rsidR="007F1AC5">
          <w:rPr>
            <w:noProof/>
            <w:webHidden/>
          </w:rPr>
          <w:fldChar w:fldCharType="separate"/>
        </w:r>
        <w:r w:rsidR="00B44836">
          <w:rPr>
            <w:noProof/>
            <w:webHidden/>
          </w:rPr>
          <w:t>161</w:t>
        </w:r>
        <w:r w:rsidR="007F1AC5">
          <w:rPr>
            <w:noProof/>
            <w:webHidden/>
          </w:rPr>
          <w:fldChar w:fldCharType="end"/>
        </w:r>
      </w:hyperlink>
    </w:p>
    <w:p w14:paraId="5DB0EBB8" w14:textId="3BF7F21B" w:rsidR="007F1AC5" w:rsidRDefault="00BE462A">
      <w:pPr>
        <w:pStyle w:val="TM3"/>
        <w:rPr>
          <w:rFonts w:eastAsiaTheme="minorEastAsia" w:cstheme="minorBidi"/>
          <w:noProof/>
        </w:rPr>
      </w:pPr>
      <w:hyperlink w:anchor="_Toc74557811" w:history="1">
        <w:r w:rsidR="007F1AC5" w:rsidRPr="001C5F87">
          <w:rPr>
            <w:rStyle w:val="Lienhypertexte"/>
            <w:noProof/>
          </w:rPr>
          <w:t>04002/367-09 : Terrains non bâtis en bordure d’une voie publique suffisamment équipée</w:t>
        </w:r>
        <w:r w:rsidR="007F1AC5">
          <w:rPr>
            <w:noProof/>
            <w:webHidden/>
          </w:rPr>
          <w:tab/>
        </w:r>
        <w:r w:rsidR="007F1AC5">
          <w:rPr>
            <w:noProof/>
            <w:webHidden/>
          </w:rPr>
          <w:fldChar w:fldCharType="begin"/>
        </w:r>
        <w:r w:rsidR="007F1AC5">
          <w:rPr>
            <w:noProof/>
            <w:webHidden/>
          </w:rPr>
          <w:instrText xml:space="preserve"> PAGEREF _Toc74557811 \h </w:instrText>
        </w:r>
        <w:r w:rsidR="007F1AC5">
          <w:rPr>
            <w:noProof/>
            <w:webHidden/>
          </w:rPr>
        </w:r>
        <w:r w:rsidR="007F1AC5">
          <w:rPr>
            <w:noProof/>
            <w:webHidden/>
          </w:rPr>
          <w:fldChar w:fldCharType="separate"/>
        </w:r>
        <w:r w:rsidR="00B44836">
          <w:rPr>
            <w:noProof/>
            <w:webHidden/>
          </w:rPr>
          <w:t>163</w:t>
        </w:r>
        <w:r w:rsidR="007F1AC5">
          <w:rPr>
            <w:noProof/>
            <w:webHidden/>
          </w:rPr>
          <w:fldChar w:fldCharType="end"/>
        </w:r>
      </w:hyperlink>
    </w:p>
    <w:p w14:paraId="674FE29C" w14:textId="233389C3" w:rsidR="007F1AC5" w:rsidRDefault="00BE462A">
      <w:pPr>
        <w:pStyle w:val="TM3"/>
        <w:rPr>
          <w:rFonts w:eastAsiaTheme="minorEastAsia" w:cstheme="minorBidi"/>
          <w:noProof/>
        </w:rPr>
      </w:pPr>
      <w:hyperlink w:anchor="_Toc74557812" w:history="1">
        <w:r w:rsidR="007F1AC5" w:rsidRPr="001C5F87">
          <w:rPr>
            <w:rStyle w:val="Lienhypertexte"/>
            <w:noProof/>
          </w:rPr>
          <w:t>040/367-11 : Absence d’emplacement de parcage</w:t>
        </w:r>
        <w:r w:rsidR="007F1AC5">
          <w:rPr>
            <w:noProof/>
            <w:webHidden/>
          </w:rPr>
          <w:tab/>
        </w:r>
        <w:r w:rsidR="007F1AC5">
          <w:rPr>
            <w:noProof/>
            <w:webHidden/>
          </w:rPr>
          <w:fldChar w:fldCharType="begin"/>
        </w:r>
        <w:r w:rsidR="007F1AC5">
          <w:rPr>
            <w:noProof/>
            <w:webHidden/>
          </w:rPr>
          <w:instrText xml:space="preserve"> PAGEREF _Toc74557812 \h </w:instrText>
        </w:r>
        <w:r w:rsidR="007F1AC5">
          <w:rPr>
            <w:noProof/>
            <w:webHidden/>
          </w:rPr>
        </w:r>
        <w:r w:rsidR="007F1AC5">
          <w:rPr>
            <w:noProof/>
            <w:webHidden/>
          </w:rPr>
          <w:fldChar w:fldCharType="separate"/>
        </w:r>
        <w:r w:rsidR="00B44836">
          <w:rPr>
            <w:noProof/>
            <w:webHidden/>
          </w:rPr>
          <w:t>164</w:t>
        </w:r>
        <w:r w:rsidR="007F1AC5">
          <w:rPr>
            <w:noProof/>
            <w:webHidden/>
          </w:rPr>
          <w:fldChar w:fldCharType="end"/>
        </w:r>
      </w:hyperlink>
    </w:p>
    <w:p w14:paraId="7EB562AB" w14:textId="1E806258" w:rsidR="007F1AC5" w:rsidRDefault="00BE462A">
      <w:pPr>
        <w:pStyle w:val="TM3"/>
        <w:rPr>
          <w:rFonts w:eastAsiaTheme="minorEastAsia" w:cstheme="minorBidi"/>
          <w:noProof/>
        </w:rPr>
      </w:pPr>
      <w:hyperlink w:anchor="_Toc74557813" w:history="1">
        <w:r w:rsidR="007F1AC5" w:rsidRPr="001C5F87">
          <w:rPr>
            <w:rStyle w:val="Lienhypertexte"/>
            <w:noProof/>
          </w:rPr>
          <w:t>040/367-13 : Secondes résidences</w:t>
        </w:r>
        <w:r w:rsidR="007F1AC5">
          <w:rPr>
            <w:noProof/>
            <w:webHidden/>
          </w:rPr>
          <w:tab/>
        </w:r>
        <w:r w:rsidR="007F1AC5">
          <w:rPr>
            <w:noProof/>
            <w:webHidden/>
          </w:rPr>
          <w:fldChar w:fldCharType="begin"/>
        </w:r>
        <w:r w:rsidR="007F1AC5">
          <w:rPr>
            <w:noProof/>
            <w:webHidden/>
          </w:rPr>
          <w:instrText xml:space="preserve"> PAGEREF _Toc74557813 \h </w:instrText>
        </w:r>
        <w:r w:rsidR="007F1AC5">
          <w:rPr>
            <w:noProof/>
            <w:webHidden/>
          </w:rPr>
        </w:r>
        <w:r w:rsidR="007F1AC5">
          <w:rPr>
            <w:noProof/>
            <w:webHidden/>
          </w:rPr>
          <w:fldChar w:fldCharType="separate"/>
        </w:r>
        <w:r w:rsidR="00B44836">
          <w:rPr>
            <w:noProof/>
            <w:webHidden/>
          </w:rPr>
          <w:t>164</w:t>
        </w:r>
        <w:r w:rsidR="007F1AC5">
          <w:rPr>
            <w:noProof/>
            <w:webHidden/>
          </w:rPr>
          <w:fldChar w:fldCharType="end"/>
        </w:r>
      </w:hyperlink>
    </w:p>
    <w:p w14:paraId="0F973ED3" w14:textId="24896E26" w:rsidR="007F1AC5" w:rsidRDefault="00BE462A">
      <w:pPr>
        <w:pStyle w:val="TM3"/>
        <w:rPr>
          <w:rFonts w:eastAsiaTheme="minorEastAsia" w:cstheme="minorBidi"/>
          <w:noProof/>
        </w:rPr>
      </w:pPr>
      <w:hyperlink w:anchor="_Toc74557814" w:history="1">
        <w:r w:rsidR="007F1AC5" w:rsidRPr="001C5F87">
          <w:rPr>
            <w:rStyle w:val="Lienhypertexte"/>
            <w:noProof/>
          </w:rPr>
          <w:t>040/367-15 : Immeubles inoccupés et/ou délabrés</w:t>
        </w:r>
        <w:r w:rsidR="007F1AC5">
          <w:rPr>
            <w:noProof/>
            <w:webHidden/>
          </w:rPr>
          <w:tab/>
        </w:r>
        <w:r w:rsidR="007F1AC5">
          <w:rPr>
            <w:noProof/>
            <w:webHidden/>
          </w:rPr>
          <w:fldChar w:fldCharType="begin"/>
        </w:r>
        <w:r w:rsidR="007F1AC5">
          <w:rPr>
            <w:noProof/>
            <w:webHidden/>
          </w:rPr>
          <w:instrText xml:space="preserve"> PAGEREF _Toc74557814 \h </w:instrText>
        </w:r>
        <w:r w:rsidR="007F1AC5">
          <w:rPr>
            <w:noProof/>
            <w:webHidden/>
          </w:rPr>
        </w:r>
        <w:r w:rsidR="007F1AC5">
          <w:rPr>
            <w:noProof/>
            <w:webHidden/>
          </w:rPr>
          <w:fldChar w:fldCharType="separate"/>
        </w:r>
        <w:r w:rsidR="00B44836">
          <w:rPr>
            <w:noProof/>
            <w:webHidden/>
          </w:rPr>
          <w:t>167</w:t>
        </w:r>
        <w:r w:rsidR="007F1AC5">
          <w:rPr>
            <w:noProof/>
            <w:webHidden/>
          </w:rPr>
          <w:fldChar w:fldCharType="end"/>
        </w:r>
      </w:hyperlink>
    </w:p>
    <w:p w14:paraId="3851CC24" w14:textId="660C71DE" w:rsidR="007F1AC5" w:rsidRDefault="00BE462A">
      <w:pPr>
        <w:pStyle w:val="TM3"/>
        <w:rPr>
          <w:rFonts w:eastAsiaTheme="minorEastAsia" w:cstheme="minorBidi"/>
          <w:noProof/>
        </w:rPr>
      </w:pPr>
      <w:hyperlink w:anchor="_Toc74557815" w:history="1">
        <w:r w:rsidR="007F1AC5" w:rsidRPr="001C5F87">
          <w:rPr>
            <w:rStyle w:val="Lienhypertexte"/>
            <w:noProof/>
          </w:rPr>
          <w:t>040/367-18 : Piscines privées</w:t>
        </w:r>
        <w:r w:rsidR="007F1AC5">
          <w:rPr>
            <w:noProof/>
            <w:webHidden/>
          </w:rPr>
          <w:tab/>
        </w:r>
        <w:r w:rsidR="007F1AC5">
          <w:rPr>
            <w:noProof/>
            <w:webHidden/>
          </w:rPr>
          <w:fldChar w:fldCharType="begin"/>
        </w:r>
        <w:r w:rsidR="007F1AC5">
          <w:rPr>
            <w:noProof/>
            <w:webHidden/>
          </w:rPr>
          <w:instrText xml:space="preserve"> PAGEREF _Toc74557815 \h </w:instrText>
        </w:r>
        <w:r w:rsidR="007F1AC5">
          <w:rPr>
            <w:noProof/>
            <w:webHidden/>
          </w:rPr>
        </w:r>
        <w:r w:rsidR="007F1AC5">
          <w:rPr>
            <w:noProof/>
            <w:webHidden/>
          </w:rPr>
          <w:fldChar w:fldCharType="separate"/>
        </w:r>
        <w:r w:rsidR="00B44836">
          <w:rPr>
            <w:noProof/>
            <w:webHidden/>
          </w:rPr>
          <w:t>172</w:t>
        </w:r>
        <w:r w:rsidR="007F1AC5">
          <w:rPr>
            <w:noProof/>
            <w:webHidden/>
          </w:rPr>
          <w:fldChar w:fldCharType="end"/>
        </w:r>
      </w:hyperlink>
    </w:p>
    <w:p w14:paraId="3511505A" w14:textId="72FEBB23" w:rsidR="007F1AC5" w:rsidRDefault="00BE462A">
      <w:pPr>
        <w:pStyle w:val="TM3"/>
        <w:rPr>
          <w:rFonts w:eastAsiaTheme="minorEastAsia" w:cstheme="minorBidi"/>
          <w:noProof/>
        </w:rPr>
      </w:pPr>
      <w:hyperlink w:anchor="_Toc74557816" w:history="1">
        <w:r w:rsidR="007F1AC5" w:rsidRPr="001C5F87">
          <w:rPr>
            <w:rStyle w:val="Lienhypertexte"/>
            <w:noProof/>
          </w:rPr>
          <w:t>040/367-19 : Surfaces de bureau et locaux affectés à l'exercice d'une</w:t>
        </w:r>
        <w:r w:rsidR="007F1AC5" w:rsidRPr="001C5F87">
          <w:rPr>
            <w:rStyle w:val="Lienhypertexte"/>
            <w:i/>
            <w:noProof/>
          </w:rPr>
          <w:t xml:space="preserve"> </w:t>
        </w:r>
        <w:r w:rsidR="007F1AC5" w:rsidRPr="001C5F87">
          <w:rPr>
            <w:rStyle w:val="Lienhypertexte"/>
            <w:noProof/>
          </w:rPr>
          <w:t>profession libérale</w:t>
        </w:r>
        <w:r w:rsidR="007F1AC5">
          <w:rPr>
            <w:noProof/>
            <w:webHidden/>
          </w:rPr>
          <w:tab/>
        </w:r>
        <w:r w:rsidR="007F1AC5">
          <w:rPr>
            <w:noProof/>
            <w:webHidden/>
          </w:rPr>
          <w:fldChar w:fldCharType="begin"/>
        </w:r>
        <w:r w:rsidR="007F1AC5">
          <w:rPr>
            <w:noProof/>
            <w:webHidden/>
          </w:rPr>
          <w:instrText xml:space="preserve"> PAGEREF _Toc74557816 \h </w:instrText>
        </w:r>
        <w:r w:rsidR="007F1AC5">
          <w:rPr>
            <w:noProof/>
            <w:webHidden/>
          </w:rPr>
        </w:r>
        <w:r w:rsidR="007F1AC5">
          <w:rPr>
            <w:noProof/>
            <w:webHidden/>
          </w:rPr>
          <w:fldChar w:fldCharType="separate"/>
        </w:r>
        <w:r w:rsidR="00B44836">
          <w:rPr>
            <w:noProof/>
            <w:webHidden/>
          </w:rPr>
          <w:t>172</w:t>
        </w:r>
        <w:r w:rsidR="007F1AC5">
          <w:rPr>
            <w:noProof/>
            <w:webHidden/>
          </w:rPr>
          <w:fldChar w:fldCharType="end"/>
        </w:r>
      </w:hyperlink>
    </w:p>
    <w:p w14:paraId="74446D46" w14:textId="0498C79C" w:rsidR="007F1AC5" w:rsidRDefault="00BE462A">
      <w:pPr>
        <w:pStyle w:val="TM3"/>
        <w:rPr>
          <w:rFonts w:eastAsiaTheme="minorEastAsia" w:cstheme="minorBidi"/>
          <w:noProof/>
        </w:rPr>
      </w:pPr>
      <w:hyperlink w:anchor="_Toc74557817" w:history="1">
        <w:r w:rsidR="007F1AC5" w:rsidRPr="001C5F87">
          <w:rPr>
            <w:rStyle w:val="Lienhypertexte"/>
            <w:noProof/>
          </w:rPr>
          <w:t>040/367-20 : Surfaces commerciales</w:t>
        </w:r>
        <w:r w:rsidR="007F1AC5">
          <w:rPr>
            <w:noProof/>
            <w:webHidden/>
          </w:rPr>
          <w:tab/>
        </w:r>
        <w:r w:rsidR="007F1AC5">
          <w:rPr>
            <w:noProof/>
            <w:webHidden/>
          </w:rPr>
          <w:fldChar w:fldCharType="begin"/>
        </w:r>
        <w:r w:rsidR="007F1AC5">
          <w:rPr>
            <w:noProof/>
            <w:webHidden/>
          </w:rPr>
          <w:instrText xml:space="preserve"> PAGEREF _Toc74557817 \h </w:instrText>
        </w:r>
        <w:r w:rsidR="007F1AC5">
          <w:rPr>
            <w:noProof/>
            <w:webHidden/>
          </w:rPr>
        </w:r>
        <w:r w:rsidR="007F1AC5">
          <w:rPr>
            <w:noProof/>
            <w:webHidden/>
          </w:rPr>
          <w:fldChar w:fldCharType="separate"/>
        </w:r>
        <w:r w:rsidR="00B44836">
          <w:rPr>
            <w:noProof/>
            <w:webHidden/>
          </w:rPr>
          <w:t>173</w:t>
        </w:r>
        <w:r w:rsidR="007F1AC5">
          <w:rPr>
            <w:noProof/>
            <w:webHidden/>
          </w:rPr>
          <w:fldChar w:fldCharType="end"/>
        </w:r>
      </w:hyperlink>
    </w:p>
    <w:p w14:paraId="00211BCE" w14:textId="2FC34079" w:rsidR="007F1AC5" w:rsidRDefault="00BE462A">
      <w:pPr>
        <w:pStyle w:val="TM3"/>
        <w:rPr>
          <w:noProof/>
        </w:rPr>
      </w:pPr>
      <w:hyperlink w:anchor="_Toc74557818" w:history="1">
        <w:r w:rsidR="007F1AC5" w:rsidRPr="001C5F87">
          <w:rPr>
            <w:rStyle w:val="Lienhypertexte"/>
            <w:noProof/>
          </w:rPr>
          <w:t>040/367-48 : Eoliennes destinées à la production industrielle d'électricité</w:t>
        </w:r>
        <w:r w:rsidR="007F1AC5">
          <w:rPr>
            <w:noProof/>
            <w:webHidden/>
          </w:rPr>
          <w:tab/>
        </w:r>
        <w:r w:rsidR="007F1AC5">
          <w:rPr>
            <w:noProof/>
            <w:webHidden/>
          </w:rPr>
          <w:fldChar w:fldCharType="begin"/>
        </w:r>
        <w:r w:rsidR="007F1AC5">
          <w:rPr>
            <w:noProof/>
            <w:webHidden/>
          </w:rPr>
          <w:instrText xml:space="preserve"> PAGEREF _Toc74557818 \h </w:instrText>
        </w:r>
        <w:r w:rsidR="007F1AC5">
          <w:rPr>
            <w:noProof/>
            <w:webHidden/>
          </w:rPr>
        </w:r>
        <w:r w:rsidR="007F1AC5">
          <w:rPr>
            <w:noProof/>
            <w:webHidden/>
          </w:rPr>
          <w:fldChar w:fldCharType="separate"/>
        </w:r>
        <w:r w:rsidR="00B44836">
          <w:rPr>
            <w:noProof/>
            <w:webHidden/>
          </w:rPr>
          <w:t>173</w:t>
        </w:r>
        <w:r w:rsidR="007F1AC5">
          <w:rPr>
            <w:noProof/>
            <w:webHidden/>
          </w:rPr>
          <w:fldChar w:fldCharType="end"/>
        </w:r>
      </w:hyperlink>
    </w:p>
    <w:p w14:paraId="6C57D20A" w14:textId="1C60A4F9" w:rsidR="00D742BD" w:rsidRPr="00D742BD" w:rsidRDefault="00D742BD" w:rsidP="00D742BD">
      <w:pPr>
        <w:pStyle w:val="TM3"/>
        <w:rPr>
          <w:rFonts w:eastAsiaTheme="minorEastAsia"/>
        </w:rPr>
      </w:pPr>
      <w:r>
        <w:rPr>
          <w:rFonts w:eastAsiaTheme="minorEastAsia"/>
        </w:rPr>
        <w:t>04002/367-48 : Parking gratuit</w:t>
      </w:r>
      <w:r>
        <w:rPr>
          <w:rFonts w:eastAsiaTheme="minorEastAsia"/>
        </w:rPr>
        <w:tab/>
        <w:t>174</w:t>
      </w:r>
    </w:p>
    <w:p w14:paraId="11346D9A" w14:textId="72D4AE74" w:rsidR="007F1AC5" w:rsidRDefault="00BE462A">
      <w:pPr>
        <w:pStyle w:val="TM3"/>
        <w:rPr>
          <w:rFonts w:eastAsiaTheme="minorEastAsia" w:cstheme="minorBidi"/>
          <w:noProof/>
        </w:rPr>
      </w:pPr>
      <w:hyperlink w:anchor="_Toc74557819" w:history="1">
        <w:r w:rsidR="007F1AC5" w:rsidRPr="001C5F87">
          <w:rPr>
            <w:rStyle w:val="Lienhypertexte"/>
            <w:noProof/>
          </w:rPr>
          <w:t>040/368-02 : Chevaux d’agrément et les poneys (et haras)</w:t>
        </w:r>
        <w:r w:rsidR="007F1AC5">
          <w:rPr>
            <w:noProof/>
            <w:webHidden/>
          </w:rPr>
          <w:tab/>
        </w:r>
        <w:r w:rsidR="007F1AC5">
          <w:rPr>
            <w:noProof/>
            <w:webHidden/>
          </w:rPr>
          <w:fldChar w:fldCharType="begin"/>
        </w:r>
        <w:r w:rsidR="007F1AC5">
          <w:rPr>
            <w:noProof/>
            <w:webHidden/>
          </w:rPr>
          <w:instrText xml:space="preserve"> PAGEREF _Toc74557819 \h </w:instrText>
        </w:r>
        <w:r w:rsidR="007F1AC5">
          <w:rPr>
            <w:noProof/>
            <w:webHidden/>
          </w:rPr>
        </w:r>
        <w:r w:rsidR="007F1AC5">
          <w:rPr>
            <w:noProof/>
            <w:webHidden/>
          </w:rPr>
          <w:fldChar w:fldCharType="separate"/>
        </w:r>
        <w:r w:rsidR="00B44836">
          <w:rPr>
            <w:noProof/>
            <w:webHidden/>
          </w:rPr>
          <w:t>175</w:t>
        </w:r>
        <w:r w:rsidR="007F1AC5">
          <w:rPr>
            <w:noProof/>
            <w:webHidden/>
          </w:rPr>
          <w:fldChar w:fldCharType="end"/>
        </w:r>
      </w:hyperlink>
    </w:p>
    <w:p w14:paraId="235D7687" w14:textId="76FFBB44" w:rsidR="007F1AC5" w:rsidRDefault="00BE462A">
      <w:pPr>
        <w:pStyle w:val="TM3"/>
        <w:rPr>
          <w:rFonts w:eastAsiaTheme="minorEastAsia" w:cstheme="minorBidi"/>
          <w:noProof/>
        </w:rPr>
      </w:pPr>
      <w:hyperlink w:anchor="_Toc74557820" w:history="1">
        <w:r w:rsidR="007F1AC5" w:rsidRPr="001C5F87">
          <w:rPr>
            <w:rStyle w:val="Lienhypertexte"/>
            <w:noProof/>
          </w:rPr>
          <w:t>040/368-05 : Port d'armes</w:t>
        </w:r>
        <w:r w:rsidR="007F1AC5">
          <w:rPr>
            <w:noProof/>
            <w:webHidden/>
          </w:rPr>
          <w:tab/>
        </w:r>
        <w:r w:rsidR="007F1AC5">
          <w:rPr>
            <w:noProof/>
            <w:webHidden/>
          </w:rPr>
          <w:fldChar w:fldCharType="begin"/>
        </w:r>
        <w:r w:rsidR="007F1AC5">
          <w:rPr>
            <w:noProof/>
            <w:webHidden/>
          </w:rPr>
          <w:instrText xml:space="preserve"> PAGEREF _Toc74557820 \h </w:instrText>
        </w:r>
        <w:r w:rsidR="007F1AC5">
          <w:rPr>
            <w:noProof/>
            <w:webHidden/>
          </w:rPr>
        </w:r>
        <w:r w:rsidR="007F1AC5">
          <w:rPr>
            <w:noProof/>
            <w:webHidden/>
          </w:rPr>
          <w:fldChar w:fldCharType="separate"/>
        </w:r>
        <w:r w:rsidR="00B44836">
          <w:rPr>
            <w:noProof/>
            <w:webHidden/>
          </w:rPr>
          <w:t>175</w:t>
        </w:r>
        <w:r w:rsidR="007F1AC5">
          <w:rPr>
            <w:noProof/>
            <w:webHidden/>
          </w:rPr>
          <w:fldChar w:fldCharType="end"/>
        </w:r>
      </w:hyperlink>
    </w:p>
    <w:p w14:paraId="5398E91F" w14:textId="21789CEE" w:rsidR="007F1AC5" w:rsidRDefault="00BE462A">
      <w:pPr>
        <w:pStyle w:val="TM3"/>
        <w:rPr>
          <w:rFonts w:eastAsiaTheme="minorEastAsia" w:cstheme="minorBidi"/>
          <w:noProof/>
        </w:rPr>
      </w:pPr>
      <w:hyperlink w:anchor="_Toc74557821" w:history="1">
        <w:r w:rsidR="007F1AC5" w:rsidRPr="001C5F87">
          <w:rPr>
            <w:rStyle w:val="Lienhypertexte"/>
            <w:noProof/>
            <w:lang w:eastAsia="zh-CN"/>
          </w:rPr>
          <w:t>040/368-12 : Terrains de tennis privés</w:t>
        </w:r>
        <w:r w:rsidR="007F1AC5">
          <w:rPr>
            <w:noProof/>
            <w:webHidden/>
          </w:rPr>
          <w:tab/>
        </w:r>
        <w:r w:rsidR="007F1AC5">
          <w:rPr>
            <w:noProof/>
            <w:webHidden/>
          </w:rPr>
          <w:fldChar w:fldCharType="begin"/>
        </w:r>
        <w:r w:rsidR="007F1AC5">
          <w:rPr>
            <w:noProof/>
            <w:webHidden/>
          </w:rPr>
          <w:instrText xml:space="preserve"> PAGEREF _Toc74557821 \h </w:instrText>
        </w:r>
        <w:r w:rsidR="007F1AC5">
          <w:rPr>
            <w:noProof/>
            <w:webHidden/>
          </w:rPr>
        </w:r>
        <w:r w:rsidR="007F1AC5">
          <w:rPr>
            <w:noProof/>
            <w:webHidden/>
          </w:rPr>
          <w:fldChar w:fldCharType="separate"/>
        </w:r>
        <w:r w:rsidR="00B44836">
          <w:rPr>
            <w:noProof/>
            <w:webHidden/>
          </w:rPr>
          <w:t>175</w:t>
        </w:r>
        <w:r w:rsidR="007F1AC5">
          <w:rPr>
            <w:noProof/>
            <w:webHidden/>
          </w:rPr>
          <w:fldChar w:fldCharType="end"/>
        </w:r>
      </w:hyperlink>
    </w:p>
    <w:p w14:paraId="2C3432A3" w14:textId="4AFF9751" w:rsidR="007F1AC5" w:rsidRDefault="00BE462A">
      <w:pPr>
        <w:pStyle w:val="TM3"/>
        <w:rPr>
          <w:noProof/>
        </w:rPr>
      </w:pPr>
      <w:hyperlink w:anchor="_Toc74557822" w:history="1">
        <w:r w:rsidR="007F1AC5" w:rsidRPr="001C5F87">
          <w:rPr>
            <w:rStyle w:val="Lienhypertexte"/>
            <w:noProof/>
          </w:rPr>
          <w:t>040/368-15 : Golfs</w:t>
        </w:r>
        <w:r w:rsidR="007F1AC5">
          <w:rPr>
            <w:noProof/>
            <w:webHidden/>
          </w:rPr>
          <w:tab/>
        </w:r>
        <w:r w:rsidR="007F1AC5">
          <w:rPr>
            <w:noProof/>
            <w:webHidden/>
          </w:rPr>
          <w:fldChar w:fldCharType="begin"/>
        </w:r>
        <w:r w:rsidR="007F1AC5">
          <w:rPr>
            <w:noProof/>
            <w:webHidden/>
          </w:rPr>
          <w:instrText xml:space="preserve"> PAGEREF _Toc74557822 \h </w:instrText>
        </w:r>
        <w:r w:rsidR="007F1AC5">
          <w:rPr>
            <w:noProof/>
            <w:webHidden/>
          </w:rPr>
        </w:r>
        <w:r w:rsidR="007F1AC5">
          <w:rPr>
            <w:noProof/>
            <w:webHidden/>
          </w:rPr>
          <w:fldChar w:fldCharType="separate"/>
        </w:r>
        <w:r w:rsidR="00B44836">
          <w:rPr>
            <w:noProof/>
            <w:webHidden/>
          </w:rPr>
          <w:t>175</w:t>
        </w:r>
        <w:r w:rsidR="007F1AC5">
          <w:rPr>
            <w:noProof/>
            <w:webHidden/>
          </w:rPr>
          <w:fldChar w:fldCharType="end"/>
        </w:r>
      </w:hyperlink>
    </w:p>
    <w:p w14:paraId="4A5CD4AB" w14:textId="7E7DDD29" w:rsidR="00954208" w:rsidRPr="00F1013D" w:rsidRDefault="00954208" w:rsidP="00F1013D">
      <w:pPr>
        <w:pStyle w:val="TM2"/>
        <w:tabs>
          <w:tab w:val="left" w:pos="1701"/>
          <w:tab w:val="right" w:leader="underscore" w:pos="9062"/>
        </w:tabs>
        <w:rPr>
          <w:rFonts w:eastAsiaTheme="minorEastAsia"/>
        </w:rPr>
      </w:pPr>
      <w:r>
        <w:rPr>
          <w:rFonts w:eastAsiaTheme="minorEastAsia"/>
        </w:rPr>
        <w:t>VII.8.</w:t>
      </w:r>
      <w:r>
        <w:rPr>
          <w:rFonts w:eastAsiaTheme="minorEastAsia"/>
        </w:rPr>
        <w:tab/>
        <w:t>Taxes et redevances spécialement motivées par une situation particulière</w:t>
      </w:r>
      <w:r>
        <w:rPr>
          <w:rFonts w:eastAsiaTheme="minorEastAsia"/>
        </w:rPr>
        <w:tab/>
        <w:t>175</w:t>
      </w:r>
    </w:p>
    <w:p w14:paraId="0C2E5614" w14:textId="40C9ABCA" w:rsidR="007F1AC5" w:rsidRDefault="00BE462A">
      <w:pPr>
        <w:pStyle w:val="TM2"/>
        <w:tabs>
          <w:tab w:val="left" w:pos="1701"/>
          <w:tab w:val="right" w:leader="underscore" w:pos="9062"/>
        </w:tabs>
        <w:rPr>
          <w:rFonts w:eastAsiaTheme="minorEastAsia" w:cstheme="minorBidi"/>
          <w:b w:val="0"/>
          <w:bCs w:val="0"/>
          <w:noProof/>
        </w:rPr>
      </w:pPr>
      <w:hyperlink w:anchor="_Toc74557824" w:history="1">
        <w:r w:rsidR="007F1AC5" w:rsidRPr="001C5F87">
          <w:rPr>
            <w:rStyle w:val="Lienhypertexte"/>
            <w:noProof/>
          </w:rPr>
          <w:t>VII.</w:t>
        </w:r>
        <w:r w:rsidR="00954208">
          <w:rPr>
            <w:rStyle w:val="Lienhypertexte"/>
            <w:noProof/>
          </w:rPr>
          <w:t>9</w:t>
        </w:r>
        <w:r w:rsidR="007F1AC5" w:rsidRPr="001C5F87">
          <w:rPr>
            <w:rStyle w:val="Lienhypertexte"/>
            <w:noProof/>
          </w:rPr>
          <w:t>.</w:t>
        </w:r>
        <w:r w:rsidR="007F1AC5">
          <w:rPr>
            <w:rFonts w:eastAsiaTheme="minorEastAsia" w:cstheme="minorBidi"/>
            <w:b w:val="0"/>
            <w:bCs w:val="0"/>
            <w:noProof/>
          </w:rPr>
          <w:tab/>
        </w:r>
        <w:r w:rsidR="007F1AC5" w:rsidRPr="001C5F87">
          <w:rPr>
            <w:rStyle w:val="Lienhypertexte"/>
            <w:noProof/>
          </w:rPr>
          <w:t>Centimes additionnels, décime additionnel et impôts complémentaires</w:t>
        </w:r>
        <w:r w:rsidR="007F1AC5">
          <w:rPr>
            <w:noProof/>
            <w:webHidden/>
          </w:rPr>
          <w:tab/>
        </w:r>
        <w:r w:rsidR="007F1AC5">
          <w:rPr>
            <w:noProof/>
            <w:webHidden/>
          </w:rPr>
          <w:fldChar w:fldCharType="begin"/>
        </w:r>
        <w:r w:rsidR="007F1AC5">
          <w:rPr>
            <w:noProof/>
            <w:webHidden/>
          </w:rPr>
          <w:instrText xml:space="preserve"> PAGEREF _Toc74557824 \h </w:instrText>
        </w:r>
        <w:r w:rsidR="007F1AC5">
          <w:rPr>
            <w:noProof/>
            <w:webHidden/>
          </w:rPr>
        </w:r>
        <w:r w:rsidR="007F1AC5">
          <w:rPr>
            <w:noProof/>
            <w:webHidden/>
          </w:rPr>
          <w:fldChar w:fldCharType="separate"/>
        </w:r>
        <w:r w:rsidR="00B44836">
          <w:rPr>
            <w:noProof/>
            <w:webHidden/>
          </w:rPr>
          <w:t>176</w:t>
        </w:r>
        <w:r w:rsidR="007F1AC5">
          <w:rPr>
            <w:noProof/>
            <w:webHidden/>
          </w:rPr>
          <w:fldChar w:fldCharType="end"/>
        </w:r>
      </w:hyperlink>
    </w:p>
    <w:p w14:paraId="68A90771" w14:textId="16BD4BDF" w:rsidR="007F1AC5" w:rsidRDefault="00BE462A">
      <w:pPr>
        <w:pStyle w:val="TM3"/>
        <w:rPr>
          <w:noProof/>
        </w:rPr>
      </w:pPr>
      <w:hyperlink w:anchor="_Toc74557825" w:history="1">
        <w:r w:rsidR="007F1AC5" w:rsidRPr="001C5F87">
          <w:rPr>
            <w:rStyle w:val="Lienhypertexte"/>
            <w:noProof/>
          </w:rPr>
          <w:t>040/371-01 : Précompte immobilier - Centimes additionnels</w:t>
        </w:r>
        <w:r w:rsidR="007F1AC5">
          <w:rPr>
            <w:noProof/>
            <w:webHidden/>
          </w:rPr>
          <w:tab/>
        </w:r>
        <w:r w:rsidR="007F1AC5">
          <w:rPr>
            <w:noProof/>
            <w:webHidden/>
          </w:rPr>
          <w:fldChar w:fldCharType="begin"/>
        </w:r>
        <w:r w:rsidR="007F1AC5">
          <w:rPr>
            <w:noProof/>
            <w:webHidden/>
          </w:rPr>
          <w:instrText xml:space="preserve"> PAGEREF _Toc74557825 \h </w:instrText>
        </w:r>
        <w:r w:rsidR="007F1AC5">
          <w:rPr>
            <w:noProof/>
            <w:webHidden/>
          </w:rPr>
        </w:r>
        <w:r w:rsidR="007F1AC5">
          <w:rPr>
            <w:noProof/>
            <w:webHidden/>
          </w:rPr>
          <w:fldChar w:fldCharType="separate"/>
        </w:r>
        <w:r w:rsidR="00B44836">
          <w:rPr>
            <w:noProof/>
            <w:webHidden/>
          </w:rPr>
          <w:t>176</w:t>
        </w:r>
        <w:r w:rsidR="007F1AC5">
          <w:rPr>
            <w:noProof/>
            <w:webHidden/>
          </w:rPr>
          <w:fldChar w:fldCharType="end"/>
        </w:r>
      </w:hyperlink>
    </w:p>
    <w:p w14:paraId="72739020" w14:textId="0AFEEBF4" w:rsidR="00D742BD" w:rsidRPr="00D742BD" w:rsidRDefault="00D742BD" w:rsidP="00D742BD">
      <w:pPr>
        <w:pStyle w:val="TM3"/>
        <w:rPr>
          <w:rFonts w:eastAsiaTheme="minorEastAsia"/>
        </w:rPr>
      </w:pPr>
      <w:r>
        <w:rPr>
          <w:rFonts w:eastAsiaTheme="minorEastAsia"/>
        </w:rPr>
        <w:lastRenderedPageBreak/>
        <w:tab/>
        <w:t>Indicateur-expert</w:t>
      </w:r>
      <w:r>
        <w:rPr>
          <w:rFonts w:eastAsiaTheme="minorEastAsia"/>
        </w:rPr>
        <w:tab/>
        <w:t>177</w:t>
      </w:r>
    </w:p>
    <w:p w14:paraId="378F7383" w14:textId="63089971" w:rsidR="007F1AC5" w:rsidRDefault="00BE462A">
      <w:pPr>
        <w:pStyle w:val="TM3"/>
        <w:rPr>
          <w:rFonts w:eastAsiaTheme="minorEastAsia" w:cstheme="minorBidi"/>
          <w:noProof/>
        </w:rPr>
      </w:pPr>
      <w:hyperlink w:anchor="_Toc74557826" w:history="1">
        <w:r w:rsidR="007F1AC5" w:rsidRPr="001C5F87">
          <w:rPr>
            <w:rStyle w:val="Lienhypertexte"/>
            <w:noProof/>
          </w:rPr>
          <w:t>040/372-01 : Personnes physiques</w:t>
        </w:r>
        <w:r w:rsidR="007F1AC5">
          <w:rPr>
            <w:noProof/>
            <w:webHidden/>
          </w:rPr>
          <w:tab/>
        </w:r>
        <w:r w:rsidR="007F1AC5">
          <w:rPr>
            <w:noProof/>
            <w:webHidden/>
          </w:rPr>
          <w:fldChar w:fldCharType="begin"/>
        </w:r>
        <w:r w:rsidR="007F1AC5">
          <w:rPr>
            <w:noProof/>
            <w:webHidden/>
          </w:rPr>
          <w:instrText xml:space="preserve"> PAGEREF _Toc74557826 \h </w:instrText>
        </w:r>
        <w:r w:rsidR="007F1AC5">
          <w:rPr>
            <w:noProof/>
            <w:webHidden/>
          </w:rPr>
        </w:r>
        <w:r w:rsidR="007F1AC5">
          <w:rPr>
            <w:noProof/>
            <w:webHidden/>
          </w:rPr>
          <w:fldChar w:fldCharType="separate"/>
        </w:r>
        <w:r w:rsidR="00B44836">
          <w:rPr>
            <w:noProof/>
            <w:webHidden/>
          </w:rPr>
          <w:t>177</w:t>
        </w:r>
        <w:r w:rsidR="007F1AC5">
          <w:rPr>
            <w:noProof/>
            <w:webHidden/>
          </w:rPr>
          <w:fldChar w:fldCharType="end"/>
        </w:r>
      </w:hyperlink>
    </w:p>
    <w:p w14:paraId="154F2CED" w14:textId="26E391C5" w:rsidR="007F1AC5" w:rsidRDefault="00BE462A">
      <w:pPr>
        <w:pStyle w:val="TM3"/>
        <w:rPr>
          <w:rFonts w:eastAsiaTheme="minorEastAsia" w:cstheme="minorBidi"/>
          <w:noProof/>
        </w:rPr>
      </w:pPr>
      <w:hyperlink w:anchor="_Toc74557827" w:history="1">
        <w:r w:rsidR="007F1AC5" w:rsidRPr="001C5F87">
          <w:rPr>
            <w:rStyle w:val="Lienhypertexte"/>
            <w:noProof/>
          </w:rPr>
          <w:t>040/373-01 : Véhicules automobiles</w:t>
        </w:r>
        <w:r w:rsidR="007F1AC5">
          <w:rPr>
            <w:noProof/>
            <w:webHidden/>
          </w:rPr>
          <w:tab/>
        </w:r>
        <w:r w:rsidR="007F1AC5">
          <w:rPr>
            <w:noProof/>
            <w:webHidden/>
          </w:rPr>
          <w:fldChar w:fldCharType="begin"/>
        </w:r>
        <w:r w:rsidR="007F1AC5">
          <w:rPr>
            <w:noProof/>
            <w:webHidden/>
          </w:rPr>
          <w:instrText xml:space="preserve"> PAGEREF _Toc74557827 \h </w:instrText>
        </w:r>
        <w:r w:rsidR="007F1AC5">
          <w:rPr>
            <w:noProof/>
            <w:webHidden/>
          </w:rPr>
        </w:r>
        <w:r w:rsidR="007F1AC5">
          <w:rPr>
            <w:noProof/>
            <w:webHidden/>
          </w:rPr>
          <w:fldChar w:fldCharType="separate"/>
        </w:r>
        <w:r w:rsidR="00B44836">
          <w:rPr>
            <w:noProof/>
            <w:webHidden/>
          </w:rPr>
          <w:t>178</w:t>
        </w:r>
        <w:r w:rsidR="007F1AC5">
          <w:rPr>
            <w:noProof/>
            <w:webHidden/>
          </w:rPr>
          <w:fldChar w:fldCharType="end"/>
        </w:r>
      </w:hyperlink>
      <w:r w:rsidR="00D742BD">
        <w:rPr>
          <w:noProof/>
        </w:rPr>
        <w:t>8</w:t>
      </w:r>
    </w:p>
    <w:p w14:paraId="197B4CC1" w14:textId="7D718228" w:rsidR="007F1AC5" w:rsidRDefault="00BE462A">
      <w:pPr>
        <w:pStyle w:val="TM3"/>
        <w:rPr>
          <w:rFonts w:eastAsiaTheme="minorEastAsia" w:cstheme="minorBidi"/>
          <w:noProof/>
        </w:rPr>
      </w:pPr>
      <w:hyperlink w:anchor="_Toc74557828" w:history="1">
        <w:r w:rsidR="007F1AC5" w:rsidRPr="001C5F87">
          <w:rPr>
            <w:rStyle w:val="Lienhypertexte"/>
            <w:noProof/>
          </w:rPr>
          <w:t>04001/377-01 : Sites d'activité économique désaffectés</w:t>
        </w:r>
        <w:r w:rsidR="007F1AC5">
          <w:rPr>
            <w:noProof/>
            <w:webHidden/>
          </w:rPr>
          <w:tab/>
        </w:r>
        <w:r w:rsidR="007F1AC5">
          <w:rPr>
            <w:noProof/>
            <w:webHidden/>
          </w:rPr>
          <w:fldChar w:fldCharType="begin"/>
        </w:r>
        <w:r w:rsidR="007F1AC5">
          <w:rPr>
            <w:noProof/>
            <w:webHidden/>
          </w:rPr>
          <w:instrText xml:space="preserve"> PAGEREF _Toc74557828 \h </w:instrText>
        </w:r>
        <w:r w:rsidR="007F1AC5">
          <w:rPr>
            <w:noProof/>
            <w:webHidden/>
          </w:rPr>
        </w:r>
        <w:r w:rsidR="007F1AC5">
          <w:rPr>
            <w:noProof/>
            <w:webHidden/>
          </w:rPr>
          <w:fldChar w:fldCharType="separate"/>
        </w:r>
        <w:r w:rsidR="00B44836">
          <w:rPr>
            <w:noProof/>
            <w:webHidden/>
          </w:rPr>
          <w:t>178</w:t>
        </w:r>
        <w:r w:rsidR="007F1AC5">
          <w:rPr>
            <w:noProof/>
            <w:webHidden/>
          </w:rPr>
          <w:fldChar w:fldCharType="end"/>
        </w:r>
      </w:hyperlink>
    </w:p>
    <w:p w14:paraId="2A3C349F" w14:textId="0B5DDBBD" w:rsidR="007F1AC5" w:rsidRDefault="00BE462A">
      <w:pPr>
        <w:pStyle w:val="TM1"/>
        <w:rPr>
          <w:rFonts w:eastAsiaTheme="minorEastAsia" w:cstheme="minorBidi"/>
          <w:b w:val="0"/>
          <w:bCs w:val="0"/>
          <w:noProof/>
          <w:sz w:val="22"/>
          <w:szCs w:val="22"/>
        </w:rPr>
      </w:pPr>
      <w:hyperlink w:anchor="_Toc74557829" w:history="1">
        <w:r w:rsidR="007F1AC5" w:rsidRPr="001C5F87">
          <w:rPr>
            <w:rStyle w:val="Lienhypertexte"/>
            <w:noProof/>
          </w:rPr>
          <w:t>VIII.</w:t>
        </w:r>
        <w:r w:rsidR="007F1AC5">
          <w:rPr>
            <w:rFonts w:eastAsiaTheme="minorEastAsia" w:cstheme="minorBidi"/>
            <w:b w:val="0"/>
            <w:bCs w:val="0"/>
            <w:noProof/>
            <w:sz w:val="22"/>
            <w:szCs w:val="22"/>
          </w:rPr>
          <w:tab/>
        </w:r>
        <w:r w:rsidR="007F1AC5" w:rsidRPr="001C5F87">
          <w:rPr>
            <w:rStyle w:val="Lienhypertexte"/>
            <w:noProof/>
          </w:rPr>
          <w:t>Conclusion</w:t>
        </w:r>
        <w:r w:rsidR="007F1AC5">
          <w:rPr>
            <w:noProof/>
            <w:webHidden/>
          </w:rPr>
          <w:tab/>
        </w:r>
        <w:r w:rsidR="007F1AC5">
          <w:rPr>
            <w:noProof/>
            <w:webHidden/>
          </w:rPr>
          <w:fldChar w:fldCharType="begin"/>
        </w:r>
        <w:r w:rsidR="007F1AC5">
          <w:rPr>
            <w:noProof/>
            <w:webHidden/>
          </w:rPr>
          <w:instrText xml:space="preserve"> PAGEREF _Toc74557829 \h </w:instrText>
        </w:r>
        <w:r w:rsidR="007F1AC5">
          <w:rPr>
            <w:noProof/>
            <w:webHidden/>
          </w:rPr>
        </w:r>
        <w:r w:rsidR="007F1AC5">
          <w:rPr>
            <w:noProof/>
            <w:webHidden/>
          </w:rPr>
          <w:fldChar w:fldCharType="separate"/>
        </w:r>
        <w:r w:rsidR="00B44836">
          <w:rPr>
            <w:noProof/>
            <w:webHidden/>
          </w:rPr>
          <w:t>179</w:t>
        </w:r>
        <w:r w:rsidR="007F1AC5">
          <w:rPr>
            <w:noProof/>
            <w:webHidden/>
          </w:rPr>
          <w:fldChar w:fldCharType="end"/>
        </w:r>
      </w:hyperlink>
    </w:p>
    <w:p w14:paraId="2899DC57" w14:textId="77777777" w:rsidR="00B44836" w:rsidRDefault="00C10E4F" w:rsidP="0082681A">
      <w:pPr>
        <w:spacing w:after="200" w:line="276" w:lineRule="auto"/>
      </w:pPr>
      <w:r>
        <w:fldChar w:fldCharType="end"/>
      </w:r>
    </w:p>
    <w:p w14:paraId="59A641EB" w14:textId="77777777" w:rsidR="00371A15" w:rsidRDefault="00371A15" w:rsidP="0082681A">
      <w:pPr>
        <w:spacing w:after="200" w:line="276" w:lineRule="auto"/>
        <w:rPr>
          <w:rFonts w:cs="Arial"/>
        </w:rPr>
      </w:pPr>
    </w:p>
    <w:p w14:paraId="5007FFDB" w14:textId="463BB2C4" w:rsidR="007C4AAA" w:rsidRDefault="007C4AAA" w:rsidP="0082681A">
      <w:pPr>
        <w:spacing w:after="200" w:line="276" w:lineRule="auto"/>
        <w:rPr>
          <w:rFonts w:cs="Arial"/>
        </w:rPr>
      </w:pPr>
      <w:r w:rsidRPr="00780845">
        <w:rPr>
          <w:rFonts w:cs="Arial"/>
        </w:rPr>
        <w:t>L</w:t>
      </w:r>
      <w:r>
        <w:rPr>
          <w:rFonts w:cs="Arial"/>
        </w:rPr>
        <w:t xml:space="preserve">a présente circulaire remplace celle </w:t>
      </w:r>
      <w:r w:rsidRPr="00780845">
        <w:rPr>
          <w:rFonts w:cs="Arial"/>
        </w:rPr>
        <w:t xml:space="preserve">du </w:t>
      </w:r>
      <w:r w:rsidR="00D1182E">
        <w:rPr>
          <w:rFonts w:cs="Arial"/>
        </w:rPr>
        <w:t>8 juillet 2021</w:t>
      </w:r>
      <w:r w:rsidRPr="00ED3F85">
        <w:rPr>
          <w:rFonts w:cs="Arial"/>
        </w:rPr>
        <w:t>.</w:t>
      </w:r>
    </w:p>
    <w:p w14:paraId="40631371" w14:textId="77777777" w:rsidR="004A2669" w:rsidRPr="001E1353" w:rsidRDefault="007C4AAA">
      <w:pPr>
        <w:spacing w:after="200" w:line="276" w:lineRule="auto"/>
      </w:pPr>
      <w:r>
        <w:rPr>
          <w:rFonts w:cs="Arial"/>
        </w:rPr>
        <w:t xml:space="preserve">Par ailleurs, elle ne s’applique pas aux communes de la Communauté germanophone. </w:t>
      </w:r>
    </w:p>
    <w:p w14:paraId="33EDB942" w14:textId="0A012ACB" w:rsidR="004A2669" w:rsidRDefault="004A2669" w:rsidP="004A2669">
      <w:pPr>
        <w:pStyle w:val="Sam1"/>
        <w:rPr>
          <w:i w:val="0"/>
          <w:iCs/>
          <w:lang w:val="fr-FR"/>
        </w:rPr>
      </w:pPr>
      <w:bookmarkStart w:id="2" w:name="_Toc74557536"/>
      <w:r w:rsidRPr="008D7EB7">
        <w:rPr>
          <w:i w:val="0"/>
          <w:iCs/>
          <w:lang w:val="fr-FR"/>
        </w:rPr>
        <w:t>REFORMES EN COURS</w:t>
      </w:r>
      <w:bookmarkEnd w:id="2"/>
    </w:p>
    <w:p w14:paraId="69BB6E6E" w14:textId="77777777" w:rsidR="00D66EBD" w:rsidRDefault="00D66EBD" w:rsidP="00575B2A">
      <w:pPr>
        <w:pStyle w:val="Sam2"/>
      </w:pPr>
      <w:bookmarkStart w:id="3" w:name="_Toc6415573"/>
      <w:bookmarkStart w:id="4" w:name="_Toc6415883"/>
      <w:bookmarkStart w:id="5" w:name="_Toc6995492"/>
      <w:bookmarkStart w:id="6" w:name="_Toc6995797"/>
      <w:bookmarkStart w:id="7" w:name="_Toc6996101"/>
      <w:bookmarkStart w:id="8" w:name="_Toc6997592"/>
      <w:bookmarkStart w:id="9" w:name="_Toc7016367"/>
      <w:bookmarkStart w:id="10" w:name="_Toc7020535"/>
      <w:bookmarkStart w:id="11" w:name="_Toc7094596"/>
      <w:bookmarkStart w:id="12" w:name="_Toc8121616"/>
      <w:bookmarkStart w:id="13" w:name="_Toc8129557"/>
      <w:bookmarkStart w:id="14" w:name="_Toc6415574"/>
      <w:bookmarkStart w:id="15" w:name="_Toc6415884"/>
      <w:bookmarkStart w:id="16" w:name="_Toc6995493"/>
      <w:bookmarkStart w:id="17" w:name="_Toc6995798"/>
      <w:bookmarkStart w:id="18" w:name="_Toc6996102"/>
      <w:bookmarkStart w:id="19" w:name="_Toc6997593"/>
      <w:bookmarkStart w:id="20" w:name="_Toc7016368"/>
      <w:bookmarkStart w:id="21" w:name="_Toc7020536"/>
      <w:bookmarkStart w:id="22" w:name="_Toc7094597"/>
      <w:bookmarkStart w:id="23" w:name="_Toc8121617"/>
      <w:bookmarkStart w:id="24" w:name="_Toc8129558"/>
      <w:bookmarkStart w:id="25" w:name="_Toc6415575"/>
      <w:bookmarkStart w:id="26" w:name="_Toc6415885"/>
      <w:bookmarkStart w:id="27" w:name="_Toc6995494"/>
      <w:bookmarkStart w:id="28" w:name="_Toc6995799"/>
      <w:bookmarkStart w:id="29" w:name="_Toc6996103"/>
      <w:bookmarkStart w:id="30" w:name="_Toc6997594"/>
      <w:bookmarkStart w:id="31" w:name="_Toc7016369"/>
      <w:bookmarkStart w:id="32" w:name="_Toc7020537"/>
      <w:bookmarkStart w:id="33" w:name="_Toc7094598"/>
      <w:bookmarkStart w:id="34" w:name="_Toc8121618"/>
      <w:bookmarkStart w:id="35" w:name="_Toc8129559"/>
      <w:bookmarkStart w:id="36" w:name="_Toc6415576"/>
      <w:bookmarkStart w:id="37" w:name="_Toc6415886"/>
      <w:bookmarkStart w:id="38" w:name="_Toc6995495"/>
      <w:bookmarkStart w:id="39" w:name="_Toc6995800"/>
      <w:bookmarkStart w:id="40" w:name="_Toc6996104"/>
      <w:bookmarkStart w:id="41" w:name="_Toc6997595"/>
      <w:bookmarkStart w:id="42" w:name="_Toc7016370"/>
      <w:bookmarkStart w:id="43" w:name="_Toc7020538"/>
      <w:bookmarkStart w:id="44" w:name="_Toc7094599"/>
      <w:bookmarkStart w:id="45" w:name="_Toc8121619"/>
      <w:bookmarkStart w:id="46" w:name="_Toc8129560"/>
      <w:bookmarkStart w:id="47" w:name="_Toc6415577"/>
      <w:bookmarkStart w:id="48" w:name="_Toc6415887"/>
      <w:bookmarkStart w:id="49" w:name="_Toc6995496"/>
      <w:bookmarkStart w:id="50" w:name="_Toc6995801"/>
      <w:bookmarkStart w:id="51" w:name="_Toc6996105"/>
      <w:bookmarkStart w:id="52" w:name="_Toc6997596"/>
      <w:bookmarkStart w:id="53" w:name="_Toc7016371"/>
      <w:bookmarkStart w:id="54" w:name="_Toc7020539"/>
      <w:bookmarkStart w:id="55" w:name="_Toc7094600"/>
      <w:bookmarkStart w:id="56" w:name="_Toc8121620"/>
      <w:bookmarkStart w:id="57" w:name="_Toc8129561"/>
      <w:bookmarkStart w:id="58" w:name="_Toc6415578"/>
      <w:bookmarkStart w:id="59" w:name="_Toc6415888"/>
      <w:bookmarkStart w:id="60" w:name="_Toc6995497"/>
      <w:bookmarkStart w:id="61" w:name="_Toc6995802"/>
      <w:bookmarkStart w:id="62" w:name="_Toc6996106"/>
      <w:bookmarkStart w:id="63" w:name="_Toc6997597"/>
      <w:bookmarkStart w:id="64" w:name="_Toc7016372"/>
      <w:bookmarkStart w:id="65" w:name="_Toc7020540"/>
      <w:bookmarkStart w:id="66" w:name="_Toc7094601"/>
      <w:bookmarkStart w:id="67" w:name="_Toc8121621"/>
      <w:bookmarkStart w:id="68" w:name="_Toc8129562"/>
      <w:bookmarkStart w:id="69" w:name="_Toc6415579"/>
      <w:bookmarkStart w:id="70" w:name="_Toc6415889"/>
      <w:bookmarkStart w:id="71" w:name="_Toc6995498"/>
      <w:bookmarkStart w:id="72" w:name="_Toc6995803"/>
      <w:bookmarkStart w:id="73" w:name="_Toc6996107"/>
      <w:bookmarkStart w:id="74" w:name="_Toc6997598"/>
      <w:bookmarkStart w:id="75" w:name="_Toc7016373"/>
      <w:bookmarkStart w:id="76" w:name="_Toc7020541"/>
      <w:bookmarkStart w:id="77" w:name="_Toc7094602"/>
      <w:bookmarkStart w:id="78" w:name="_Toc8121622"/>
      <w:bookmarkStart w:id="79" w:name="_Toc8129563"/>
      <w:bookmarkStart w:id="80" w:name="_Toc6415580"/>
      <w:bookmarkStart w:id="81" w:name="_Toc6415890"/>
      <w:bookmarkStart w:id="82" w:name="_Toc6995499"/>
      <w:bookmarkStart w:id="83" w:name="_Toc6995804"/>
      <w:bookmarkStart w:id="84" w:name="_Toc6996108"/>
      <w:bookmarkStart w:id="85" w:name="_Toc6997599"/>
      <w:bookmarkStart w:id="86" w:name="_Toc7016374"/>
      <w:bookmarkStart w:id="87" w:name="_Toc7020542"/>
      <w:bookmarkStart w:id="88" w:name="_Toc7094603"/>
      <w:bookmarkStart w:id="89" w:name="_Toc8121623"/>
      <w:bookmarkStart w:id="90" w:name="_Toc8129564"/>
      <w:bookmarkStart w:id="91" w:name="_Toc745575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Programme stratégique transversal</w:t>
      </w:r>
      <w:bookmarkEnd w:id="91"/>
    </w:p>
    <w:p w14:paraId="5688511E" w14:textId="6BAEE906" w:rsidR="00D66EBD" w:rsidRDefault="003A0CE3" w:rsidP="0097709B">
      <w:pPr>
        <w:jc w:val="both"/>
      </w:pPr>
      <w:r w:rsidRPr="00394F8E">
        <w:t xml:space="preserve">Depuis </w:t>
      </w:r>
      <w:r w:rsidR="00D66EBD" w:rsidRPr="00394F8E">
        <w:t xml:space="preserve">le renouvellement intégral des </w:t>
      </w:r>
      <w:r w:rsidR="00386116" w:rsidRPr="00394F8E">
        <w:t>C</w:t>
      </w:r>
      <w:r w:rsidR="00D66EBD" w:rsidRPr="00394F8E">
        <w:t xml:space="preserve">onseils communaux à l’issue des élections locales du 14 octobre 2018, les communes et les CPAS </w:t>
      </w:r>
      <w:r w:rsidRPr="00394F8E">
        <w:t xml:space="preserve">doivent </w:t>
      </w:r>
      <w:r w:rsidR="00D66EBD" w:rsidRPr="00394F8E">
        <w:t xml:space="preserve">se doter d’un programme stratégique transversal. Outil de gestion pluriannuel, il </w:t>
      </w:r>
      <w:r w:rsidRPr="00394F8E">
        <w:t>donne</w:t>
      </w:r>
      <w:r w:rsidR="00D66EBD" w:rsidRPr="00394F8E">
        <w:t xml:space="preserve"> aux entités locales l’opportunité de définir et prioriser les objectifs stratégiques et opérationnels ainsi que les actions concrètes qu’elles entendent poursuivre tout au long de la législature. </w:t>
      </w:r>
    </w:p>
    <w:p w14:paraId="6E533F9E" w14:textId="77777777" w:rsidR="0097709B" w:rsidRPr="00394F8E" w:rsidRDefault="0097709B">
      <w:pPr>
        <w:jc w:val="both"/>
      </w:pPr>
    </w:p>
    <w:p w14:paraId="0B48C812" w14:textId="5BFD19BE" w:rsidR="00D66EBD" w:rsidRDefault="00D66EBD" w:rsidP="0097709B">
      <w:pPr>
        <w:jc w:val="both"/>
      </w:pPr>
      <w:r w:rsidRPr="00394F8E">
        <w:t>Pour chaque action concrète (ou projet), je vous invite à identifier les ressources financières nécessaires à sa bonne réalisation et à échelonner dans le temps le budget lié à l’action. Ce tableau de bord vous accompagnera dans la mise en place d’une démarche prospective et de planification budgétaire afin de favoriser une gestion financière saine au sein de votre structure.</w:t>
      </w:r>
    </w:p>
    <w:p w14:paraId="17D17F8B" w14:textId="77777777" w:rsidR="0097709B" w:rsidRPr="007B15CD" w:rsidRDefault="0097709B">
      <w:pPr>
        <w:jc w:val="both"/>
        <w:rPr>
          <w:sz w:val="10"/>
          <w:szCs w:val="10"/>
        </w:rPr>
      </w:pPr>
    </w:p>
    <w:p w14:paraId="2497FF13" w14:textId="4B63C0F9" w:rsidR="00E527B7" w:rsidRDefault="00E527B7" w:rsidP="008D7EB7">
      <w:r w:rsidRPr="00394F8E">
        <w:t xml:space="preserve">Un guide </w:t>
      </w:r>
      <w:r w:rsidR="00A37554" w:rsidRPr="00394F8E">
        <w:t>méthodologique est disponible sur le Portail des Pouvoirs locaux.</w:t>
      </w:r>
    </w:p>
    <w:p w14:paraId="4CEEFF80" w14:textId="07CCB2B0" w:rsidR="00902F4F" w:rsidRPr="007B15CD" w:rsidRDefault="00902F4F" w:rsidP="008D7EB7">
      <w:pPr>
        <w:rPr>
          <w:sz w:val="10"/>
          <w:szCs w:val="10"/>
        </w:rPr>
      </w:pPr>
    </w:p>
    <w:p w14:paraId="1F4EA3E4" w14:textId="7AA15C32" w:rsidR="00902F4F" w:rsidRDefault="00902F4F" w:rsidP="00902F4F">
      <w:r w:rsidRPr="00902F4F">
        <w:t xml:space="preserve">Par ailleurs, le SPW IAS mets à votre disposition un module de gestion du PST intégré à l’applicatif </w:t>
      </w:r>
      <w:proofErr w:type="spellStart"/>
      <w:r w:rsidRPr="00902F4F">
        <w:t>eComptes</w:t>
      </w:r>
      <w:proofErr w:type="spellEnd"/>
      <w:r w:rsidRPr="00902F4F">
        <w:t xml:space="preserve"> (voir documentation en ligne : </w:t>
      </w:r>
      <w:hyperlink r:id="rId8" w:history="1">
        <w:r w:rsidRPr="00902F4F">
          <w:rPr>
            <w:rStyle w:val="Lienhypertexte"/>
          </w:rPr>
          <w:t>http://ecomptes.wallonie.be/ecomptes/index.php?PST</w:t>
        </w:r>
      </w:hyperlink>
      <w:r w:rsidRPr="00902F4F">
        <w:t xml:space="preserve"> ).</w:t>
      </w:r>
    </w:p>
    <w:p w14:paraId="52EFAD9A" w14:textId="669A2B79" w:rsidR="00902F4F" w:rsidRDefault="00902F4F" w:rsidP="008D7EB7"/>
    <w:p w14:paraId="301FA0D3" w14:textId="0DE5996E" w:rsidR="00BC0FFE" w:rsidRPr="00493337" w:rsidRDefault="00BC0FFE" w:rsidP="008D7EB7">
      <w:pPr>
        <w:pStyle w:val="Sam2"/>
      </w:pPr>
      <w:bookmarkStart w:id="92" w:name="_Toc40185126"/>
      <w:bookmarkStart w:id="93" w:name="_Toc40185861"/>
      <w:bookmarkStart w:id="94" w:name="_Toc40185127"/>
      <w:bookmarkStart w:id="95" w:name="_Toc40185862"/>
      <w:bookmarkStart w:id="96" w:name="_Toc40185128"/>
      <w:bookmarkStart w:id="97" w:name="_Toc40185863"/>
      <w:bookmarkStart w:id="98" w:name="_Toc40185129"/>
      <w:bookmarkStart w:id="99" w:name="_Toc40185864"/>
      <w:bookmarkStart w:id="100" w:name="_Toc40185130"/>
      <w:bookmarkStart w:id="101" w:name="_Toc40185865"/>
      <w:bookmarkStart w:id="102" w:name="_Toc40185131"/>
      <w:bookmarkStart w:id="103" w:name="_Toc40185866"/>
      <w:bookmarkStart w:id="104" w:name="_Toc40185132"/>
      <w:bookmarkStart w:id="105" w:name="_Toc40185867"/>
      <w:bookmarkStart w:id="106" w:name="_Toc40185133"/>
      <w:bookmarkStart w:id="107" w:name="_Toc40185868"/>
      <w:bookmarkStart w:id="108" w:name="_Toc40185134"/>
      <w:bookmarkStart w:id="109" w:name="_Toc40185869"/>
      <w:bookmarkStart w:id="110" w:name="_Toc40185135"/>
      <w:bookmarkStart w:id="111" w:name="_Toc40185870"/>
      <w:bookmarkStart w:id="112" w:name="_Toc40185136"/>
      <w:bookmarkStart w:id="113" w:name="_Toc40185871"/>
      <w:bookmarkStart w:id="114" w:name="_Toc7455753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493337">
        <w:t xml:space="preserve">Code de recouvrement </w:t>
      </w:r>
      <w:bookmarkEnd w:id="114"/>
    </w:p>
    <w:p w14:paraId="67F9D041" w14:textId="77777777" w:rsidR="009A4C4F" w:rsidRDefault="009A4C4F" w:rsidP="009A4C4F">
      <w:pPr>
        <w:jc w:val="both"/>
      </w:pPr>
      <w:r>
        <w:t>La loi du 13 avril 2019 a introduit le Code du recouvrement amiable et forcé des créances fiscales et non fiscales (ci-après CRAF) et a modifié ou abrogé certaines dispositions du Code des impôts sur les revenus, dispositions auxquelles fait référence le Code de la Démocratie Locale et de la Décentralisation (ci-après CDLD).</w:t>
      </w:r>
    </w:p>
    <w:p w14:paraId="75B735D6" w14:textId="77777777" w:rsidR="009A4C4F" w:rsidRPr="007B15CD" w:rsidRDefault="009A4C4F" w:rsidP="009A4C4F">
      <w:pPr>
        <w:jc w:val="both"/>
        <w:rPr>
          <w:sz w:val="10"/>
          <w:szCs w:val="10"/>
        </w:rPr>
      </w:pPr>
    </w:p>
    <w:p w14:paraId="109945FC" w14:textId="77777777" w:rsidR="009A4C4F" w:rsidRDefault="009A4C4F" w:rsidP="009A4C4F">
      <w:pPr>
        <w:jc w:val="both"/>
      </w:pPr>
      <w:r>
        <w:t>Ce nouveau dispositif n’est pas sans effets sur les législations régionales et les dispositions qui leur font référence.</w:t>
      </w:r>
    </w:p>
    <w:p w14:paraId="631E961B" w14:textId="77777777" w:rsidR="009A4C4F" w:rsidRDefault="009A4C4F" w:rsidP="009A4C4F">
      <w:pPr>
        <w:jc w:val="both"/>
      </w:pPr>
    </w:p>
    <w:p w14:paraId="2771878A" w14:textId="74F7BB79" w:rsidR="009A4C4F" w:rsidRDefault="009A4C4F" w:rsidP="009A4C4F">
      <w:pPr>
        <w:jc w:val="both"/>
      </w:pPr>
      <w:r>
        <w:t xml:space="preserve">Afin d’intégrer les modifications apportées par le CRAF, le CDLD a été modifié afin de répondre aux problématiques soulevées </w:t>
      </w:r>
      <w:proofErr w:type="gramStart"/>
      <w:r>
        <w:t>suite à</w:t>
      </w:r>
      <w:proofErr w:type="gramEnd"/>
      <w:r>
        <w:t xml:space="preserve"> l’entrée en vigueur au 1er janvier 2020 du CRAF.</w:t>
      </w:r>
    </w:p>
    <w:p w14:paraId="2DAAE736" w14:textId="56C001DE" w:rsidR="00B225DE" w:rsidRDefault="009A4C4F">
      <w:pPr>
        <w:jc w:val="both"/>
      </w:pPr>
      <w:r>
        <w:t>Dès lors qu’un projet de modifications du CDLD est en cours, une circulaire spécifique vous sera transmise dès que les dispositions légales auront été adoptées</w:t>
      </w:r>
      <w:r w:rsidR="00A90ED9">
        <w:t>.</w:t>
      </w:r>
      <w:r>
        <w:t xml:space="preserve"> </w:t>
      </w:r>
    </w:p>
    <w:p w14:paraId="5EE77337" w14:textId="77777777" w:rsidR="006843B9" w:rsidRPr="007B15CD" w:rsidRDefault="006843B9">
      <w:pPr>
        <w:jc w:val="both"/>
        <w:rPr>
          <w:sz w:val="10"/>
          <w:szCs w:val="10"/>
        </w:rPr>
      </w:pPr>
    </w:p>
    <w:p w14:paraId="3FE63C78" w14:textId="5F2A93C3" w:rsidR="00A81D09" w:rsidRPr="00276F16" w:rsidRDefault="00A81D09" w:rsidP="008D7EB7">
      <w:pPr>
        <w:pStyle w:val="Sam2"/>
      </w:pPr>
      <w:bookmarkStart w:id="115" w:name="_Toc40185138"/>
      <w:bookmarkStart w:id="116" w:name="_Toc40185873"/>
      <w:bookmarkStart w:id="117" w:name="_Toc40185139"/>
      <w:bookmarkStart w:id="118" w:name="_Toc40185874"/>
      <w:bookmarkStart w:id="119" w:name="_Toc74557539"/>
      <w:bookmarkEnd w:id="115"/>
      <w:bookmarkEnd w:id="116"/>
      <w:bookmarkEnd w:id="117"/>
      <w:bookmarkEnd w:id="118"/>
      <w:r w:rsidRPr="00276F16">
        <w:lastRenderedPageBreak/>
        <w:t>Recouvrement amiable et forcé</w:t>
      </w:r>
      <w:bookmarkEnd w:id="119"/>
      <w:r w:rsidRPr="00276F16">
        <w:t xml:space="preserve"> </w:t>
      </w:r>
    </w:p>
    <w:p w14:paraId="0AB63997" w14:textId="15B3CA88" w:rsidR="00E457FF" w:rsidRDefault="0062559D" w:rsidP="00BC0B0B">
      <w:pPr>
        <w:spacing w:after="120"/>
        <w:jc w:val="both"/>
      </w:pPr>
      <w:r w:rsidRPr="00394F8E">
        <w:t>Il peut être fréquent</w:t>
      </w:r>
      <w:r w:rsidR="00FB29DE">
        <w:t>, compte tenu notamment de la situation générale de ces dernières années,</w:t>
      </w:r>
      <w:r w:rsidRPr="00394F8E">
        <w:t xml:space="preserve"> que les ménages ne payent pas certaines taxes et redevances</w:t>
      </w:r>
      <w:r w:rsidR="00D91F07">
        <w:t xml:space="preserve"> et autres créances</w:t>
      </w:r>
      <w:r w:rsidR="00E010CC" w:rsidRPr="00394F8E">
        <w:t xml:space="preserve">. </w:t>
      </w:r>
    </w:p>
    <w:p w14:paraId="0BAB3A3D" w14:textId="2F0C1BC4" w:rsidR="0062559D" w:rsidRDefault="00E010CC" w:rsidP="00BC0B0B">
      <w:pPr>
        <w:spacing w:after="120"/>
        <w:jc w:val="both"/>
      </w:pPr>
      <w:r w:rsidRPr="00394F8E">
        <w:t>Ce manquement peut relever d’une certaine inattention, de difficultés financières</w:t>
      </w:r>
      <w:r w:rsidR="00E457FF" w:rsidRPr="00394F8E">
        <w:t>, momentanées ou permanentes,</w:t>
      </w:r>
      <w:r w:rsidRPr="00394F8E">
        <w:t xml:space="preserve"> </w:t>
      </w:r>
      <w:r w:rsidR="001044C0" w:rsidRPr="00394F8E">
        <w:t>accompagnées de</w:t>
      </w:r>
      <w:r w:rsidRPr="00394F8E">
        <w:t xml:space="preserve"> la méconnaissance des conséquences </w:t>
      </w:r>
      <w:r w:rsidR="00E457FF" w:rsidRPr="00394F8E">
        <w:t xml:space="preserve">qu’une absence de réaction peut engendrer </w:t>
      </w:r>
      <w:r w:rsidRPr="00394F8E">
        <w:t>ou enfin de la volonté de ne pas satisfaire</w:t>
      </w:r>
      <w:r w:rsidR="00AB3AB0" w:rsidRPr="00394F8E">
        <w:t xml:space="preserve"> aux obligations citoyennes.</w:t>
      </w:r>
    </w:p>
    <w:p w14:paraId="6223F167" w14:textId="52D7A91B" w:rsidR="00E457FF" w:rsidRDefault="00E457FF" w:rsidP="00BC0B0B">
      <w:pPr>
        <w:spacing w:after="120"/>
        <w:jc w:val="both"/>
      </w:pPr>
      <w:r w:rsidRPr="00394F8E">
        <w:t>Au niveau de la procédure de recouvrement</w:t>
      </w:r>
      <w:r w:rsidR="00366C28" w:rsidRPr="00394F8E">
        <w:t xml:space="preserve"> ainsi que des éventuels frais y liés</w:t>
      </w:r>
      <w:r w:rsidRPr="00394F8E">
        <w:t xml:space="preserve">, </w:t>
      </w:r>
      <w:r w:rsidR="00AB3AB0" w:rsidRPr="00394F8E">
        <w:t>j</w:t>
      </w:r>
      <w:r w:rsidRPr="00394F8E">
        <w:t xml:space="preserve">’insiste sur </w:t>
      </w:r>
      <w:r w:rsidR="00AB3AB0" w:rsidRPr="00394F8E">
        <w:t xml:space="preserve">l’importance d’informer </w:t>
      </w:r>
      <w:r w:rsidRPr="00394F8E">
        <w:t xml:space="preserve">au mieux et </w:t>
      </w:r>
      <w:r w:rsidR="00AB3AB0" w:rsidRPr="00394F8E">
        <w:t>correctement le redevable</w:t>
      </w:r>
      <w:r w:rsidRPr="00394F8E">
        <w:t>.</w:t>
      </w:r>
    </w:p>
    <w:p w14:paraId="5B6922B9" w14:textId="554E7919" w:rsidR="00366C28" w:rsidRDefault="00E457FF" w:rsidP="00BC0B0B">
      <w:pPr>
        <w:spacing w:after="120"/>
        <w:jc w:val="both"/>
      </w:pPr>
      <w:r w:rsidRPr="00394F8E">
        <w:t xml:space="preserve">Cette information </w:t>
      </w:r>
      <w:r w:rsidR="00366C28" w:rsidRPr="00394F8E">
        <w:t>peut être</w:t>
      </w:r>
      <w:r w:rsidRPr="00394F8E">
        <w:t xml:space="preserve"> réalisée</w:t>
      </w:r>
      <w:r w:rsidR="00AB3AB0" w:rsidRPr="00394F8E">
        <w:t xml:space="preserve"> par le biai</w:t>
      </w:r>
      <w:r w:rsidR="00326CD6" w:rsidRPr="00394F8E">
        <w:t>s</w:t>
      </w:r>
      <w:r w:rsidR="00AB3AB0" w:rsidRPr="00394F8E">
        <w:t xml:space="preserve"> notamment </w:t>
      </w:r>
      <w:r w:rsidR="00366C28" w:rsidRPr="00394F8E">
        <w:t xml:space="preserve">de mentions intégrées dans </w:t>
      </w:r>
      <w:r w:rsidR="001044C0" w:rsidRPr="00394F8E">
        <w:t>les rappels</w:t>
      </w:r>
      <w:r w:rsidR="00AB3AB0" w:rsidRPr="00394F8E">
        <w:t>, ordinaires et par recommandé</w:t>
      </w:r>
      <w:r w:rsidRPr="00394F8E">
        <w:t xml:space="preserve">. </w:t>
      </w:r>
    </w:p>
    <w:p w14:paraId="2C1B322C" w14:textId="60AA24DC" w:rsidR="00AB3AB0" w:rsidRPr="00992DED" w:rsidRDefault="00366C28" w:rsidP="00BC0B0B">
      <w:pPr>
        <w:spacing w:after="120"/>
        <w:jc w:val="both"/>
      </w:pPr>
      <w:r w:rsidRPr="00394F8E">
        <w:t>I</w:t>
      </w:r>
      <w:r w:rsidR="00E457FF" w:rsidRPr="00394F8E">
        <w:t xml:space="preserve">l est </w:t>
      </w:r>
      <w:r w:rsidRPr="00394F8E">
        <w:t xml:space="preserve">en effet </w:t>
      </w:r>
      <w:r w:rsidR="00E457FF" w:rsidRPr="00394F8E">
        <w:t>opportun d’informer le redevable</w:t>
      </w:r>
      <w:r w:rsidR="00AB3AB0" w:rsidRPr="00394F8E">
        <w:t>, d’une part, des conséquences financières liées au transmis de leur dossier entre les mains d’un huissier</w:t>
      </w:r>
      <w:r w:rsidRPr="00394F8E">
        <w:t xml:space="preserve"> en cas d’absence de paiement et, d’autre part,</w:t>
      </w:r>
      <w:r w:rsidR="00E457FF" w:rsidRPr="00394F8E">
        <w:t xml:space="preserve"> des possibilités éventuelles d’obtenir un plan d’apurement sans </w:t>
      </w:r>
      <w:r w:rsidRPr="00394F8E">
        <w:t xml:space="preserve">que cela </w:t>
      </w:r>
      <w:r w:rsidRPr="00992DED">
        <w:t xml:space="preserve">n’engendre de </w:t>
      </w:r>
      <w:r w:rsidR="00E457FF" w:rsidRPr="00992DED">
        <w:t>frais exagérés</w:t>
      </w:r>
      <w:r w:rsidR="00AB3AB0" w:rsidRPr="00992DED">
        <w:t>.</w:t>
      </w:r>
    </w:p>
    <w:p w14:paraId="1AB7452E" w14:textId="160D873A" w:rsidR="00366C28" w:rsidRPr="00992DED" w:rsidRDefault="0006327F" w:rsidP="00BC0B0B">
      <w:pPr>
        <w:spacing w:after="120"/>
        <w:jc w:val="both"/>
      </w:pPr>
      <w:bookmarkStart w:id="120" w:name="_Hlk44077726"/>
      <w:bookmarkStart w:id="121" w:name="_Hlk44594773"/>
      <w:r w:rsidRPr="00992DED">
        <w:rPr>
          <w:rFonts w:asciiTheme="minorHAnsi" w:hAnsiTheme="minorHAnsi" w:cstheme="minorHAnsi"/>
        </w:rPr>
        <w:t xml:space="preserve">Par ailleurs, il est rappelé qu’existe au sein du CPAS au-delà des services d’octroi un service de médiation. </w:t>
      </w:r>
      <w:r w:rsidR="00BC0B0B" w:rsidRPr="00992DED">
        <w:rPr>
          <w:rFonts w:asciiTheme="minorHAnsi" w:hAnsiTheme="minorHAnsi" w:cstheme="minorHAnsi"/>
        </w:rPr>
        <w:t>C</w:t>
      </w:r>
      <w:r w:rsidRPr="00992DED">
        <w:rPr>
          <w:rFonts w:asciiTheme="minorHAnsi" w:hAnsiTheme="minorHAnsi" w:cstheme="minorHAnsi"/>
        </w:rPr>
        <w:t xml:space="preserve">es services ont toute </w:t>
      </w:r>
      <w:r w:rsidR="00BC0B0B" w:rsidRPr="00992DED">
        <w:rPr>
          <w:rFonts w:asciiTheme="minorHAnsi" w:hAnsiTheme="minorHAnsi" w:cstheme="minorHAnsi"/>
        </w:rPr>
        <w:t>leur</w:t>
      </w:r>
      <w:r w:rsidRPr="00992DED">
        <w:rPr>
          <w:rFonts w:asciiTheme="minorHAnsi" w:hAnsiTheme="minorHAnsi" w:cstheme="minorHAnsi"/>
        </w:rPr>
        <w:t xml:space="preserve"> utilité pour anticiper toute dégradation </w:t>
      </w:r>
      <w:r w:rsidR="00BC0B0B" w:rsidRPr="00992DED">
        <w:rPr>
          <w:rFonts w:asciiTheme="minorHAnsi" w:hAnsiTheme="minorHAnsi" w:cstheme="minorHAnsi"/>
        </w:rPr>
        <w:t xml:space="preserve">financière </w:t>
      </w:r>
      <w:r w:rsidRPr="00992DED">
        <w:rPr>
          <w:rFonts w:asciiTheme="minorHAnsi" w:hAnsiTheme="minorHAnsi" w:cstheme="minorHAnsi"/>
        </w:rPr>
        <w:t>supplémentaire.</w:t>
      </w:r>
      <w:bookmarkEnd w:id="120"/>
    </w:p>
    <w:bookmarkEnd w:id="121"/>
    <w:p w14:paraId="2CB5EE1D" w14:textId="31BE1E20" w:rsidR="00AB3AB0" w:rsidRPr="00992DED" w:rsidRDefault="00AB3AB0" w:rsidP="00BC0B0B">
      <w:pPr>
        <w:spacing w:after="120"/>
        <w:jc w:val="both"/>
      </w:pPr>
      <w:r w:rsidRPr="00992DED">
        <w:t xml:space="preserve">Concernant le recouvrement </w:t>
      </w:r>
      <w:r w:rsidR="009B70C6" w:rsidRPr="00992DED">
        <w:t>de dossiers transmis aux huissiers</w:t>
      </w:r>
      <w:r w:rsidRPr="00992DED">
        <w:t xml:space="preserve">, </w:t>
      </w:r>
      <w:r w:rsidRPr="00256E9F">
        <w:rPr>
          <w:b/>
          <w:bCs/>
        </w:rPr>
        <w:t>j</w:t>
      </w:r>
      <w:r w:rsidR="009B70C6" w:rsidRPr="00256E9F">
        <w:rPr>
          <w:b/>
          <w:bCs/>
        </w:rPr>
        <w:t xml:space="preserve">’insiste </w:t>
      </w:r>
      <w:r w:rsidR="009B70C6" w:rsidRPr="00992DED">
        <w:t>pour que vous informiez</w:t>
      </w:r>
      <w:r w:rsidRPr="00992DED">
        <w:t xml:space="preserve"> les redeva</w:t>
      </w:r>
      <w:r w:rsidR="009B70C6" w:rsidRPr="00992DED">
        <w:t>b</w:t>
      </w:r>
      <w:r w:rsidRPr="00992DED">
        <w:t>les des frais de procédure</w:t>
      </w:r>
      <w:r w:rsidR="009B70C6" w:rsidRPr="00992DED">
        <w:t xml:space="preserve"> auxquels ils pourraient être soumis</w:t>
      </w:r>
      <w:r w:rsidR="00B05C5F" w:rsidRPr="00992DED">
        <w:t>, et surtout</w:t>
      </w:r>
      <w:r w:rsidR="009B70C6" w:rsidRPr="00992DED">
        <w:t xml:space="preserve"> les différentes gradations</w:t>
      </w:r>
      <w:r w:rsidR="00B05C5F" w:rsidRPr="00992DED">
        <w:t xml:space="preserve"> au niveau de ces frais.</w:t>
      </w:r>
    </w:p>
    <w:p w14:paraId="20C0E10D" w14:textId="5AB238DD" w:rsidR="00B05C5F" w:rsidRDefault="00B05C5F" w:rsidP="00BC0B0B">
      <w:pPr>
        <w:spacing w:after="120"/>
        <w:jc w:val="both"/>
      </w:pPr>
      <w:r w:rsidRPr="00992DED">
        <w:t xml:space="preserve">Ces informations pourraient </w:t>
      </w:r>
      <w:r w:rsidR="00BC0B0B" w:rsidRPr="00992DED">
        <w:t xml:space="preserve">également </w:t>
      </w:r>
      <w:r w:rsidRPr="00992DED">
        <w:t>utilement</w:t>
      </w:r>
      <w:r w:rsidRPr="00394F8E">
        <w:t xml:space="preserve"> accompagner les rappels envoyés par courrier ordinaire ou par courrier recommandé.</w:t>
      </w:r>
    </w:p>
    <w:p w14:paraId="26D6B0D8" w14:textId="1F147426" w:rsidR="000E694D" w:rsidRDefault="009A4C4F" w:rsidP="00541AFA">
      <w:pPr>
        <w:jc w:val="both"/>
      </w:pPr>
      <w:r w:rsidRPr="009A4C4F">
        <w:t xml:space="preserve">Concernant le recours aux huissiers, il y a lieu de transmettre une copie du règlement en rapport avec les sommes recouvrées. De plus, </w:t>
      </w:r>
      <w:r w:rsidR="000E694D">
        <w:t>il est indispensable</w:t>
      </w:r>
      <w:r w:rsidRPr="009A4C4F">
        <w:t xml:space="preserve"> que les communes puissent juger de la qualité de la mission qu’elles donnent aux huissiers qu’elles mandatent</w:t>
      </w:r>
      <w:r w:rsidR="000E694D">
        <w:t>.</w:t>
      </w:r>
    </w:p>
    <w:p w14:paraId="7227014C" w14:textId="386341BC" w:rsidR="000E694D" w:rsidRDefault="000E694D" w:rsidP="00541AFA">
      <w:pPr>
        <w:jc w:val="both"/>
      </w:pPr>
      <w:r>
        <w:t>D</w:t>
      </w:r>
      <w:r w:rsidR="009A4C4F" w:rsidRPr="009A4C4F">
        <w:t xml:space="preserve">ans cet objectif, </w:t>
      </w:r>
      <w:r w:rsidR="00DC6282">
        <w:t xml:space="preserve">il est utile que les communes </w:t>
      </w:r>
      <w:r w:rsidR="009A4C4F" w:rsidRPr="009A4C4F">
        <w:t xml:space="preserve">établissent un rapport tant sur la situation des ménages concernés que sur </w:t>
      </w:r>
      <w:r w:rsidR="00DC6282">
        <w:t>la hauteur d</w:t>
      </w:r>
      <w:r w:rsidR="009A4C4F" w:rsidRPr="009A4C4F">
        <w:t>es frais engagés</w:t>
      </w:r>
      <w:r w:rsidR="00DC6282">
        <w:t>, la fréquence des actes posés</w:t>
      </w:r>
      <w:r w:rsidR="009A4C4F" w:rsidRPr="009A4C4F">
        <w:t xml:space="preserve"> et </w:t>
      </w:r>
      <w:r w:rsidR="00DC6282">
        <w:t xml:space="preserve">les </w:t>
      </w:r>
      <w:r w:rsidR="009A4C4F" w:rsidRPr="009A4C4F">
        <w:t>montants recouvrés à charge de ces mêmes ménages.</w:t>
      </w:r>
    </w:p>
    <w:p w14:paraId="0B39BA2D" w14:textId="769F4316" w:rsidR="006843B9" w:rsidRPr="007B15CD" w:rsidRDefault="006843B9" w:rsidP="00541AFA">
      <w:pPr>
        <w:jc w:val="both"/>
        <w:rPr>
          <w:sz w:val="10"/>
          <w:szCs w:val="10"/>
        </w:rPr>
      </w:pPr>
    </w:p>
    <w:p w14:paraId="35F0DFE2" w14:textId="4A9D005A" w:rsidR="0071515C" w:rsidRPr="00FD06D8" w:rsidRDefault="0071515C" w:rsidP="008D7EB7">
      <w:pPr>
        <w:pStyle w:val="Sam2"/>
      </w:pPr>
      <w:bookmarkStart w:id="122" w:name="_Toc40185141"/>
      <w:bookmarkStart w:id="123" w:name="_Toc40185876"/>
      <w:bookmarkStart w:id="124" w:name="_Toc74557540"/>
      <w:bookmarkEnd w:id="122"/>
      <w:bookmarkEnd w:id="123"/>
      <w:r w:rsidRPr="00FD06D8">
        <w:t>Fusion volontaire des communes</w:t>
      </w:r>
      <w:bookmarkEnd w:id="124"/>
    </w:p>
    <w:p w14:paraId="6BB32B12" w14:textId="734B8D3A" w:rsidR="006C6D04" w:rsidRPr="00256E9F" w:rsidRDefault="006C6D04" w:rsidP="007B15CD">
      <w:pPr>
        <w:spacing w:after="120"/>
        <w:jc w:val="both"/>
        <w:rPr>
          <w:rFonts w:asciiTheme="minorHAnsi" w:eastAsia="Calibri" w:hAnsiTheme="minorHAnsi" w:cstheme="minorHAnsi"/>
        </w:rPr>
      </w:pPr>
      <w:r w:rsidRPr="00256E9F">
        <w:rPr>
          <w:rFonts w:asciiTheme="minorHAnsi" w:hAnsiTheme="minorHAnsi" w:cstheme="minorHAnsi"/>
        </w:rPr>
        <w:t xml:space="preserve">Je rappelle que le cadre législatif de la fusion volontaire des communes a été fixée par deux décrets du 2 mai 2019, lesquels modifient respectivement le Code de la démocratie locale et de la décentralisation du 22 avril 2004 et la loi du 08 juillet 1976 organique des centres publics d’action sociale. </w:t>
      </w:r>
    </w:p>
    <w:p w14:paraId="2FAC1816" w14:textId="1FFC27C9" w:rsidR="006C6D04" w:rsidRPr="00256E9F" w:rsidRDefault="006C6D04" w:rsidP="006C6D04">
      <w:pPr>
        <w:spacing w:after="240"/>
        <w:jc w:val="both"/>
        <w:rPr>
          <w:rFonts w:asciiTheme="minorHAnsi" w:hAnsiTheme="minorHAnsi" w:cstheme="minorHAnsi"/>
        </w:rPr>
      </w:pPr>
      <w:r w:rsidRPr="00256E9F">
        <w:rPr>
          <w:rFonts w:asciiTheme="minorHAnsi" w:hAnsiTheme="minorHAnsi" w:cstheme="minorHAnsi"/>
        </w:rPr>
        <w:t xml:space="preserve">Certaines dispositions </w:t>
      </w:r>
      <w:r>
        <w:rPr>
          <w:rFonts w:asciiTheme="minorHAnsi" w:hAnsiTheme="minorHAnsi" w:cstheme="minorHAnsi"/>
        </w:rPr>
        <w:t>étant</w:t>
      </w:r>
      <w:r w:rsidRPr="00256E9F">
        <w:rPr>
          <w:rFonts w:asciiTheme="minorHAnsi" w:hAnsiTheme="minorHAnsi" w:cstheme="minorHAnsi"/>
        </w:rPr>
        <w:t xml:space="preserve"> sujettes à interprétation et, partant, cré</w:t>
      </w:r>
      <w:r>
        <w:rPr>
          <w:rFonts w:asciiTheme="minorHAnsi" w:hAnsiTheme="minorHAnsi" w:cstheme="minorHAnsi"/>
        </w:rPr>
        <w:t>ant</w:t>
      </w:r>
      <w:r w:rsidRPr="00256E9F">
        <w:rPr>
          <w:rFonts w:asciiTheme="minorHAnsi" w:hAnsiTheme="minorHAnsi" w:cstheme="minorHAnsi"/>
        </w:rPr>
        <w:t xml:space="preserve"> une insécurité juridique</w:t>
      </w:r>
      <w:r>
        <w:rPr>
          <w:rFonts w:asciiTheme="minorHAnsi" w:hAnsiTheme="minorHAnsi" w:cstheme="minorHAnsi"/>
        </w:rPr>
        <w:t>, p</w:t>
      </w:r>
      <w:r w:rsidRPr="00256E9F">
        <w:rPr>
          <w:rFonts w:asciiTheme="minorHAnsi" w:hAnsiTheme="minorHAnsi" w:cstheme="minorHAnsi"/>
        </w:rPr>
        <w:t>our y pallier et encadrer la mise en œuvre de la fusion, certaines dispositions du code et de la loi organique sont clarifiées et précisées</w:t>
      </w:r>
      <w:r>
        <w:rPr>
          <w:rFonts w:asciiTheme="minorHAnsi" w:hAnsiTheme="minorHAnsi" w:cstheme="minorHAnsi"/>
        </w:rPr>
        <w:t xml:space="preserve"> dans deux projets de décret et leurs arrêtés d’exécution </w:t>
      </w:r>
      <w:r w:rsidR="00443178" w:rsidRPr="00256E9F">
        <w:rPr>
          <w:rFonts w:asciiTheme="minorHAnsi" w:hAnsiTheme="minorHAnsi" w:cstheme="minorHAnsi"/>
          <w:b/>
          <w:bCs/>
        </w:rPr>
        <w:t>aujourd’hui adoptés</w:t>
      </w:r>
      <w:r w:rsidR="0060592F" w:rsidRPr="00256E9F">
        <w:rPr>
          <w:rFonts w:asciiTheme="minorHAnsi" w:hAnsiTheme="minorHAnsi" w:cstheme="minorHAnsi"/>
          <w:b/>
          <w:bCs/>
        </w:rPr>
        <w:t xml:space="preserve"> (décrets des 13 juillet 2022)</w:t>
      </w:r>
      <w:r w:rsidRPr="00256E9F">
        <w:rPr>
          <w:rFonts w:asciiTheme="minorHAnsi" w:hAnsiTheme="minorHAnsi" w:cstheme="minorHAnsi"/>
        </w:rPr>
        <w:t>.</w:t>
      </w:r>
    </w:p>
    <w:p w14:paraId="29F81250" w14:textId="2B362899" w:rsidR="00711B74" w:rsidRDefault="006306EC" w:rsidP="008D7EB7">
      <w:pPr>
        <w:jc w:val="both"/>
      </w:pPr>
      <w:r>
        <w:t xml:space="preserve">Je </w:t>
      </w:r>
      <w:r w:rsidR="006C6D04">
        <w:t>préciserai encore</w:t>
      </w:r>
      <w:r>
        <w:t xml:space="preserve"> que si</w:t>
      </w:r>
      <w:r w:rsidR="00711B74" w:rsidRPr="008D7EB7">
        <w:t xml:space="preserve"> une telle opération</w:t>
      </w:r>
      <w:r>
        <w:t xml:space="preserve"> est envisagée</w:t>
      </w:r>
      <w:r w:rsidR="00711B74" w:rsidRPr="008D7EB7">
        <w:t xml:space="preserve">, </w:t>
      </w:r>
      <w:r>
        <w:t>il convient</w:t>
      </w:r>
      <w:r w:rsidR="00711B74" w:rsidRPr="008D7EB7">
        <w:t xml:space="preserve"> </w:t>
      </w:r>
      <w:r>
        <w:t>d’</w:t>
      </w:r>
      <w:r w:rsidR="00711B74" w:rsidRPr="008D7EB7">
        <w:t xml:space="preserve">anticiper toutes les conséquences d’une </w:t>
      </w:r>
      <w:r>
        <w:t xml:space="preserve">telle </w:t>
      </w:r>
      <w:r w:rsidR="00711B74" w:rsidRPr="008D7EB7">
        <w:t xml:space="preserve">fusion (nécessité d’harmoniser les taxes et les numéros de projets, </w:t>
      </w:r>
      <w:r w:rsidR="00711B74" w:rsidRPr="008D7EB7">
        <w:lastRenderedPageBreak/>
        <w:t>prise de contact avec l’ONSS pour la cotisation de responsabilisation, utilité de demander des simulations en ce qui concerne le fonds des commun</w:t>
      </w:r>
      <w:r w:rsidR="00BD5302" w:rsidRPr="008D7EB7">
        <w:t>e</w:t>
      </w:r>
      <w:r w:rsidR="00711B74" w:rsidRPr="00665967">
        <w:t xml:space="preserve">s, </w:t>
      </w:r>
      <w:r w:rsidR="00DF6A2D" w:rsidRPr="00541AFA">
        <w:t xml:space="preserve">le FSAS, </w:t>
      </w:r>
      <w:r w:rsidR="00711B74" w:rsidRPr="00541AFA">
        <w:t xml:space="preserve">le pacte pour une fonction publique locale et provinciale solide et solidaire, </w:t>
      </w:r>
      <w:r w:rsidR="00DF6A2D" w:rsidRPr="00541AFA">
        <w:t xml:space="preserve">les éventuelles associations Chapitre XII, </w:t>
      </w:r>
      <w:r w:rsidR="00711B74" w:rsidRPr="00541AFA">
        <w:t>etc</w:t>
      </w:r>
      <w:r w:rsidR="00711B74" w:rsidRPr="008D7EB7">
        <w:t>.).</w:t>
      </w:r>
    </w:p>
    <w:p w14:paraId="09EC9F53" w14:textId="5C0FD6C5" w:rsidR="00CD2B74" w:rsidRDefault="00CD2B74" w:rsidP="008D7EB7">
      <w:pPr>
        <w:jc w:val="both"/>
        <w:rPr>
          <w:b/>
        </w:rPr>
      </w:pPr>
    </w:p>
    <w:p w14:paraId="66AF2A84" w14:textId="64EEE5DA" w:rsidR="00CD2B74" w:rsidRDefault="00443178" w:rsidP="008D7EB7">
      <w:pPr>
        <w:jc w:val="both"/>
      </w:pPr>
      <w:r>
        <w:t>Le</w:t>
      </w:r>
      <w:r w:rsidR="00CD2B74" w:rsidRPr="00900C39">
        <w:t xml:space="preserve"> vade-mecum</w:t>
      </w:r>
      <w:r w:rsidR="008D0765">
        <w:t>,</w:t>
      </w:r>
      <w:r w:rsidR="00CD2B74" w:rsidRPr="00900C39">
        <w:t xml:space="preserve"> </w:t>
      </w:r>
      <w:r w:rsidR="008D0765" w:rsidRPr="00256E9F">
        <w:t xml:space="preserve">réalisé </w:t>
      </w:r>
      <w:r w:rsidR="00CD2B74" w:rsidRPr="00256E9F">
        <w:t>en collaboration avec l’Union des Villes et Communes de Wallonie en vue d’accompagner les communes candidates à une telle opération</w:t>
      </w:r>
      <w:r w:rsidR="008D0765" w:rsidRPr="00256E9F">
        <w:t>, sera finalisé avant la fin de ce mois de juillet 2022</w:t>
      </w:r>
      <w:r w:rsidR="00CD2B74" w:rsidRPr="00256E9F">
        <w:t>.</w:t>
      </w:r>
    </w:p>
    <w:p w14:paraId="11106E1C" w14:textId="7F528417" w:rsidR="00E3554F" w:rsidRPr="007B15CD" w:rsidRDefault="00E3554F" w:rsidP="008D7EB7">
      <w:pPr>
        <w:jc w:val="both"/>
        <w:rPr>
          <w:sz w:val="10"/>
          <w:szCs w:val="10"/>
        </w:rPr>
      </w:pPr>
    </w:p>
    <w:p w14:paraId="16E0921C" w14:textId="472E8D91" w:rsidR="003F5A44" w:rsidRPr="003F5A44" w:rsidRDefault="003F5A44" w:rsidP="003F5A44">
      <w:pPr>
        <w:pStyle w:val="Sam2"/>
        <w:rPr>
          <w:rFonts w:asciiTheme="minorHAnsi" w:hAnsiTheme="minorHAnsi" w:cstheme="minorHAnsi"/>
        </w:rPr>
      </w:pPr>
      <w:bookmarkStart w:id="125" w:name="_Toc74557542"/>
      <w:bookmarkStart w:id="126" w:name="_Hlk69122779"/>
      <w:r w:rsidRPr="003F5A44">
        <w:rPr>
          <w:rFonts w:asciiTheme="minorHAnsi" w:hAnsiTheme="minorHAnsi" w:cstheme="minorHAnsi"/>
        </w:rPr>
        <w:t>Taxe sur les mâts, pylônes et antennes GSM</w:t>
      </w:r>
      <w:bookmarkEnd w:id="125"/>
    </w:p>
    <w:bookmarkEnd w:id="126"/>
    <w:p w14:paraId="2FBB755C" w14:textId="3B02EEE0" w:rsidR="005F6B10" w:rsidRPr="0049103E" w:rsidRDefault="005F6B10" w:rsidP="005F6B10">
      <w:pPr>
        <w:jc w:val="both"/>
        <w:rPr>
          <w:rFonts w:eastAsia="PMingLiU"/>
          <w:spacing w:val="-3"/>
          <w:lang w:eastAsia="en-US"/>
        </w:rPr>
      </w:pPr>
      <w:r w:rsidRPr="0049103E">
        <w:rPr>
          <w:rFonts w:eastAsia="PMingLiU"/>
          <w:spacing w:val="-3"/>
          <w:lang w:eastAsia="en-US"/>
        </w:rPr>
        <w:t>Dans la circulaire budgétaire relative à l’année 2021, je vous informais qu’un nouve</w:t>
      </w:r>
      <w:r w:rsidR="00B60E92">
        <w:rPr>
          <w:rFonts w:eastAsia="PMingLiU"/>
          <w:spacing w:val="-3"/>
          <w:lang w:eastAsia="en-US"/>
        </w:rPr>
        <w:t>au</w:t>
      </w:r>
      <w:r w:rsidRPr="0049103E">
        <w:rPr>
          <w:rFonts w:eastAsia="PMingLiU"/>
          <w:spacing w:val="-3"/>
          <w:lang w:eastAsia="en-US"/>
        </w:rPr>
        <w:t xml:space="preserve"> </w:t>
      </w:r>
      <w:r w:rsidR="00B60E92">
        <w:rPr>
          <w:rFonts w:eastAsia="PMingLiU"/>
          <w:spacing w:val="-3"/>
          <w:lang w:eastAsia="en-US"/>
        </w:rPr>
        <w:t>protocole d’</w:t>
      </w:r>
      <w:r w:rsidRPr="0049103E">
        <w:rPr>
          <w:rFonts w:eastAsia="PMingLiU"/>
          <w:spacing w:val="-3"/>
          <w:lang w:eastAsia="en-US"/>
        </w:rPr>
        <w:t>accord éta</w:t>
      </w:r>
      <w:r w:rsidR="00725B81">
        <w:rPr>
          <w:rFonts w:eastAsia="PMingLiU"/>
          <w:spacing w:val="-3"/>
          <w:lang w:eastAsia="en-US"/>
        </w:rPr>
        <w:t>i</w:t>
      </w:r>
      <w:r w:rsidRPr="0049103E">
        <w:rPr>
          <w:rFonts w:eastAsia="PMingLiU"/>
          <w:spacing w:val="-3"/>
          <w:lang w:eastAsia="en-US"/>
        </w:rPr>
        <w:t>t en cours de négociation</w:t>
      </w:r>
      <w:r w:rsidR="006306EC">
        <w:rPr>
          <w:rFonts w:eastAsia="PMingLiU"/>
          <w:spacing w:val="-3"/>
          <w:lang w:eastAsia="en-US"/>
        </w:rPr>
        <w:t xml:space="preserve">, </w:t>
      </w:r>
      <w:r w:rsidRPr="009959FD">
        <w:rPr>
          <w:rFonts w:eastAsia="PMingLiU"/>
          <w:spacing w:val="-3"/>
          <w:lang w:eastAsia="en-US"/>
        </w:rPr>
        <w:t>l</w:t>
      </w:r>
      <w:r w:rsidRPr="00E330C0">
        <w:rPr>
          <w:rFonts w:eastAsia="PMingLiU"/>
          <w:spacing w:val="-3"/>
          <w:lang w:eastAsia="en-US"/>
        </w:rPr>
        <w:t xml:space="preserve">’accord </w:t>
      </w:r>
      <w:r w:rsidRPr="00FE5444">
        <w:rPr>
          <w:rFonts w:eastAsia="PMingLiU"/>
          <w:spacing w:val="-3"/>
          <w:lang w:eastAsia="en-US"/>
        </w:rPr>
        <w:t xml:space="preserve">du 22 décembre 2016 </w:t>
      </w:r>
      <w:r w:rsidR="006306EC">
        <w:rPr>
          <w:rFonts w:eastAsia="PMingLiU"/>
          <w:spacing w:val="-3"/>
          <w:lang w:eastAsia="en-US"/>
        </w:rPr>
        <w:t xml:space="preserve">ayant </w:t>
      </w:r>
      <w:r w:rsidRPr="00FE5444">
        <w:rPr>
          <w:rFonts w:eastAsia="PMingLiU"/>
          <w:spacing w:val="-3"/>
          <w:lang w:eastAsia="en-US"/>
        </w:rPr>
        <w:t>pris fin au 31</w:t>
      </w:r>
      <w:r w:rsidRPr="0049103E">
        <w:rPr>
          <w:rFonts w:eastAsia="PMingLiU"/>
          <w:spacing w:val="-3"/>
          <w:lang w:eastAsia="en-US"/>
        </w:rPr>
        <w:t xml:space="preserve"> décembre 2019.</w:t>
      </w:r>
    </w:p>
    <w:p w14:paraId="693B426D" w14:textId="26C65ABB" w:rsidR="000B771C" w:rsidRPr="002665FA" w:rsidRDefault="00F8313B" w:rsidP="00256E9F">
      <w:pPr>
        <w:jc w:val="both"/>
        <w:rPr>
          <w:rFonts w:eastAsia="PMingLiU"/>
          <w:lang w:val="fr-BE" w:eastAsia="en-US"/>
        </w:rPr>
      </w:pPr>
      <w:r>
        <w:rPr>
          <w:rFonts w:eastAsia="PMingLiU"/>
          <w:spacing w:val="-3"/>
          <w:lang w:eastAsia="en-US"/>
        </w:rPr>
        <w:t>Dans ma circulaire du 8 juillet 202</w:t>
      </w:r>
      <w:r w:rsidR="00770FE1">
        <w:rPr>
          <w:rFonts w:eastAsia="PMingLiU"/>
          <w:spacing w:val="-3"/>
          <w:lang w:eastAsia="en-US"/>
        </w:rPr>
        <w:t>1</w:t>
      </w:r>
      <w:r>
        <w:rPr>
          <w:rFonts w:eastAsia="PMingLiU"/>
          <w:spacing w:val="-3"/>
          <w:lang w:eastAsia="en-US"/>
        </w:rPr>
        <w:t xml:space="preserve"> relative à l’année 2022, je vous informais qu’u</w:t>
      </w:r>
      <w:r w:rsidR="005F6B10" w:rsidRPr="0049103E">
        <w:rPr>
          <w:rFonts w:eastAsia="PMingLiU"/>
          <w:spacing w:val="-3"/>
          <w:lang w:eastAsia="en-US"/>
        </w:rPr>
        <w:t xml:space="preserve">n nouvel accord </w:t>
      </w:r>
      <w:r>
        <w:rPr>
          <w:rFonts w:eastAsia="PMingLiU"/>
          <w:spacing w:val="-3"/>
          <w:lang w:eastAsia="en-US"/>
        </w:rPr>
        <w:t>était</w:t>
      </w:r>
      <w:r w:rsidR="005F6B10" w:rsidRPr="0049103E">
        <w:rPr>
          <w:rFonts w:eastAsia="PMingLiU"/>
          <w:spacing w:val="-3"/>
          <w:lang w:eastAsia="en-US"/>
        </w:rPr>
        <w:t xml:space="preserve"> intervenu portant sur les années 2021 et 2022. Ma circulaire</w:t>
      </w:r>
      <w:r w:rsidR="006D54DB">
        <w:rPr>
          <w:rFonts w:eastAsia="PMingLiU"/>
          <w:spacing w:val="-3"/>
          <w:lang w:eastAsia="en-US"/>
        </w:rPr>
        <w:t xml:space="preserve"> </w:t>
      </w:r>
      <w:r w:rsidR="00570F36" w:rsidRPr="00B225DE">
        <w:rPr>
          <w:rFonts w:eastAsia="PMingLiU"/>
          <w:lang w:val="fr-BE" w:eastAsia="en-US"/>
        </w:rPr>
        <w:t>du 18 janvier 2021 relative à la taxation sur les mâts, pylônes et antennes</w:t>
      </w:r>
      <w:r w:rsidR="005F6B10" w:rsidRPr="00B225DE">
        <w:rPr>
          <w:rFonts w:eastAsia="PMingLiU"/>
          <w:lang w:val="fr-BE" w:eastAsia="en-US"/>
        </w:rPr>
        <w:t xml:space="preserve"> vous détaill</w:t>
      </w:r>
      <w:r>
        <w:rPr>
          <w:rFonts w:eastAsia="PMingLiU"/>
          <w:lang w:val="fr-BE" w:eastAsia="en-US"/>
        </w:rPr>
        <w:t>ait</w:t>
      </w:r>
      <w:r w:rsidR="005F6B10" w:rsidRPr="00B225DE">
        <w:rPr>
          <w:rFonts w:eastAsia="PMingLiU"/>
          <w:lang w:val="fr-BE" w:eastAsia="en-US"/>
        </w:rPr>
        <w:t xml:space="preserve"> les tenants et aboutissant de ce</w:t>
      </w:r>
      <w:r w:rsidR="00770FE1">
        <w:rPr>
          <w:rFonts w:eastAsia="PMingLiU"/>
          <w:lang w:val="fr-BE" w:eastAsia="en-US"/>
        </w:rPr>
        <w:t>t</w:t>
      </w:r>
      <w:r w:rsidR="005F6B10" w:rsidRPr="00B225DE">
        <w:rPr>
          <w:rFonts w:eastAsia="PMingLiU"/>
          <w:lang w:val="fr-BE" w:eastAsia="en-US"/>
        </w:rPr>
        <w:t xml:space="preserve"> accord</w:t>
      </w:r>
      <w:r w:rsidR="00770FE1">
        <w:rPr>
          <w:rFonts w:eastAsia="PMingLiU"/>
          <w:lang w:val="fr-BE" w:eastAsia="en-US"/>
        </w:rPr>
        <w:t>.</w:t>
      </w:r>
    </w:p>
    <w:p w14:paraId="19E102F9" w14:textId="302C48A4" w:rsidR="000B771C" w:rsidRDefault="000B771C" w:rsidP="00F8313B">
      <w:pPr>
        <w:jc w:val="both"/>
        <w:rPr>
          <w:rFonts w:eastAsia="PMingLiU"/>
          <w:lang w:val="fr-BE" w:eastAsia="en-US"/>
        </w:rPr>
      </w:pPr>
    </w:p>
    <w:p w14:paraId="71271268" w14:textId="5B400A10" w:rsidR="00F8313B" w:rsidRDefault="00754167" w:rsidP="00F8313B">
      <w:pPr>
        <w:jc w:val="both"/>
        <w:rPr>
          <w:rFonts w:eastAsia="PMingLiU"/>
          <w:lang w:val="fr-BE" w:eastAsia="en-US"/>
        </w:rPr>
      </w:pPr>
      <w:r>
        <w:rPr>
          <w:rFonts w:eastAsia="PMingLiU"/>
          <w:lang w:val="fr-BE" w:eastAsia="en-US"/>
        </w:rPr>
        <w:t>J</w:t>
      </w:r>
      <w:r w:rsidR="00F8313B">
        <w:rPr>
          <w:rFonts w:eastAsia="PMingLiU"/>
          <w:lang w:val="fr-BE" w:eastAsia="en-US"/>
        </w:rPr>
        <w:t>e préciserai que</w:t>
      </w:r>
      <w:r w:rsidR="00770FE1">
        <w:rPr>
          <w:rFonts w:eastAsia="PMingLiU"/>
          <w:lang w:val="fr-BE" w:eastAsia="en-US"/>
        </w:rPr>
        <w:t xml:space="preserve">, les effets du nouvel accord prenant fin le 31 décembre 2022, </w:t>
      </w:r>
      <w:r w:rsidR="00F8313B">
        <w:rPr>
          <w:rFonts w:eastAsia="PMingLiU"/>
          <w:lang w:val="fr-BE" w:eastAsia="en-US"/>
        </w:rPr>
        <w:t xml:space="preserve">des contacts sont en cours </w:t>
      </w:r>
      <w:r w:rsidR="00532C5D">
        <w:rPr>
          <w:rFonts w:eastAsia="PMingLiU"/>
          <w:lang w:val="fr-BE" w:eastAsia="en-US"/>
        </w:rPr>
        <w:t>concernant</w:t>
      </w:r>
      <w:r w:rsidR="00F8313B">
        <w:rPr>
          <w:rFonts w:eastAsia="PMingLiU"/>
          <w:lang w:val="fr-BE" w:eastAsia="en-US"/>
        </w:rPr>
        <w:t xml:space="preserve"> les années ultérieures dont je vous informerai des conclusions, le cas échéant, dans une circulaire spécifique.</w:t>
      </w:r>
    </w:p>
    <w:p w14:paraId="42CEF3DC" w14:textId="186E15EB" w:rsidR="00754167" w:rsidRDefault="00754167" w:rsidP="00F8313B">
      <w:pPr>
        <w:jc w:val="both"/>
        <w:rPr>
          <w:rFonts w:eastAsia="PMingLiU"/>
          <w:lang w:val="fr-BE" w:eastAsia="en-US"/>
        </w:rPr>
      </w:pPr>
    </w:p>
    <w:p w14:paraId="524B876D" w14:textId="265EB09D" w:rsidR="00754167" w:rsidRDefault="00754167" w:rsidP="00F8313B">
      <w:pPr>
        <w:jc w:val="both"/>
        <w:rPr>
          <w:rFonts w:eastAsia="PMingLiU"/>
          <w:lang w:val="fr-BE" w:eastAsia="en-US"/>
        </w:rPr>
      </w:pPr>
      <w:r>
        <w:rPr>
          <w:rFonts w:eastAsia="PMingLiU"/>
          <w:lang w:val="fr-BE" w:eastAsia="en-US"/>
        </w:rPr>
        <w:t xml:space="preserve">Enfin, </w:t>
      </w:r>
      <w:r w:rsidR="00BA3CD5">
        <w:rPr>
          <w:rFonts w:eastAsia="PMingLiU"/>
          <w:lang w:val="fr-BE" w:eastAsia="en-US"/>
        </w:rPr>
        <w:t xml:space="preserve">concernant les problématiques de couverture de réseau sur votre territoire, </w:t>
      </w:r>
      <w:r>
        <w:rPr>
          <w:rFonts w:eastAsia="PMingLiU"/>
          <w:lang w:val="fr-BE" w:eastAsia="en-US"/>
        </w:rPr>
        <w:t>je</w:t>
      </w:r>
      <w:r w:rsidR="00BA3CD5">
        <w:rPr>
          <w:rFonts w:eastAsia="PMingLiU"/>
          <w:lang w:val="fr-BE" w:eastAsia="en-US"/>
        </w:rPr>
        <w:t xml:space="preserve"> rappellerai qu</w:t>
      </w:r>
      <w:r w:rsidR="004541A5">
        <w:rPr>
          <w:rFonts w:eastAsia="PMingLiU"/>
          <w:lang w:val="fr-BE" w:eastAsia="en-US"/>
        </w:rPr>
        <w:t xml:space="preserve">e l’ADN (Agence du numérique) vous permet de lui transmettre sur son site internet les situations problématiques rencontrées sur votre territoire. </w:t>
      </w:r>
    </w:p>
    <w:p w14:paraId="746B63FA" w14:textId="7E7ADCC4" w:rsidR="003F5A44" w:rsidRPr="007B15CD" w:rsidRDefault="003F5A44" w:rsidP="003F5A44">
      <w:pPr>
        <w:pStyle w:val="Sam2"/>
      </w:pPr>
      <w:bookmarkStart w:id="127" w:name="_Toc40185145"/>
      <w:bookmarkStart w:id="128" w:name="_Toc40185880"/>
      <w:bookmarkStart w:id="129" w:name="_Toc74557543"/>
      <w:bookmarkEnd w:id="127"/>
      <w:bookmarkEnd w:id="128"/>
      <w:r w:rsidRPr="007B15CD">
        <w:t>Motivation des règlements-taxes et règlements-redevances</w:t>
      </w:r>
      <w:bookmarkEnd w:id="129"/>
    </w:p>
    <w:p w14:paraId="436BBD43" w14:textId="7CE739AF" w:rsidR="003F5A44" w:rsidRDefault="003F5A44" w:rsidP="00576EF5">
      <w:pPr>
        <w:jc w:val="both"/>
      </w:pPr>
      <w:r w:rsidRPr="00B225DE">
        <w:t xml:space="preserve">Selon l'évolution de la jurisprudence, il est impératif de soigner la rédaction des motifs de vos règlements (surtout dans le préambule mais également dans le dossier administratif dudit règlement (quand il existe)) qui justifient leur adoption et tout particulièrement lorsque vous souhaitez prévoir </w:t>
      </w:r>
      <w:r w:rsidRPr="004C2BB2">
        <w:t>des</w:t>
      </w:r>
      <w:r w:rsidRPr="004C2BB2">
        <w:rPr>
          <w:b/>
          <w:bCs/>
        </w:rPr>
        <w:t xml:space="preserve"> taux préférentiels ou des exonérations</w:t>
      </w:r>
      <w:r w:rsidRPr="00B225DE">
        <w:t xml:space="preserve"> ainsi que dans l'hypothèse où l'établissement du règlement peut poser un problème de respect du principe constitutionnel d'égalité des citoyens devant l’impôt.</w:t>
      </w:r>
    </w:p>
    <w:p w14:paraId="4D9CD6B9" w14:textId="77777777" w:rsidR="00180F07" w:rsidRPr="00B225DE" w:rsidRDefault="00180F07" w:rsidP="00576EF5">
      <w:pPr>
        <w:jc w:val="both"/>
      </w:pPr>
    </w:p>
    <w:p w14:paraId="174879B3" w14:textId="39750AEC" w:rsidR="003F5A44" w:rsidRDefault="003F5A44" w:rsidP="00576EF5">
      <w:pPr>
        <w:jc w:val="both"/>
      </w:pPr>
      <w:r w:rsidRPr="00B225DE">
        <w:t xml:space="preserve">La jurisprudence considère que le juge ne peut tenir compte que des justifications reprises expressément dans le règlement </w:t>
      </w:r>
      <w:r w:rsidRPr="00042B94">
        <w:rPr>
          <w:b/>
          <w:i/>
        </w:rPr>
        <w:t>fiscal</w:t>
      </w:r>
      <w:r w:rsidR="00C11B18" w:rsidRPr="00576EF5">
        <w:t xml:space="preserve"> (préambule)</w:t>
      </w:r>
      <w:r w:rsidRPr="00042B94">
        <w:rPr>
          <w:b/>
          <w:i/>
        </w:rPr>
        <w:t xml:space="preserve"> </w:t>
      </w:r>
      <w:r w:rsidRPr="006843B9">
        <w:rPr>
          <w:b/>
          <w:i/>
        </w:rPr>
        <w:t>ou dans le dossier administratif</w:t>
      </w:r>
      <w:r w:rsidR="001B24BD" w:rsidRPr="006843B9">
        <w:rPr>
          <w:b/>
          <w:i/>
        </w:rPr>
        <w:t xml:space="preserve"> (</w:t>
      </w:r>
      <w:r w:rsidR="00C11B18" w:rsidRPr="00576EF5">
        <w:t xml:space="preserve">mais </w:t>
      </w:r>
      <w:r w:rsidR="001B24BD" w:rsidRPr="00042B94">
        <w:rPr>
          <w:b/>
          <w:i/>
        </w:rPr>
        <w:t>de préférence dans le préambule)</w:t>
      </w:r>
      <w:r w:rsidRPr="00B225DE">
        <w:t xml:space="preserve"> et qu’il ne peut donc avoir égard aux motifs évoqués en dehors de ces documents tels que ceux qui apparaîtraient en cours de débat.</w:t>
      </w:r>
    </w:p>
    <w:p w14:paraId="794D19C8" w14:textId="77777777" w:rsidR="00180F07" w:rsidRPr="00B225DE" w:rsidRDefault="00180F07" w:rsidP="00576EF5">
      <w:pPr>
        <w:jc w:val="both"/>
      </w:pPr>
    </w:p>
    <w:p w14:paraId="4A745572" w14:textId="52719102" w:rsidR="003F5A44" w:rsidRPr="00B225DE" w:rsidRDefault="003F5A44" w:rsidP="00576EF5">
      <w:pPr>
        <w:jc w:val="both"/>
      </w:pPr>
      <w:r w:rsidRPr="00B225DE">
        <w:t xml:space="preserve">C’est ainsi que dans bon nombre de contentieux où un tarif préférentiel ou une exonération était en jeu, la jurisprudence a considéré qu’en l’absence de motivation, il n’a pas été possible au juge de vérifier si c'est pour des motifs compatibles avec le principe constitutionnel de l'égalité des citoyens devant l'impôt que l'exonération, sans restriction, en faveur des personnes morales de droit public de la taxe sur les immeubles bâtis inoccupés a été adoptée. Pour rappel, ce principe d'égalité - inscrit aux articles 10, 11 et 172 de la Constitution - implique que tous ceux qui se trouvent dans une même situation soient traités de la même manière, </w:t>
      </w:r>
      <w:r w:rsidRPr="00B225DE">
        <w:lastRenderedPageBreak/>
        <w:t>mais n'exclut pas qu'une distinction soit faite entre différentes catégories de personnes pour autant que le critère de distinction soit susceptible de justification objective et raisonnable.</w:t>
      </w:r>
    </w:p>
    <w:p w14:paraId="07871B78" w14:textId="0CECDFA3" w:rsidR="0090429A" w:rsidRPr="007B15CD" w:rsidRDefault="0090429A" w:rsidP="00513537">
      <w:pPr>
        <w:pStyle w:val="Sam2"/>
      </w:pPr>
      <w:bookmarkStart w:id="130" w:name="_Toc74557544"/>
      <w:r w:rsidRPr="007B15CD">
        <w:t>Taxe forfaitaire sur une activité économique</w:t>
      </w:r>
    </w:p>
    <w:p w14:paraId="764C2CD4" w14:textId="32100B4B" w:rsidR="0090429A" w:rsidRPr="00256E9F" w:rsidRDefault="0090429A" w:rsidP="0090429A">
      <w:pPr>
        <w:pStyle w:val="Sam2"/>
        <w:numPr>
          <w:ilvl w:val="0"/>
          <w:numId w:val="0"/>
        </w:numPr>
        <w:rPr>
          <w:b w:val="0"/>
          <w:bCs/>
          <w:sz w:val="24"/>
          <w:szCs w:val="24"/>
          <w:u w:val="none"/>
        </w:rPr>
      </w:pPr>
      <w:r w:rsidRPr="00256E9F">
        <w:rPr>
          <w:b w:val="0"/>
          <w:bCs/>
          <w:sz w:val="24"/>
          <w:szCs w:val="24"/>
          <w:u w:val="none"/>
        </w:rPr>
        <w:t xml:space="preserve">Il ressort d’un </w:t>
      </w:r>
      <w:r w:rsidRPr="00256E9F">
        <w:rPr>
          <w:sz w:val="24"/>
          <w:szCs w:val="24"/>
          <w:u w:val="none"/>
        </w:rPr>
        <w:t>arrêt de la Cour de cassation</w:t>
      </w:r>
      <w:r w:rsidRPr="00256E9F">
        <w:rPr>
          <w:b w:val="0"/>
          <w:bCs/>
          <w:sz w:val="24"/>
          <w:szCs w:val="24"/>
          <w:u w:val="none"/>
        </w:rPr>
        <w:t xml:space="preserve"> du 19 avril 2021 qu’ « 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même activité, se trouvent dans des situations essentiellement différentes du point de vue de leurs capacités contributives. L'application de ce taux à l'ensemble des établissements taxés ne trouve aucune justification</w:t>
      </w:r>
      <w:proofErr w:type="gramStart"/>
      <w:r w:rsidRPr="00256E9F">
        <w:rPr>
          <w:b w:val="0"/>
          <w:bCs/>
          <w:sz w:val="24"/>
          <w:szCs w:val="24"/>
          <w:u w:val="none"/>
        </w:rPr>
        <w:t>.»</w:t>
      </w:r>
      <w:proofErr w:type="gramEnd"/>
    </w:p>
    <w:p w14:paraId="2C8E1304" w14:textId="1266E5EC" w:rsidR="0090429A" w:rsidRPr="00256E9F" w:rsidRDefault="00F961A8" w:rsidP="00256E9F">
      <w:pPr>
        <w:pStyle w:val="Sam2"/>
        <w:numPr>
          <w:ilvl w:val="0"/>
          <w:numId w:val="0"/>
        </w:numPr>
        <w:rPr>
          <w:b w:val="0"/>
          <w:bCs/>
          <w:sz w:val="24"/>
          <w:szCs w:val="24"/>
          <w:u w:val="none"/>
        </w:rPr>
      </w:pPr>
      <w:r w:rsidRPr="00256E9F">
        <w:rPr>
          <w:b w:val="0"/>
          <w:bCs/>
          <w:sz w:val="24"/>
          <w:szCs w:val="24"/>
          <w:u w:val="none"/>
        </w:rPr>
        <w:t>J’attire votre attention sur le fait que c</w:t>
      </w:r>
      <w:r w:rsidR="0090429A" w:rsidRPr="00256E9F">
        <w:rPr>
          <w:b w:val="0"/>
          <w:bCs/>
          <w:sz w:val="24"/>
          <w:szCs w:val="24"/>
          <w:u w:val="none"/>
        </w:rPr>
        <w:t xml:space="preserve">ette jurisprudence pourrait très bien s’appliquer à d’autres établissements (comme par ex : les </w:t>
      </w:r>
      <w:proofErr w:type="spellStart"/>
      <w:r w:rsidR="0090429A" w:rsidRPr="00256E9F">
        <w:rPr>
          <w:b w:val="0"/>
          <w:bCs/>
          <w:sz w:val="24"/>
          <w:szCs w:val="24"/>
          <w:u w:val="none"/>
        </w:rPr>
        <w:t>nights</w:t>
      </w:r>
      <w:proofErr w:type="spellEnd"/>
      <w:r w:rsidR="0090429A" w:rsidRPr="00256E9F">
        <w:rPr>
          <w:b w:val="0"/>
          <w:bCs/>
          <w:sz w:val="24"/>
          <w:szCs w:val="24"/>
          <w:u w:val="none"/>
        </w:rPr>
        <w:t xml:space="preserve">-shops, phone-shops, cannabis-shops, bar à chicha, débits de </w:t>
      </w:r>
      <w:proofErr w:type="gramStart"/>
      <w:r w:rsidR="0090429A" w:rsidRPr="00256E9F">
        <w:rPr>
          <w:b w:val="0"/>
          <w:bCs/>
          <w:sz w:val="24"/>
          <w:szCs w:val="24"/>
          <w:u w:val="none"/>
        </w:rPr>
        <w:t>tabacs, ….</w:t>
      </w:r>
      <w:proofErr w:type="gramEnd"/>
      <w:r w:rsidR="0090429A" w:rsidRPr="00256E9F">
        <w:rPr>
          <w:b w:val="0"/>
          <w:bCs/>
          <w:sz w:val="24"/>
          <w:szCs w:val="24"/>
          <w:u w:val="none"/>
        </w:rPr>
        <w:t>).</w:t>
      </w:r>
    </w:p>
    <w:p w14:paraId="73F771FD" w14:textId="5081A27C" w:rsidR="00FC7E8D" w:rsidRPr="00FC7E8D" w:rsidRDefault="00FC7E8D" w:rsidP="008D7EB7">
      <w:pPr>
        <w:pStyle w:val="Sam2"/>
      </w:pPr>
      <w:bookmarkStart w:id="131" w:name="_Toc40185150"/>
      <w:bookmarkStart w:id="132" w:name="_Toc40185884"/>
      <w:bookmarkStart w:id="133" w:name="_Toc40185151"/>
      <w:bookmarkStart w:id="134" w:name="_Toc40185885"/>
      <w:bookmarkStart w:id="135" w:name="_Toc40185152"/>
      <w:bookmarkStart w:id="136" w:name="_Toc40185886"/>
      <w:bookmarkStart w:id="137" w:name="_Toc40185153"/>
      <w:bookmarkStart w:id="138" w:name="_Toc40185887"/>
      <w:bookmarkStart w:id="139" w:name="_Toc40185154"/>
      <w:bookmarkStart w:id="140" w:name="_Toc40185888"/>
      <w:bookmarkStart w:id="141" w:name="_Toc40185155"/>
      <w:bookmarkStart w:id="142" w:name="_Toc40185889"/>
      <w:bookmarkStart w:id="143" w:name="_Toc40185156"/>
      <w:bookmarkStart w:id="144" w:name="_Toc40185890"/>
      <w:bookmarkStart w:id="145" w:name="_Toc40185157"/>
      <w:bookmarkStart w:id="146" w:name="_Toc40185891"/>
      <w:bookmarkStart w:id="147" w:name="_Toc40185158"/>
      <w:bookmarkStart w:id="148" w:name="_Toc40185892"/>
      <w:bookmarkStart w:id="149" w:name="_Toc40185159"/>
      <w:bookmarkStart w:id="150" w:name="_Toc40185893"/>
      <w:bookmarkStart w:id="151" w:name="_Toc40185160"/>
      <w:bookmarkStart w:id="152" w:name="_Toc40185894"/>
      <w:bookmarkStart w:id="153" w:name="_Toc40185161"/>
      <w:bookmarkStart w:id="154" w:name="_Toc40185895"/>
      <w:bookmarkStart w:id="155" w:name="_Toc40185162"/>
      <w:bookmarkStart w:id="156" w:name="_Toc40185896"/>
      <w:bookmarkStart w:id="157" w:name="_Toc40185163"/>
      <w:bookmarkStart w:id="158" w:name="_Toc40185897"/>
      <w:bookmarkStart w:id="159" w:name="_Toc40185164"/>
      <w:bookmarkStart w:id="160" w:name="_Toc40185898"/>
      <w:bookmarkStart w:id="161" w:name="_Toc40185165"/>
      <w:bookmarkStart w:id="162" w:name="_Toc40185899"/>
      <w:bookmarkStart w:id="163" w:name="_Toc40185166"/>
      <w:bookmarkStart w:id="164" w:name="_Toc40185900"/>
      <w:bookmarkStart w:id="165" w:name="_Toc40185167"/>
      <w:bookmarkStart w:id="166" w:name="_Toc40185901"/>
      <w:bookmarkStart w:id="167" w:name="_Toc40185168"/>
      <w:bookmarkStart w:id="168" w:name="_Toc40185902"/>
      <w:bookmarkStart w:id="169" w:name="_Toc7455754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C7E8D">
        <w:t>Les investissements « hors balise »</w:t>
      </w:r>
      <w:r w:rsidR="00A50F6F">
        <w:t> sur demande</w:t>
      </w:r>
      <w:bookmarkEnd w:id="169"/>
      <w:r w:rsidR="00B02481">
        <w:t xml:space="preserve"> et automatiques</w:t>
      </w:r>
      <w:r w:rsidR="001C3CF4">
        <w:t xml:space="preserve"> et les ratios d’endettement</w:t>
      </w:r>
    </w:p>
    <w:p w14:paraId="0EBC285F" w14:textId="1D3A927B" w:rsidR="001C3CF4" w:rsidRPr="00256E9F" w:rsidRDefault="001C3CF4" w:rsidP="00256E9F">
      <w:pPr>
        <w:pStyle w:val="Sam3"/>
        <w:rPr>
          <w:b w:val="0"/>
          <w:bCs w:val="0"/>
        </w:rPr>
      </w:pPr>
      <w:bookmarkStart w:id="170" w:name="_Hlk105140977"/>
      <w:r w:rsidRPr="00256E9F">
        <w:rPr>
          <w:b w:val="0"/>
          <w:bCs w:val="0"/>
        </w:rPr>
        <w:t>La déclaration de Politique générale prévoit que les balises d’investiss</w:t>
      </w:r>
      <w:r w:rsidR="00F77197" w:rsidRPr="00256E9F">
        <w:rPr>
          <w:b w:val="0"/>
          <w:bCs w:val="0"/>
        </w:rPr>
        <w:t>em</w:t>
      </w:r>
      <w:r w:rsidRPr="00256E9F">
        <w:rPr>
          <w:b w:val="0"/>
          <w:bCs w:val="0"/>
        </w:rPr>
        <w:t>ents seront assouplies et certains investissements mis hors balises afin de permettre aux pouvoirs locaux une gestion plus en phase avec leurs besoins et leur rythme d’investissements.</w:t>
      </w:r>
    </w:p>
    <w:p w14:paraId="3125A802" w14:textId="77777777" w:rsidR="001C3CF4" w:rsidRPr="00256E9F" w:rsidRDefault="001C3CF4" w:rsidP="00256E9F">
      <w:pPr>
        <w:pStyle w:val="Sam3"/>
        <w:rPr>
          <w:b w:val="0"/>
          <w:bCs w:val="0"/>
          <w:lang w:val="fr-FR"/>
        </w:rPr>
      </w:pPr>
      <w:r w:rsidRPr="00256E9F">
        <w:rPr>
          <w:b w:val="0"/>
          <w:bCs w:val="0"/>
        </w:rPr>
        <w:t xml:space="preserve">Ainsi les investissements devront s’inscrire de façon large dans les priorités régionales répondant aux besoins </w:t>
      </w:r>
      <w:r w:rsidRPr="00256E9F">
        <w:rPr>
          <w:b w:val="0"/>
          <w:bCs w:val="0"/>
          <w:lang w:val="fr-FR"/>
        </w:rPr>
        <w:t>des citoyens dans le cadre de la transition sociale, écologique et économique.</w:t>
      </w:r>
    </w:p>
    <w:p w14:paraId="360FAED5" w14:textId="4EE15CE7" w:rsidR="00F77197" w:rsidRPr="00256E9F" w:rsidRDefault="00F77197" w:rsidP="00256E9F">
      <w:pPr>
        <w:pStyle w:val="Sam3"/>
        <w:rPr>
          <w:b w:val="0"/>
          <w:bCs w:val="0"/>
        </w:rPr>
      </w:pPr>
      <w:r w:rsidRPr="00256E9F">
        <w:rPr>
          <w:b w:val="0"/>
          <w:bCs w:val="0"/>
        </w:rPr>
        <w:t xml:space="preserve">Elle prévoit par ailleurs que le mécanisme actuel fondé sur un montant d’investissement par habitant sera revu afin de permettre une hausse du montant d’investissement qui devra tenir compte de la capacité financière de chacune des communes. </w:t>
      </w:r>
    </w:p>
    <w:p w14:paraId="22E43314" w14:textId="77777777" w:rsidR="00F77197" w:rsidRPr="00256E9F" w:rsidRDefault="00F77197" w:rsidP="00256E9F">
      <w:pPr>
        <w:pStyle w:val="Sam3"/>
        <w:rPr>
          <w:b w:val="0"/>
          <w:bCs w:val="0"/>
        </w:rPr>
      </w:pPr>
      <w:r w:rsidRPr="00256E9F">
        <w:rPr>
          <w:b w:val="0"/>
          <w:bCs w:val="0"/>
        </w:rPr>
        <w:t xml:space="preserve">Enfin, elle prévoit que la liste des investissements comptabilisés hors balise comptable sera élargie, au-delà des travaux économiseurs d’énergie, aux investissements liés à la mobilité douce (aménagement des trottoirs, pistes cyclables, sécurité routière), à la </w:t>
      </w:r>
      <w:proofErr w:type="spellStart"/>
      <w:r w:rsidRPr="00256E9F">
        <w:rPr>
          <w:b w:val="0"/>
          <w:bCs w:val="0"/>
        </w:rPr>
        <w:t>verdurisation</w:t>
      </w:r>
      <w:proofErr w:type="spellEnd"/>
      <w:r w:rsidRPr="00256E9F">
        <w:rPr>
          <w:b w:val="0"/>
          <w:bCs w:val="0"/>
        </w:rPr>
        <w:t xml:space="preserve"> (espaces verts, agriculture urbaine, vergers urbains, </w:t>
      </w:r>
      <w:proofErr w:type="spellStart"/>
      <w:r w:rsidRPr="00256E9F">
        <w:rPr>
          <w:b w:val="0"/>
          <w:bCs w:val="0"/>
        </w:rPr>
        <w:t>verdurisation</w:t>
      </w:r>
      <w:proofErr w:type="spellEnd"/>
      <w:r w:rsidRPr="00256E9F">
        <w:rPr>
          <w:b w:val="0"/>
          <w:bCs w:val="0"/>
        </w:rPr>
        <w:t xml:space="preserve"> des cours d’école, etc.) et à la part prise en charge sur fonds propres dans la construction ou la rénovation des bâtiments scolaires.</w:t>
      </w:r>
    </w:p>
    <w:p w14:paraId="191129FC" w14:textId="06AAE69B" w:rsidR="00333270" w:rsidRPr="00256E9F" w:rsidRDefault="00F77197" w:rsidP="00256E9F">
      <w:pPr>
        <w:pStyle w:val="Sam3"/>
        <w:rPr>
          <w:b w:val="0"/>
          <w:bCs w:val="0"/>
        </w:rPr>
      </w:pPr>
      <w:r w:rsidRPr="00256E9F">
        <w:rPr>
          <w:b w:val="0"/>
          <w:bCs w:val="0"/>
        </w:rPr>
        <w:t>Toutefois, l’ensemble doit être contenu dans un périmètre d’endettement maîtrisé.</w:t>
      </w:r>
    </w:p>
    <w:bookmarkEnd w:id="170"/>
    <w:p w14:paraId="52F4686C" w14:textId="77777777" w:rsidR="00F77197" w:rsidRPr="00256E9F" w:rsidRDefault="00F77197" w:rsidP="00256E9F">
      <w:pPr>
        <w:pStyle w:val="Sam3"/>
        <w:rPr>
          <w:b w:val="0"/>
          <w:bCs w:val="0"/>
        </w:rPr>
      </w:pPr>
      <w:r w:rsidRPr="00256E9F">
        <w:rPr>
          <w:b w:val="0"/>
          <w:bCs w:val="0"/>
        </w:rPr>
        <w:t>Conformément à la DPR, la liste des investissements comptabilisés hors balise a été élargie.</w:t>
      </w:r>
    </w:p>
    <w:p w14:paraId="4B1AE8F7" w14:textId="1AEFBFA0" w:rsidR="007755D5" w:rsidRPr="00256E9F" w:rsidRDefault="00F77197" w:rsidP="00256E9F">
      <w:pPr>
        <w:pStyle w:val="Sam3"/>
        <w:rPr>
          <w:b w:val="0"/>
          <w:bCs w:val="0"/>
        </w:rPr>
      </w:pPr>
      <w:r w:rsidRPr="00256E9F">
        <w:rPr>
          <w:b w:val="0"/>
          <w:bCs w:val="0"/>
        </w:rPr>
        <w:t xml:space="preserve">Conformément à la DPR, </w:t>
      </w:r>
      <w:bookmarkStart w:id="171" w:name="_Hlk107220498"/>
      <w:r w:rsidRPr="00256E9F">
        <w:rPr>
          <w:b w:val="0"/>
          <w:bCs w:val="0"/>
        </w:rPr>
        <w:t>il vous est</w:t>
      </w:r>
      <w:r w:rsidR="007755D5" w:rsidRPr="00256E9F">
        <w:rPr>
          <w:b w:val="0"/>
          <w:bCs w:val="0"/>
        </w:rPr>
        <w:t xml:space="preserve"> </w:t>
      </w:r>
      <w:r w:rsidRPr="00256E9F">
        <w:rPr>
          <w:b w:val="0"/>
          <w:bCs w:val="0"/>
        </w:rPr>
        <w:t>également demandé, dans le cadre d’une analyse plus globale</w:t>
      </w:r>
      <w:r w:rsidR="00055A8A" w:rsidRPr="00256E9F">
        <w:rPr>
          <w:b w:val="0"/>
          <w:bCs w:val="0"/>
        </w:rPr>
        <w:t xml:space="preserve"> et</w:t>
      </w:r>
      <w:r w:rsidR="00DA0A63" w:rsidRPr="00256E9F">
        <w:rPr>
          <w:b w:val="0"/>
          <w:bCs w:val="0"/>
        </w:rPr>
        <w:t xml:space="preserve"> en vue d’éventuelles modifications futures</w:t>
      </w:r>
      <w:r w:rsidRPr="00256E9F">
        <w:rPr>
          <w:b w:val="0"/>
          <w:bCs w:val="0"/>
        </w:rPr>
        <w:t xml:space="preserve">, </w:t>
      </w:r>
      <w:r w:rsidR="007755D5" w:rsidRPr="00256E9F">
        <w:rPr>
          <w:b w:val="0"/>
          <w:bCs w:val="0"/>
        </w:rPr>
        <w:t>d</w:t>
      </w:r>
      <w:r w:rsidRPr="00256E9F">
        <w:rPr>
          <w:b w:val="0"/>
          <w:bCs w:val="0"/>
        </w:rPr>
        <w:t>e p</w:t>
      </w:r>
      <w:r w:rsidR="007755D5" w:rsidRPr="00256E9F">
        <w:rPr>
          <w:b w:val="0"/>
          <w:bCs w:val="0"/>
        </w:rPr>
        <w:t xml:space="preserve">orter une attention </w:t>
      </w:r>
      <w:r w:rsidR="00777BEB" w:rsidRPr="00256E9F">
        <w:rPr>
          <w:b w:val="0"/>
          <w:bCs w:val="0"/>
        </w:rPr>
        <w:t xml:space="preserve">toute </w:t>
      </w:r>
      <w:r w:rsidR="007755D5" w:rsidRPr="00256E9F">
        <w:rPr>
          <w:b w:val="0"/>
          <w:bCs w:val="0"/>
        </w:rPr>
        <w:t xml:space="preserve">particulière à </w:t>
      </w:r>
      <w:r w:rsidR="00424D83" w:rsidRPr="00256E9F">
        <w:rPr>
          <w:b w:val="0"/>
          <w:bCs w:val="0"/>
        </w:rPr>
        <w:t xml:space="preserve">l’endettement et à </w:t>
      </w:r>
      <w:r w:rsidR="007755D5" w:rsidRPr="00256E9F">
        <w:rPr>
          <w:b w:val="0"/>
          <w:bCs w:val="0"/>
        </w:rPr>
        <w:t xml:space="preserve">la stabilisation de la charge de dette, et particulièrement </w:t>
      </w:r>
      <w:r w:rsidR="00777BEB" w:rsidRPr="00256E9F">
        <w:rPr>
          <w:b w:val="0"/>
          <w:bCs w:val="0"/>
        </w:rPr>
        <w:t>au</w:t>
      </w:r>
      <w:r w:rsidR="007755D5" w:rsidRPr="00256E9F">
        <w:rPr>
          <w:b w:val="0"/>
          <w:bCs w:val="0"/>
        </w:rPr>
        <w:t xml:space="preserve"> pourcentage des dépenses de dette en termes de proportion dans les recettes </w:t>
      </w:r>
      <w:r w:rsidR="00424D83" w:rsidRPr="00256E9F">
        <w:rPr>
          <w:b w:val="0"/>
          <w:bCs w:val="0"/>
        </w:rPr>
        <w:t>ordinaires</w:t>
      </w:r>
      <w:r w:rsidR="007755D5" w:rsidRPr="00256E9F">
        <w:rPr>
          <w:b w:val="0"/>
          <w:bCs w:val="0"/>
        </w:rPr>
        <w:t xml:space="preserve">, exercice qui permettra dès lors de garantir l’équilibre budgétaire. </w:t>
      </w:r>
    </w:p>
    <w:p w14:paraId="7DE8C64E" w14:textId="6ABE797E" w:rsidR="00F77197" w:rsidRPr="00256E9F" w:rsidRDefault="00F77197" w:rsidP="00256E9F">
      <w:pPr>
        <w:pStyle w:val="Sam3"/>
        <w:rPr>
          <w:b w:val="0"/>
          <w:bCs w:val="0"/>
        </w:rPr>
      </w:pPr>
      <w:r w:rsidRPr="00256E9F">
        <w:rPr>
          <w:b w:val="0"/>
          <w:bCs w:val="0"/>
        </w:rPr>
        <w:t xml:space="preserve">Dans ce cadre, il vous est </w:t>
      </w:r>
      <w:r w:rsidR="008A6AD6" w:rsidRPr="00256E9F">
        <w:rPr>
          <w:b w:val="0"/>
          <w:bCs w:val="0"/>
        </w:rPr>
        <w:t xml:space="preserve">demandé </w:t>
      </w:r>
      <w:r w:rsidRPr="00256E9F">
        <w:rPr>
          <w:b w:val="0"/>
          <w:bCs w:val="0"/>
        </w:rPr>
        <w:t>d’accompagner vos budgets et modifications budgétaires d’une annexe supplémentaire relative aux ratios de charge de dette et d’endettement.</w:t>
      </w:r>
    </w:p>
    <w:bookmarkEnd w:id="171"/>
    <w:p w14:paraId="74FCA1C4" w14:textId="77777777" w:rsidR="007B15CD" w:rsidRDefault="007B15CD" w:rsidP="00256E9F">
      <w:pPr>
        <w:pStyle w:val="Sam3"/>
      </w:pPr>
    </w:p>
    <w:p w14:paraId="1854BCD9" w14:textId="0D619E25" w:rsidR="002339E0" w:rsidRPr="00256E9F" w:rsidRDefault="00777BEB" w:rsidP="00256E9F">
      <w:pPr>
        <w:pStyle w:val="Sam3"/>
      </w:pPr>
      <w:r w:rsidRPr="00256E9F">
        <w:t>Je vous renvoie au point spécifique de cette circulaire.</w:t>
      </w:r>
    </w:p>
    <w:p w14:paraId="48386226" w14:textId="1AD6E27A" w:rsidR="00333270" w:rsidRDefault="00333270" w:rsidP="0097709B">
      <w:pPr>
        <w:jc w:val="both"/>
        <w:rPr>
          <w:rFonts w:eastAsiaTheme="minorHAnsi"/>
          <w:highlight w:val="yellow"/>
          <w:lang w:eastAsia="en-US"/>
        </w:rPr>
      </w:pPr>
    </w:p>
    <w:p w14:paraId="40BB28FA" w14:textId="77777777" w:rsidR="007B15CD" w:rsidRDefault="007B15CD" w:rsidP="0097709B">
      <w:pPr>
        <w:jc w:val="both"/>
        <w:rPr>
          <w:rFonts w:eastAsiaTheme="minorHAnsi"/>
          <w:highlight w:val="yellow"/>
          <w:lang w:eastAsia="en-US"/>
        </w:rPr>
      </w:pPr>
    </w:p>
    <w:p w14:paraId="0D88C953" w14:textId="0A6DBC8E" w:rsidR="00DA0A63" w:rsidRDefault="00DA0A63" w:rsidP="0097709B">
      <w:pPr>
        <w:jc w:val="both"/>
        <w:rPr>
          <w:rFonts w:eastAsiaTheme="minorHAnsi"/>
          <w:lang w:eastAsia="en-US"/>
        </w:rPr>
      </w:pPr>
      <w:r w:rsidRPr="00256E9F">
        <w:rPr>
          <w:rFonts w:eastAsiaTheme="minorHAnsi"/>
          <w:lang w:eastAsia="en-US"/>
        </w:rPr>
        <w:lastRenderedPageBreak/>
        <w:t>Concernant l’élargissement de la balise</w:t>
      </w:r>
      <w:r>
        <w:rPr>
          <w:rFonts w:eastAsiaTheme="minorHAnsi"/>
          <w:lang w:eastAsia="en-US"/>
        </w:rPr>
        <w:t>, celui-ci est rappelé ci-dessous :</w:t>
      </w:r>
    </w:p>
    <w:p w14:paraId="2EE75154" w14:textId="77777777" w:rsidR="00DA0A63" w:rsidRPr="00256E9F" w:rsidRDefault="00DA0A63" w:rsidP="0097709B">
      <w:pPr>
        <w:jc w:val="both"/>
        <w:rPr>
          <w:rFonts w:eastAsiaTheme="minorHAnsi"/>
          <w:lang w:eastAsia="en-US"/>
        </w:rPr>
      </w:pPr>
    </w:p>
    <w:p w14:paraId="4A13E8CB" w14:textId="55B2D23D" w:rsidR="00FC7E8D" w:rsidRPr="00256E9F" w:rsidRDefault="00016AE8" w:rsidP="0097709B">
      <w:pPr>
        <w:jc w:val="both"/>
        <w:rPr>
          <w:rFonts w:eastAsiaTheme="minorHAnsi"/>
          <w:lang w:eastAsia="en-US"/>
        </w:rPr>
      </w:pPr>
      <w:r w:rsidRPr="00256E9F">
        <w:rPr>
          <w:rFonts w:eastAsiaTheme="minorHAnsi"/>
          <w:lang w:eastAsia="en-US"/>
        </w:rPr>
        <w:t>Jusqu’en 2020, les</w:t>
      </w:r>
      <w:r w:rsidR="00A50F6F" w:rsidRPr="00256E9F">
        <w:rPr>
          <w:rFonts w:eastAsiaTheme="minorHAnsi"/>
          <w:lang w:eastAsia="en-US"/>
        </w:rPr>
        <w:t xml:space="preserve"> investissements pouvant faire l’objet d’une demande de mise hors balise, </w:t>
      </w:r>
      <w:r w:rsidRPr="00256E9F">
        <w:rPr>
          <w:rFonts w:eastAsiaTheme="minorHAnsi"/>
          <w:lang w:eastAsia="en-US"/>
        </w:rPr>
        <w:t>étaient les suivants</w:t>
      </w:r>
      <w:r w:rsidR="00FD06D8" w:rsidRPr="00256E9F">
        <w:rPr>
          <w:rFonts w:eastAsiaTheme="minorHAnsi"/>
          <w:lang w:eastAsia="en-US"/>
        </w:rPr>
        <w:t> :</w:t>
      </w:r>
      <w:r w:rsidR="00A50F6F" w:rsidRPr="00256E9F">
        <w:rPr>
          <w:rFonts w:eastAsiaTheme="minorHAnsi"/>
          <w:lang w:eastAsia="en-US"/>
        </w:rPr>
        <w:t> </w:t>
      </w:r>
    </w:p>
    <w:p w14:paraId="1D2A4623" w14:textId="7D3C43BA" w:rsidR="0097709B" w:rsidRPr="00256E9F" w:rsidRDefault="0097709B">
      <w:pPr>
        <w:jc w:val="both"/>
        <w:rPr>
          <w:rFonts w:eastAsiaTheme="minorHAnsi"/>
          <w:sz w:val="6"/>
          <w:szCs w:val="6"/>
          <w:lang w:eastAsia="en-US"/>
        </w:rPr>
      </w:pPr>
    </w:p>
    <w:p w14:paraId="78D69E84" w14:textId="3609E5BD" w:rsidR="00FC7E8D" w:rsidRPr="00256E9F" w:rsidRDefault="00FD06D8" w:rsidP="008D7EB7">
      <w:pPr>
        <w:pStyle w:val="Paragraphedeliste"/>
        <w:numPr>
          <w:ilvl w:val="0"/>
          <w:numId w:val="289"/>
        </w:numPr>
        <w:rPr>
          <w:rFonts w:eastAsiaTheme="minorHAnsi"/>
          <w:lang w:eastAsia="en-US"/>
        </w:rPr>
      </w:pPr>
      <w:proofErr w:type="gramStart"/>
      <w:r w:rsidRPr="00256E9F">
        <w:rPr>
          <w:rFonts w:eastAsiaTheme="minorHAnsi"/>
          <w:lang w:eastAsia="en-US"/>
        </w:rPr>
        <w:t>l</w:t>
      </w:r>
      <w:r w:rsidR="00A50F6F" w:rsidRPr="00256E9F">
        <w:rPr>
          <w:rFonts w:eastAsiaTheme="minorHAnsi"/>
          <w:lang w:eastAsia="en-US"/>
        </w:rPr>
        <w:t>es</w:t>
      </w:r>
      <w:proofErr w:type="gramEnd"/>
      <w:r w:rsidR="00A50F6F" w:rsidRPr="00256E9F">
        <w:rPr>
          <w:rFonts w:eastAsiaTheme="minorHAnsi"/>
          <w:lang w:eastAsia="en-US"/>
        </w:rPr>
        <w:t xml:space="preserve"> investissements productifs ;</w:t>
      </w:r>
    </w:p>
    <w:p w14:paraId="08B59420" w14:textId="4F24ED24" w:rsidR="00A50F6F" w:rsidRPr="00256E9F" w:rsidRDefault="00FD06D8" w:rsidP="008D7EB7">
      <w:pPr>
        <w:pStyle w:val="Paragraphedeliste"/>
        <w:numPr>
          <w:ilvl w:val="0"/>
          <w:numId w:val="289"/>
        </w:numPr>
        <w:rPr>
          <w:rFonts w:eastAsiaTheme="minorHAnsi"/>
          <w:lang w:eastAsia="en-US"/>
        </w:rPr>
      </w:pPr>
      <w:proofErr w:type="gramStart"/>
      <w:r w:rsidRPr="00256E9F">
        <w:rPr>
          <w:rFonts w:eastAsiaTheme="minorHAnsi"/>
          <w:lang w:eastAsia="en-US"/>
        </w:rPr>
        <w:t>l</w:t>
      </w:r>
      <w:r w:rsidR="00A50F6F" w:rsidRPr="00256E9F">
        <w:rPr>
          <w:rFonts w:eastAsiaTheme="minorHAnsi"/>
          <w:lang w:eastAsia="en-US"/>
        </w:rPr>
        <w:t>es</w:t>
      </w:r>
      <w:proofErr w:type="gramEnd"/>
      <w:r w:rsidR="00A50F6F" w:rsidRPr="00256E9F">
        <w:rPr>
          <w:rFonts w:eastAsiaTheme="minorHAnsi"/>
          <w:lang w:eastAsia="en-US"/>
        </w:rPr>
        <w:t xml:space="preserve"> investissements rentables ;</w:t>
      </w:r>
    </w:p>
    <w:p w14:paraId="6057AA95" w14:textId="59286841" w:rsidR="00FC7E8D" w:rsidRPr="00256E9F" w:rsidRDefault="00FD06D8" w:rsidP="008D7EB7">
      <w:pPr>
        <w:pStyle w:val="Paragraphedeliste"/>
        <w:numPr>
          <w:ilvl w:val="0"/>
          <w:numId w:val="289"/>
        </w:numPr>
        <w:rPr>
          <w:rFonts w:eastAsiaTheme="minorHAnsi"/>
          <w:lang w:eastAsia="en-US"/>
        </w:rPr>
      </w:pPr>
      <w:proofErr w:type="gramStart"/>
      <w:r w:rsidRPr="00256E9F">
        <w:rPr>
          <w:rFonts w:eastAsiaTheme="minorHAnsi"/>
          <w:lang w:eastAsia="en-US"/>
        </w:rPr>
        <w:t>l</w:t>
      </w:r>
      <w:r w:rsidR="00A50F6F" w:rsidRPr="00256E9F">
        <w:rPr>
          <w:rFonts w:eastAsiaTheme="minorHAnsi"/>
          <w:lang w:eastAsia="en-US"/>
        </w:rPr>
        <w:t>es</w:t>
      </w:r>
      <w:proofErr w:type="gramEnd"/>
      <w:r w:rsidR="00A50F6F" w:rsidRPr="00256E9F">
        <w:rPr>
          <w:rFonts w:eastAsiaTheme="minorHAnsi"/>
          <w:lang w:eastAsia="en-US"/>
        </w:rPr>
        <w:t xml:space="preserve"> investissements pour mise aux normes de sécurité et d’hygiène ;</w:t>
      </w:r>
    </w:p>
    <w:p w14:paraId="680DA681" w14:textId="4F631E5D" w:rsidR="00A50F6F" w:rsidRPr="00256E9F" w:rsidRDefault="00FD06D8" w:rsidP="008D7EB7">
      <w:pPr>
        <w:pStyle w:val="Paragraphedeliste"/>
        <w:numPr>
          <w:ilvl w:val="0"/>
          <w:numId w:val="289"/>
        </w:numPr>
        <w:rPr>
          <w:rFonts w:eastAsiaTheme="minorHAnsi"/>
          <w:lang w:eastAsia="en-US"/>
        </w:rPr>
      </w:pPr>
      <w:proofErr w:type="gramStart"/>
      <w:r w:rsidRPr="00256E9F">
        <w:rPr>
          <w:rFonts w:eastAsiaTheme="minorHAnsi"/>
          <w:lang w:eastAsia="en-US"/>
        </w:rPr>
        <w:t>l</w:t>
      </w:r>
      <w:r w:rsidR="00A50F6F" w:rsidRPr="00256E9F">
        <w:rPr>
          <w:rFonts w:eastAsiaTheme="minorHAnsi"/>
          <w:lang w:eastAsia="en-US"/>
        </w:rPr>
        <w:t>e</w:t>
      </w:r>
      <w:proofErr w:type="gramEnd"/>
      <w:r w:rsidR="00A50F6F" w:rsidRPr="00256E9F">
        <w:rPr>
          <w:rFonts w:eastAsiaTheme="minorHAnsi"/>
          <w:lang w:eastAsia="en-US"/>
        </w:rPr>
        <w:t xml:space="preserve"> verdissement de la flotte locale.</w:t>
      </w:r>
    </w:p>
    <w:p w14:paraId="7301CB56" w14:textId="2890BCBD" w:rsidR="0097709B" w:rsidRPr="00256E9F" w:rsidRDefault="0097709B" w:rsidP="008D7EB7">
      <w:pPr>
        <w:rPr>
          <w:rFonts w:eastAsiaTheme="minorHAnsi"/>
          <w:sz w:val="6"/>
          <w:szCs w:val="6"/>
          <w:lang w:eastAsia="en-US"/>
        </w:rPr>
      </w:pPr>
    </w:p>
    <w:p w14:paraId="25B39478" w14:textId="13B82B14" w:rsidR="00A50F6F" w:rsidRPr="00256E9F" w:rsidRDefault="00BC07FD" w:rsidP="0097709B">
      <w:pPr>
        <w:jc w:val="both"/>
        <w:rPr>
          <w:rFonts w:eastAsiaTheme="minorHAnsi"/>
          <w:lang w:eastAsia="en-US"/>
        </w:rPr>
      </w:pPr>
      <w:r w:rsidRPr="00256E9F">
        <w:rPr>
          <w:rFonts w:eastAsiaTheme="minorHAnsi"/>
          <w:lang w:eastAsia="en-US"/>
        </w:rPr>
        <w:t xml:space="preserve">Conformément à la Déclaration de Politique Régionale, </w:t>
      </w:r>
      <w:r w:rsidR="006C2113" w:rsidRPr="00256E9F">
        <w:rPr>
          <w:rFonts w:eastAsiaTheme="minorHAnsi"/>
          <w:lang w:eastAsia="en-US"/>
        </w:rPr>
        <w:t>ont été</w:t>
      </w:r>
      <w:r w:rsidR="00A50F6F" w:rsidRPr="00256E9F">
        <w:rPr>
          <w:rFonts w:eastAsiaTheme="minorHAnsi"/>
          <w:lang w:eastAsia="en-US"/>
        </w:rPr>
        <w:t xml:space="preserve"> ajoutés </w:t>
      </w:r>
      <w:r w:rsidR="006C2113" w:rsidRPr="00256E9F">
        <w:rPr>
          <w:rFonts w:eastAsiaTheme="minorHAnsi"/>
          <w:lang w:eastAsia="en-US"/>
        </w:rPr>
        <w:t xml:space="preserve">dès l’année budgétaire 2021 </w:t>
      </w:r>
      <w:r w:rsidR="00A50F6F" w:rsidRPr="00256E9F">
        <w:rPr>
          <w:rFonts w:eastAsiaTheme="minorHAnsi"/>
          <w:lang w:eastAsia="en-US"/>
        </w:rPr>
        <w:t>les investissements suivants :</w:t>
      </w:r>
    </w:p>
    <w:p w14:paraId="51B91ABF" w14:textId="1B594EAC" w:rsidR="0097709B" w:rsidRPr="00256E9F" w:rsidRDefault="0097709B">
      <w:pPr>
        <w:jc w:val="both"/>
        <w:rPr>
          <w:rFonts w:eastAsiaTheme="minorHAnsi"/>
          <w:sz w:val="6"/>
          <w:szCs w:val="6"/>
          <w:lang w:eastAsia="en-US"/>
        </w:rPr>
      </w:pPr>
    </w:p>
    <w:p w14:paraId="4E8B5ABB" w14:textId="4782E955" w:rsidR="00FC7E8D" w:rsidRPr="00256E9F" w:rsidRDefault="00394F8E" w:rsidP="008D7EB7">
      <w:pPr>
        <w:pStyle w:val="Paragraphedeliste"/>
        <w:numPr>
          <w:ilvl w:val="0"/>
          <w:numId w:val="290"/>
        </w:numPr>
        <w:jc w:val="both"/>
        <w:rPr>
          <w:rFonts w:eastAsiaTheme="minorHAnsi"/>
          <w:lang w:val="fr-BE" w:eastAsia="en-US"/>
        </w:rPr>
      </w:pPr>
      <w:proofErr w:type="gramStart"/>
      <w:r w:rsidRPr="00256E9F">
        <w:rPr>
          <w:rFonts w:eastAsiaTheme="minorHAnsi"/>
          <w:lang w:eastAsia="en-US"/>
        </w:rPr>
        <w:t>i</w:t>
      </w:r>
      <w:r w:rsidR="0085328A" w:rsidRPr="00256E9F">
        <w:rPr>
          <w:rFonts w:eastAsiaTheme="minorHAnsi"/>
          <w:lang w:eastAsia="en-US"/>
        </w:rPr>
        <w:t>n</w:t>
      </w:r>
      <w:r w:rsidR="00FC7E8D" w:rsidRPr="00256E9F">
        <w:rPr>
          <w:rFonts w:eastAsiaTheme="minorHAnsi"/>
          <w:lang w:eastAsia="en-US"/>
        </w:rPr>
        <w:t>vestissements</w:t>
      </w:r>
      <w:proofErr w:type="gramEnd"/>
      <w:r w:rsidR="00FC7E8D" w:rsidRPr="00256E9F">
        <w:rPr>
          <w:rFonts w:eastAsiaTheme="minorHAnsi"/>
          <w:lang w:eastAsia="en-US"/>
        </w:rPr>
        <w:t xml:space="preserve"> liés à la mobilité douce (aménagements de trottoirs, pistes cyclables, sécurité routière</w:t>
      </w:r>
      <w:r w:rsidR="001E47BC" w:rsidRPr="00256E9F">
        <w:rPr>
          <w:rFonts w:eastAsiaTheme="minorHAnsi"/>
          <w:b/>
          <w:lang w:eastAsia="en-US"/>
        </w:rPr>
        <w:t xml:space="preserve">, </w:t>
      </w:r>
      <w:r w:rsidR="00CF27C2" w:rsidRPr="00256E9F">
        <w:rPr>
          <w:rFonts w:eastAsiaTheme="minorHAnsi"/>
          <w:lang w:eastAsia="en-US"/>
        </w:rPr>
        <w:t xml:space="preserve">ainsi que les </w:t>
      </w:r>
      <w:r w:rsidR="00AE36ED" w:rsidRPr="00256E9F">
        <w:rPr>
          <w:rFonts w:eastAsiaTheme="minorHAnsi"/>
          <w:lang w:eastAsia="en-US"/>
        </w:rPr>
        <w:t>aménagements</w:t>
      </w:r>
      <w:r w:rsidR="00CF27C2" w:rsidRPr="00256E9F">
        <w:rPr>
          <w:rFonts w:eastAsiaTheme="minorHAnsi"/>
          <w:lang w:eastAsia="en-US"/>
        </w:rPr>
        <w:t xml:space="preserve"> induits (parking vélo, etc.) </w:t>
      </w:r>
      <w:r w:rsidR="00FD06D8" w:rsidRPr="00256E9F">
        <w:rPr>
          <w:rFonts w:eastAsiaTheme="minorHAnsi"/>
          <w:lang w:eastAsia="en-US"/>
        </w:rPr>
        <w:t>;</w:t>
      </w:r>
    </w:p>
    <w:p w14:paraId="5DF95B64" w14:textId="28F86D2B" w:rsidR="00A50F6F" w:rsidRPr="00256E9F" w:rsidRDefault="00394F8E" w:rsidP="008D7EB7">
      <w:pPr>
        <w:pStyle w:val="Paragraphedeliste"/>
        <w:numPr>
          <w:ilvl w:val="0"/>
          <w:numId w:val="290"/>
        </w:numPr>
        <w:jc w:val="both"/>
        <w:rPr>
          <w:rFonts w:eastAsiaTheme="minorHAnsi"/>
          <w:lang w:val="fr-BE" w:eastAsia="en-US"/>
        </w:rPr>
      </w:pPr>
      <w:proofErr w:type="spellStart"/>
      <w:proofErr w:type="gramStart"/>
      <w:r w:rsidRPr="00256E9F">
        <w:rPr>
          <w:rFonts w:eastAsiaTheme="minorHAnsi"/>
          <w:lang w:eastAsia="en-US"/>
        </w:rPr>
        <w:t>v</w:t>
      </w:r>
      <w:r w:rsidR="00FC7E8D" w:rsidRPr="00256E9F">
        <w:rPr>
          <w:rFonts w:eastAsiaTheme="minorHAnsi"/>
          <w:lang w:eastAsia="en-US"/>
        </w:rPr>
        <w:t>erdurisation</w:t>
      </w:r>
      <w:proofErr w:type="spellEnd"/>
      <w:proofErr w:type="gramEnd"/>
      <w:r w:rsidR="00FC7E8D" w:rsidRPr="00256E9F">
        <w:rPr>
          <w:rFonts w:eastAsiaTheme="minorHAnsi"/>
          <w:lang w:eastAsia="en-US"/>
        </w:rPr>
        <w:t xml:space="preserve"> (espaces verts, agriculture urbaine, vergers urbains, </w:t>
      </w:r>
      <w:proofErr w:type="spellStart"/>
      <w:r w:rsidR="00FC7E8D" w:rsidRPr="00256E9F">
        <w:rPr>
          <w:rFonts w:eastAsiaTheme="minorHAnsi"/>
          <w:lang w:eastAsia="en-US"/>
        </w:rPr>
        <w:t>verdurisation</w:t>
      </w:r>
      <w:proofErr w:type="spellEnd"/>
      <w:r w:rsidR="00FC7E8D" w:rsidRPr="00256E9F">
        <w:rPr>
          <w:rFonts w:eastAsiaTheme="minorHAnsi"/>
          <w:lang w:eastAsia="en-US"/>
        </w:rPr>
        <w:t xml:space="preserve"> des cours d’école, etc.)</w:t>
      </w:r>
      <w:r w:rsidR="00FD06D8" w:rsidRPr="00256E9F">
        <w:rPr>
          <w:rFonts w:eastAsiaTheme="minorHAnsi"/>
          <w:lang w:eastAsia="en-US"/>
        </w:rPr>
        <w:t> ;</w:t>
      </w:r>
    </w:p>
    <w:p w14:paraId="7006BC41" w14:textId="26EAB964" w:rsidR="0097709B" w:rsidRPr="00256E9F" w:rsidRDefault="00394F8E" w:rsidP="0097709B">
      <w:pPr>
        <w:pStyle w:val="Paragraphedeliste"/>
        <w:numPr>
          <w:ilvl w:val="0"/>
          <w:numId w:val="290"/>
        </w:numPr>
        <w:jc w:val="both"/>
        <w:rPr>
          <w:rFonts w:eastAsiaTheme="minorHAnsi"/>
          <w:lang w:val="fr-BE" w:eastAsia="en-US"/>
        </w:rPr>
      </w:pPr>
      <w:proofErr w:type="gramStart"/>
      <w:r w:rsidRPr="00256E9F">
        <w:rPr>
          <w:rFonts w:eastAsiaTheme="minorHAnsi"/>
          <w:lang w:eastAsia="en-US"/>
        </w:rPr>
        <w:t>p</w:t>
      </w:r>
      <w:r w:rsidR="00FC7E8D" w:rsidRPr="00256E9F">
        <w:rPr>
          <w:rFonts w:eastAsiaTheme="minorHAnsi"/>
          <w:lang w:eastAsia="en-US"/>
        </w:rPr>
        <w:t>art</w:t>
      </w:r>
      <w:proofErr w:type="gramEnd"/>
      <w:r w:rsidR="00FC7E8D" w:rsidRPr="00256E9F">
        <w:rPr>
          <w:rFonts w:eastAsiaTheme="minorHAnsi"/>
          <w:lang w:eastAsia="en-US"/>
        </w:rPr>
        <w:t xml:space="preserve"> prise en charge sur fonds propres dans la construction ou la rénovation de bâtiments scolaires</w:t>
      </w:r>
      <w:r w:rsidR="0097709B" w:rsidRPr="00256E9F">
        <w:rPr>
          <w:rFonts w:eastAsiaTheme="minorHAnsi"/>
          <w:lang w:eastAsia="en-US"/>
        </w:rPr>
        <w:t>.</w:t>
      </w:r>
    </w:p>
    <w:p w14:paraId="01BED149" w14:textId="244CB72F" w:rsidR="006C2113" w:rsidRPr="00256E9F" w:rsidRDefault="006C2113" w:rsidP="0097709B">
      <w:pPr>
        <w:pStyle w:val="Paragraphedeliste"/>
        <w:numPr>
          <w:ilvl w:val="0"/>
          <w:numId w:val="290"/>
        </w:numPr>
        <w:jc w:val="both"/>
        <w:rPr>
          <w:rFonts w:eastAsiaTheme="minorHAnsi"/>
          <w:lang w:val="fr-BE" w:eastAsia="en-US"/>
        </w:rPr>
      </w:pPr>
      <w:bookmarkStart w:id="172" w:name="_Hlk72920411"/>
      <w:proofErr w:type="gramStart"/>
      <w:r w:rsidRPr="00256E9F">
        <w:rPr>
          <w:rFonts w:eastAsiaTheme="minorHAnsi"/>
          <w:lang w:eastAsia="en-US"/>
        </w:rPr>
        <w:t>les</w:t>
      </w:r>
      <w:proofErr w:type="gramEnd"/>
      <w:r w:rsidRPr="00256E9F">
        <w:rPr>
          <w:rFonts w:eastAsiaTheme="minorHAnsi"/>
          <w:lang w:eastAsia="en-US"/>
        </w:rPr>
        <w:t xml:space="preserve"> investissements permettant d’assurer une plus grande sécurité sanitaire</w:t>
      </w:r>
      <w:r w:rsidRPr="00256E9F">
        <w:rPr>
          <w:rFonts w:eastAsiaTheme="minorHAnsi"/>
          <w:b/>
          <w:lang w:eastAsia="en-US"/>
        </w:rPr>
        <w:t xml:space="preserve"> </w:t>
      </w:r>
      <w:r w:rsidRPr="00256E9F">
        <w:rPr>
          <w:rFonts w:eastAsiaTheme="minorHAnsi"/>
          <w:lang w:eastAsia="en-US"/>
        </w:rPr>
        <w:t>ainsi que tous autres investissements induits.</w:t>
      </w:r>
      <w:r w:rsidRPr="00256E9F">
        <w:rPr>
          <w:rFonts w:eastAsiaTheme="minorHAnsi"/>
          <w:b/>
          <w:lang w:eastAsia="en-US"/>
        </w:rPr>
        <w:t xml:space="preserve"> </w:t>
      </w:r>
    </w:p>
    <w:bookmarkEnd w:id="172"/>
    <w:p w14:paraId="702F53EC" w14:textId="0093BA4E" w:rsidR="00FC7E8D" w:rsidRPr="00256E9F" w:rsidRDefault="00DA0A63" w:rsidP="008D7EB7">
      <w:pPr>
        <w:jc w:val="both"/>
        <w:rPr>
          <w:rFonts w:eastAsiaTheme="minorHAnsi"/>
          <w:lang w:eastAsia="en-US"/>
        </w:rPr>
      </w:pPr>
      <w:r>
        <w:rPr>
          <w:rFonts w:eastAsiaTheme="minorHAnsi"/>
          <w:lang w:eastAsia="en-US"/>
        </w:rPr>
        <w:t>Depuis</w:t>
      </w:r>
      <w:r w:rsidR="00977FD7" w:rsidRPr="00256E9F">
        <w:rPr>
          <w:rFonts w:eastAsiaTheme="minorHAnsi"/>
          <w:lang w:eastAsia="en-US"/>
        </w:rPr>
        <w:t xml:space="preserve"> l’année 2022, sont </w:t>
      </w:r>
      <w:r w:rsidR="00162F0E" w:rsidRPr="00256E9F">
        <w:rPr>
          <w:rFonts w:eastAsiaTheme="minorHAnsi"/>
          <w:lang w:eastAsia="en-US"/>
        </w:rPr>
        <w:t xml:space="preserve">également </w:t>
      </w:r>
      <w:r w:rsidR="00977FD7" w:rsidRPr="00256E9F">
        <w:rPr>
          <w:rFonts w:eastAsiaTheme="minorHAnsi"/>
          <w:lang w:eastAsia="en-US"/>
        </w:rPr>
        <w:t xml:space="preserve">mis hors balise </w:t>
      </w:r>
      <w:r w:rsidR="00B02481" w:rsidRPr="00256E9F">
        <w:rPr>
          <w:rFonts w:eastAsiaTheme="minorHAnsi"/>
          <w:lang w:eastAsia="en-US"/>
        </w:rPr>
        <w:t xml:space="preserve">de manière automatique et donc sans devoir faire l’objet d’une demande, </w:t>
      </w:r>
      <w:r w:rsidR="00977FD7" w:rsidRPr="00256E9F">
        <w:rPr>
          <w:rFonts w:eastAsiaTheme="minorHAnsi"/>
          <w:lang w:eastAsia="en-US"/>
        </w:rPr>
        <w:t>les investissements</w:t>
      </w:r>
      <w:r w:rsidR="00FC7E8D" w:rsidRPr="00256E9F">
        <w:rPr>
          <w:rFonts w:eastAsiaTheme="minorHAnsi"/>
          <w:lang w:eastAsia="en-US"/>
        </w:rPr>
        <w:t xml:space="preserve"> </w:t>
      </w:r>
      <w:r w:rsidR="00977FD7" w:rsidRPr="00256E9F">
        <w:rPr>
          <w:rFonts w:eastAsiaTheme="minorHAnsi"/>
          <w:lang w:eastAsia="en-US"/>
        </w:rPr>
        <w:t>réalisés dans le cadre de la nouvelle politique intégrée de la ville et reconnu comme tel</w:t>
      </w:r>
      <w:r w:rsidR="001C3EA5" w:rsidRPr="00256E9F">
        <w:rPr>
          <w:rFonts w:eastAsiaTheme="minorHAnsi"/>
          <w:lang w:eastAsia="en-US"/>
        </w:rPr>
        <w:t xml:space="preserve"> par un arrêté d’octroi de subvention. Le montant de l’investissement pourra être pris en compte</w:t>
      </w:r>
      <w:r w:rsidR="00977FD7" w:rsidRPr="00256E9F">
        <w:rPr>
          <w:rFonts w:eastAsiaTheme="minorHAnsi"/>
          <w:lang w:eastAsia="en-US"/>
        </w:rPr>
        <w:t xml:space="preserve"> à concurrence de la totalité</w:t>
      </w:r>
      <w:r w:rsidR="001C3EA5" w:rsidRPr="00256E9F">
        <w:rPr>
          <w:rFonts w:eastAsiaTheme="minorHAnsi"/>
          <w:lang w:eastAsia="en-US"/>
        </w:rPr>
        <w:t xml:space="preserve">, et donc </w:t>
      </w:r>
      <w:r w:rsidR="00977FD7" w:rsidRPr="00256E9F">
        <w:rPr>
          <w:rFonts w:eastAsiaTheme="minorHAnsi"/>
          <w:lang w:eastAsia="en-US"/>
        </w:rPr>
        <w:t>non limité à la part subsidiée par la Région wallonne</w:t>
      </w:r>
      <w:r w:rsidR="001C3EA5" w:rsidRPr="00256E9F">
        <w:rPr>
          <w:rFonts w:eastAsiaTheme="minorHAnsi"/>
          <w:lang w:eastAsia="en-US"/>
        </w:rPr>
        <w:t>.</w:t>
      </w:r>
    </w:p>
    <w:p w14:paraId="47382F13" w14:textId="0B8B9084" w:rsidR="0092610E" w:rsidRPr="00256E9F" w:rsidRDefault="0092610E" w:rsidP="008D7EB7">
      <w:pPr>
        <w:jc w:val="both"/>
        <w:rPr>
          <w:rFonts w:eastAsiaTheme="minorHAnsi"/>
          <w:lang w:eastAsia="en-US"/>
        </w:rPr>
      </w:pPr>
      <w:r w:rsidRPr="00256E9F">
        <w:rPr>
          <w:rFonts w:eastAsiaTheme="minorHAnsi"/>
          <w:lang w:eastAsia="en-US"/>
        </w:rPr>
        <w:t>Pour rappel, les thématiques retenues par le Gouvernement sont :</w:t>
      </w:r>
    </w:p>
    <w:p w14:paraId="7536FB48" w14:textId="518332F8" w:rsidR="0092610E" w:rsidRPr="00256E9F" w:rsidRDefault="0092610E" w:rsidP="00B94F94">
      <w:pPr>
        <w:ind w:left="284"/>
        <w:jc w:val="both"/>
        <w:rPr>
          <w:rFonts w:eastAsiaTheme="minorHAnsi"/>
          <w:lang w:eastAsia="en-US"/>
        </w:rPr>
      </w:pPr>
      <w:r w:rsidRPr="00256E9F">
        <w:rPr>
          <w:rFonts w:eastAsiaTheme="minorHAnsi"/>
          <w:lang w:eastAsia="en-US"/>
        </w:rPr>
        <w:t>- le développement des quartiers prioritaires ;</w:t>
      </w:r>
    </w:p>
    <w:p w14:paraId="15F97292" w14:textId="156D6C6D" w:rsidR="0092610E" w:rsidRPr="00256E9F" w:rsidRDefault="0092610E" w:rsidP="00B94F94">
      <w:pPr>
        <w:ind w:left="284"/>
        <w:jc w:val="both"/>
        <w:rPr>
          <w:rFonts w:eastAsiaTheme="minorHAnsi"/>
          <w:lang w:eastAsia="en-US"/>
        </w:rPr>
      </w:pPr>
      <w:r w:rsidRPr="00256E9F">
        <w:rPr>
          <w:rFonts w:eastAsiaTheme="minorHAnsi"/>
          <w:lang w:eastAsia="en-US"/>
        </w:rPr>
        <w:t>- la rénovation énergétique des bâtiments ;</w:t>
      </w:r>
    </w:p>
    <w:p w14:paraId="102649B6" w14:textId="73587E6B" w:rsidR="0092610E" w:rsidRPr="00256E9F" w:rsidRDefault="0092610E" w:rsidP="00B94F94">
      <w:pPr>
        <w:ind w:left="284"/>
        <w:jc w:val="both"/>
        <w:rPr>
          <w:rFonts w:eastAsiaTheme="minorHAnsi"/>
          <w:lang w:eastAsia="en-US"/>
        </w:rPr>
      </w:pPr>
      <w:r w:rsidRPr="00256E9F">
        <w:rPr>
          <w:rFonts w:eastAsiaTheme="minorHAnsi"/>
          <w:lang w:eastAsia="en-US"/>
        </w:rPr>
        <w:t>- la cohésion sociale ;</w:t>
      </w:r>
    </w:p>
    <w:p w14:paraId="5BBB2A55" w14:textId="27B88896" w:rsidR="0092610E" w:rsidRPr="00256E9F" w:rsidRDefault="0092610E" w:rsidP="00B94F94">
      <w:pPr>
        <w:ind w:left="284"/>
        <w:jc w:val="both"/>
        <w:rPr>
          <w:rFonts w:eastAsiaTheme="minorHAnsi"/>
          <w:lang w:eastAsia="en-US"/>
        </w:rPr>
      </w:pPr>
      <w:r w:rsidRPr="00256E9F">
        <w:rPr>
          <w:rFonts w:eastAsiaTheme="minorHAnsi"/>
          <w:lang w:eastAsia="en-US"/>
        </w:rPr>
        <w:t>- la politique de mobilité en ville ;</w:t>
      </w:r>
    </w:p>
    <w:p w14:paraId="491DD4BB" w14:textId="18BD858C" w:rsidR="0092610E" w:rsidRPr="00256E9F" w:rsidRDefault="0092610E" w:rsidP="00B94F94">
      <w:pPr>
        <w:ind w:left="284"/>
        <w:jc w:val="both"/>
        <w:rPr>
          <w:rFonts w:eastAsiaTheme="minorHAnsi"/>
          <w:lang w:eastAsia="en-US"/>
        </w:rPr>
      </w:pPr>
      <w:r w:rsidRPr="00256E9F">
        <w:rPr>
          <w:rFonts w:eastAsiaTheme="minorHAnsi"/>
          <w:lang w:eastAsia="en-US"/>
        </w:rPr>
        <w:t>- l’animation et la gestion commerciale des centres-villes ;</w:t>
      </w:r>
    </w:p>
    <w:p w14:paraId="5893728B" w14:textId="09DA8FE6" w:rsidR="0092610E" w:rsidRPr="00256E9F" w:rsidRDefault="0092610E" w:rsidP="00B94F94">
      <w:pPr>
        <w:ind w:left="284"/>
        <w:jc w:val="both"/>
        <w:rPr>
          <w:rFonts w:eastAsiaTheme="minorHAnsi"/>
          <w:lang w:eastAsia="en-US"/>
        </w:rPr>
      </w:pPr>
      <w:r w:rsidRPr="00256E9F">
        <w:rPr>
          <w:rFonts w:eastAsiaTheme="minorHAnsi"/>
          <w:lang w:eastAsia="en-US"/>
        </w:rPr>
        <w:t>- la végétalisation des villes et adaptation aux changements climatiques ;</w:t>
      </w:r>
    </w:p>
    <w:p w14:paraId="64900316" w14:textId="46A2D4DA" w:rsidR="0092610E" w:rsidRPr="00256E9F" w:rsidRDefault="0092610E" w:rsidP="00B94F94">
      <w:pPr>
        <w:ind w:left="284"/>
        <w:jc w:val="both"/>
        <w:rPr>
          <w:rFonts w:eastAsiaTheme="minorHAnsi"/>
          <w:lang w:eastAsia="en-US"/>
        </w:rPr>
      </w:pPr>
      <w:r w:rsidRPr="00256E9F">
        <w:rPr>
          <w:rFonts w:eastAsiaTheme="minorHAnsi"/>
          <w:lang w:eastAsia="en-US"/>
        </w:rPr>
        <w:t>- la ville connectée ;</w:t>
      </w:r>
    </w:p>
    <w:p w14:paraId="392011DF" w14:textId="1D0E6139" w:rsidR="0092610E" w:rsidRPr="00256E9F" w:rsidRDefault="0092610E" w:rsidP="00B94F94">
      <w:pPr>
        <w:ind w:left="284"/>
        <w:jc w:val="both"/>
        <w:rPr>
          <w:rFonts w:eastAsiaTheme="minorHAnsi"/>
          <w:lang w:eastAsia="en-US"/>
        </w:rPr>
      </w:pPr>
      <w:r w:rsidRPr="00256E9F">
        <w:rPr>
          <w:rFonts w:eastAsiaTheme="minorHAnsi"/>
          <w:lang w:eastAsia="en-US"/>
        </w:rPr>
        <w:t>- le tourisme et le patrimoine ;</w:t>
      </w:r>
    </w:p>
    <w:p w14:paraId="282089E1" w14:textId="683990F9" w:rsidR="0092610E" w:rsidRPr="00256E9F" w:rsidRDefault="0092610E" w:rsidP="00B94F94">
      <w:pPr>
        <w:ind w:left="284"/>
        <w:jc w:val="both"/>
        <w:rPr>
          <w:rFonts w:eastAsiaTheme="minorHAnsi"/>
          <w:lang w:eastAsia="en-US"/>
        </w:rPr>
      </w:pPr>
      <w:r w:rsidRPr="00256E9F">
        <w:rPr>
          <w:rFonts w:eastAsiaTheme="minorHAnsi"/>
          <w:lang w:eastAsia="en-US"/>
        </w:rPr>
        <w:t>- le logement ;</w:t>
      </w:r>
    </w:p>
    <w:p w14:paraId="2AF25700" w14:textId="4DAAEE73" w:rsidR="0092610E" w:rsidRPr="00256E9F" w:rsidRDefault="0092610E" w:rsidP="00B94F94">
      <w:pPr>
        <w:ind w:left="284"/>
        <w:jc w:val="both"/>
        <w:rPr>
          <w:rFonts w:eastAsiaTheme="minorHAnsi"/>
          <w:lang w:eastAsia="en-US"/>
        </w:rPr>
      </w:pPr>
      <w:r w:rsidRPr="00256E9F">
        <w:rPr>
          <w:rFonts w:eastAsiaTheme="minorHAnsi"/>
          <w:lang w:eastAsia="en-US"/>
        </w:rPr>
        <w:t>- la réhabilitation des sites à réaménager dans les centralités des villes</w:t>
      </w:r>
      <w:r w:rsidR="00A36325" w:rsidRPr="00256E9F">
        <w:rPr>
          <w:rFonts w:eastAsiaTheme="minorHAnsi"/>
          <w:lang w:eastAsia="en-US"/>
        </w:rPr>
        <w:t>.</w:t>
      </w:r>
    </w:p>
    <w:p w14:paraId="4CE1A678" w14:textId="318A9D27" w:rsidR="006905E9" w:rsidRPr="00256E9F" w:rsidRDefault="006905E9" w:rsidP="008D7EB7">
      <w:pPr>
        <w:jc w:val="both"/>
        <w:rPr>
          <w:rFonts w:eastAsiaTheme="minorHAnsi"/>
          <w:sz w:val="10"/>
          <w:szCs w:val="10"/>
          <w:lang w:eastAsia="en-US"/>
        </w:rPr>
      </w:pPr>
    </w:p>
    <w:p w14:paraId="3F6CD6B6" w14:textId="3E5EFCA1" w:rsidR="00A00783" w:rsidRPr="00256E9F" w:rsidRDefault="00A00783" w:rsidP="008D7EB7">
      <w:pPr>
        <w:jc w:val="both"/>
        <w:rPr>
          <w:rFonts w:eastAsiaTheme="minorHAnsi"/>
          <w:lang w:eastAsia="en-US"/>
        </w:rPr>
      </w:pPr>
      <w:bookmarkStart w:id="173" w:name="_Hlk76048433"/>
      <w:r w:rsidRPr="00256E9F">
        <w:rPr>
          <w:rFonts w:eastAsiaTheme="minorHAnsi"/>
          <w:lang w:eastAsia="en-US"/>
        </w:rPr>
        <w:t xml:space="preserve">Par ailleurs, </w:t>
      </w:r>
      <w:bookmarkStart w:id="174" w:name="_Hlk76118834"/>
      <w:r w:rsidRPr="00256E9F">
        <w:rPr>
          <w:rFonts w:eastAsiaTheme="minorHAnsi"/>
          <w:lang w:eastAsia="en-US"/>
        </w:rPr>
        <w:t xml:space="preserve">en cohérence avec les objectifs stratégiques de la Wallonie, l’ensemble des investissements réalisés et subsidiés dans le cadre du Plan de relance de Wallonie sont considérés </w:t>
      </w:r>
      <w:r w:rsidR="00B02481" w:rsidRPr="00256E9F">
        <w:rPr>
          <w:rFonts w:eastAsiaTheme="minorHAnsi"/>
          <w:lang w:eastAsia="en-US"/>
        </w:rPr>
        <w:t xml:space="preserve">automatiquement </w:t>
      </w:r>
      <w:r w:rsidRPr="00256E9F">
        <w:rPr>
          <w:rFonts w:eastAsiaTheme="minorHAnsi"/>
          <w:lang w:eastAsia="en-US"/>
        </w:rPr>
        <w:t>« hors balise »</w:t>
      </w:r>
      <w:r w:rsidR="00B02481" w:rsidRPr="00256E9F">
        <w:rPr>
          <w:rFonts w:eastAsiaTheme="minorHAnsi"/>
          <w:lang w:eastAsia="en-US"/>
        </w:rPr>
        <w:t xml:space="preserve"> et ne devront dès lors pas faire l’objet d’une demande</w:t>
      </w:r>
      <w:r w:rsidRPr="00256E9F">
        <w:rPr>
          <w:rFonts w:eastAsiaTheme="minorHAnsi"/>
          <w:lang w:eastAsia="en-US"/>
        </w:rPr>
        <w:t>.</w:t>
      </w:r>
    </w:p>
    <w:p w14:paraId="0BB2C05B" w14:textId="374ADFE8" w:rsidR="00443178" w:rsidRPr="00256E9F" w:rsidRDefault="00443178" w:rsidP="008D7EB7">
      <w:pPr>
        <w:jc w:val="both"/>
        <w:rPr>
          <w:rFonts w:eastAsiaTheme="minorHAnsi"/>
          <w:b/>
          <w:bCs/>
          <w:lang w:eastAsia="en-US"/>
        </w:rPr>
      </w:pPr>
      <w:r w:rsidRPr="00256E9F">
        <w:rPr>
          <w:rFonts w:eastAsiaTheme="minorHAnsi"/>
          <w:b/>
          <w:bCs/>
          <w:lang w:eastAsia="en-US"/>
        </w:rPr>
        <w:t xml:space="preserve">Les investissements réalisés sur la base d’un rapport </w:t>
      </w:r>
      <w:proofErr w:type="spellStart"/>
      <w:r w:rsidRPr="00256E9F">
        <w:rPr>
          <w:rFonts w:eastAsiaTheme="minorHAnsi"/>
          <w:b/>
          <w:bCs/>
          <w:lang w:eastAsia="en-US"/>
        </w:rPr>
        <w:t>Renowatt</w:t>
      </w:r>
      <w:proofErr w:type="spellEnd"/>
      <w:r w:rsidRPr="00256E9F">
        <w:rPr>
          <w:rFonts w:eastAsiaTheme="minorHAnsi"/>
          <w:b/>
          <w:bCs/>
          <w:lang w:eastAsia="en-US"/>
        </w:rPr>
        <w:t xml:space="preserve"> sont également mis automatiquement hors balise.</w:t>
      </w:r>
    </w:p>
    <w:bookmarkEnd w:id="173"/>
    <w:bookmarkEnd w:id="174"/>
    <w:p w14:paraId="4BA948BF" w14:textId="77777777" w:rsidR="009A66C7" w:rsidRDefault="009A66C7">
      <w:pPr>
        <w:jc w:val="both"/>
        <w:rPr>
          <w:rFonts w:eastAsiaTheme="minorHAnsi"/>
          <w:lang w:eastAsia="en-US"/>
        </w:rPr>
      </w:pPr>
    </w:p>
    <w:p w14:paraId="2D216CCE" w14:textId="2317306B" w:rsidR="007D7615" w:rsidRPr="00256E9F" w:rsidRDefault="00A36325">
      <w:pPr>
        <w:jc w:val="both"/>
        <w:rPr>
          <w:rFonts w:eastAsiaTheme="minorHAnsi"/>
          <w:lang w:eastAsia="en-US"/>
        </w:rPr>
      </w:pPr>
      <w:r w:rsidRPr="00256E9F">
        <w:rPr>
          <w:rFonts w:eastAsiaTheme="minorHAnsi"/>
          <w:lang w:eastAsia="en-US"/>
        </w:rPr>
        <w:t xml:space="preserve">Je rappelle que les </w:t>
      </w:r>
      <w:r w:rsidR="00753782" w:rsidRPr="00256E9F">
        <w:rPr>
          <w:rFonts w:eastAsiaTheme="minorHAnsi"/>
          <w:lang w:eastAsia="en-US"/>
        </w:rPr>
        <w:t>emprunt</w:t>
      </w:r>
      <w:r w:rsidR="00162F0E" w:rsidRPr="00256E9F">
        <w:rPr>
          <w:rFonts w:eastAsiaTheme="minorHAnsi"/>
          <w:lang w:eastAsia="en-US"/>
        </w:rPr>
        <w:t>s contractés au travers du compte</w:t>
      </w:r>
      <w:r w:rsidR="00753782" w:rsidRPr="00256E9F">
        <w:rPr>
          <w:rFonts w:eastAsiaTheme="minorHAnsi"/>
          <w:lang w:eastAsia="en-US"/>
        </w:rPr>
        <w:t xml:space="preserve"> CRAC </w:t>
      </w:r>
      <w:r w:rsidR="00162F0E" w:rsidRPr="00256E9F">
        <w:rPr>
          <w:rFonts w:eastAsiaTheme="minorHAnsi"/>
          <w:lang w:eastAsia="en-US"/>
        </w:rPr>
        <w:t>Long Terme sont également</w:t>
      </w:r>
      <w:r w:rsidR="00753782" w:rsidRPr="00256E9F">
        <w:rPr>
          <w:rFonts w:eastAsiaTheme="minorHAnsi"/>
          <w:lang w:eastAsia="en-US"/>
        </w:rPr>
        <w:t xml:space="preserve"> automatiquement mis hors balise</w:t>
      </w:r>
      <w:r w:rsidR="00B60357" w:rsidRPr="00256E9F">
        <w:rPr>
          <w:rFonts w:eastAsiaTheme="minorHAnsi"/>
          <w:lang w:eastAsia="en-US"/>
        </w:rPr>
        <w:t>.</w:t>
      </w:r>
      <w:r w:rsidR="00753782" w:rsidRPr="00256E9F">
        <w:rPr>
          <w:rFonts w:eastAsiaTheme="minorHAnsi"/>
          <w:lang w:eastAsia="en-US"/>
        </w:rPr>
        <w:t xml:space="preserve"> </w:t>
      </w:r>
    </w:p>
    <w:p w14:paraId="6046C21D" w14:textId="086F4EA5" w:rsidR="00A50F6F" w:rsidRPr="00B225DE" w:rsidRDefault="00A50F6F" w:rsidP="008D7EB7">
      <w:pPr>
        <w:jc w:val="both"/>
        <w:rPr>
          <w:b/>
          <w:bCs/>
        </w:rPr>
      </w:pPr>
      <w:r w:rsidRPr="00256E9F">
        <w:rPr>
          <w:b/>
          <w:bCs/>
        </w:rPr>
        <w:t>Il est toutefois rappelé que l</w:t>
      </w:r>
      <w:r w:rsidR="001C3EA5" w:rsidRPr="00256E9F">
        <w:rPr>
          <w:b/>
          <w:bCs/>
        </w:rPr>
        <w:t xml:space="preserve">es différents </w:t>
      </w:r>
      <w:r w:rsidRPr="00256E9F">
        <w:rPr>
          <w:b/>
          <w:bCs/>
        </w:rPr>
        <w:t>élargissement</w:t>
      </w:r>
      <w:r w:rsidR="001C3EA5" w:rsidRPr="00256E9F">
        <w:rPr>
          <w:b/>
          <w:bCs/>
        </w:rPr>
        <w:t>s</w:t>
      </w:r>
      <w:r w:rsidRPr="00256E9F">
        <w:rPr>
          <w:b/>
          <w:bCs/>
        </w:rPr>
        <w:t xml:space="preserve"> </w:t>
      </w:r>
      <w:r w:rsidR="001C3EA5" w:rsidRPr="00256E9F">
        <w:rPr>
          <w:b/>
          <w:bCs/>
        </w:rPr>
        <w:t xml:space="preserve">ci-dessus </w:t>
      </w:r>
      <w:r w:rsidRPr="00256E9F">
        <w:rPr>
          <w:b/>
          <w:bCs/>
        </w:rPr>
        <w:t>ne doi</w:t>
      </w:r>
      <w:r w:rsidR="001C3EA5" w:rsidRPr="00256E9F">
        <w:rPr>
          <w:b/>
          <w:bCs/>
        </w:rPr>
        <w:t>ven</w:t>
      </w:r>
      <w:r w:rsidRPr="00256E9F">
        <w:rPr>
          <w:b/>
          <w:bCs/>
        </w:rPr>
        <w:t>t pas occulter l’indispensable maîtrise du périmètre d’endettement</w:t>
      </w:r>
      <w:r w:rsidR="00162F0E" w:rsidRPr="00256E9F">
        <w:rPr>
          <w:b/>
          <w:bCs/>
        </w:rPr>
        <w:t xml:space="preserve"> et de son impact sur le maintien de l’équilibre budgétaire</w:t>
      </w:r>
      <w:r w:rsidR="00DA0A63">
        <w:rPr>
          <w:b/>
          <w:bCs/>
        </w:rPr>
        <w:t>, comme rappelé ci-dessus</w:t>
      </w:r>
      <w:r w:rsidRPr="00256E9F">
        <w:rPr>
          <w:b/>
          <w:bCs/>
        </w:rPr>
        <w:t>.</w:t>
      </w:r>
    </w:p>
    <w:p w14:paraId="730290A2" w14:textId="77777777" w:rsidR="00BA0B46" w:rsidRPr="00B225DE" w:rsidRDefault="00BA0B46" w:rsidP="00BA0B46">
      <w:pPr>
        <w:pStyle w:val="Sam2"/>
      </w:pPr>
      <w:bookmarkStart w:id="175" w:name="_Toc40185170"/>
      <w:bookmarkStart w:id="176" w:name="_Toc40185904"/>
      <w:bookmarkStart w:id="177" w:name="_Toc74557547"/>
      <w:bookmarkStart w:id="178" w:name="_Hlk73610789"/>
      <w:bookmarkEnd w:id="175"/>
      <w:bookmarkEnd w:id="176"/>
      <w:r w:rsidRPr="00B225DE">
        <w:lastRenderedPageBreak/>
        <w:t>Nouvelle méthodologie pour les tableaux de bord prospectifs (TBP)</w:t>
      </w:r>
      <w:bookmarkEnd w:id="177"/>
    </w:p>
    <w:p w14:paraId="447381C6" w14:textId="352BCB84" w:rsidR="00BA0B46" w:rsidRPr="00B225DE" w:rsidRDefault="00BA0B46" w:rsidP="00BA0B46">
      <w:pPr>
        <w:jc w:val="both"/>
      </w:pPr>
      <w:r w:rsidRPr="00B225DE">
        <w:t>Dans un souci de simplification administrative et d’appui aux autorités communales, il a été décidé d’</w:t>
      </w:r>
      <w:r w:rsidR="00162F0E" w:rsidRPr="00B225DE">
        <w:t>optimaliser</w:t>
      </w:r>
      <w:r w:rsidRPr="00B225DE">
        <w:t xml:space="preserve"> les actuels tableaux de bord prospectifs (Pluriannuel et Tableau CRAC) générés via le logiciel </w:t>
      </w:r>
      <w:proofErr w:type="spellStart"/>
      <w:r w:rsidRPr="00B225DE">
        <w:t>eComptes</w:t>
      </w:r>
      <w:proofErr w:type="spellEnd"/>
      <w:r w:rsidRPr="00B225DE">
        <w:t xml:space="preserve"> Local.</w:t>
      </w:r>
    </w:p>
    <w:p w14:paraId="1E466A90" w14:textId="77777777" w:rsidR="00BA0B46" w:rsidRPr="00606113" w:rsidRDefault="00BA0B46" w:rsidP="00BA0B46">
      <w:pPr>
        <w:jc w:val="both"/>
        <w:rPr>
          <w:sz w:val="10"/>
          <w:szCs w:val="10"/>
        </w:rPr>
      </w:pPr>
    </w:p>
    <w:p w14:paraId="0E72E3CB" w14:textId="77777777" w:rsidR="00BA0B46" w:rsidRPr="00B225DE" w:rsidRDefault="00BA0B46" w:rsidP="00BA0B46">
      <w:pPr>
        <w:jc w:val="both"/>
      </w:pPr>
      <w:r w:rsidRPr="00B225DE">
        <w:t>Des taux probables d’évolution seront désormais intégrés informatiquement dans les tableaux. Ils seront également complétés par d’autres données dont mon administration connait l’évolution : fonds des communes, et éventuellement d’autres subventions, en manière telle de fournir un « assistant à la projection budgétaire ».</w:t>
      </w:r>
    </w:p>
    <w:p w14:paraId="68998F2D" w14:textId="77777777" w:rsidR="00BA0B46" w:rsidRPr="00606113" w:rsidRDefault="00BA0B46" w:rsidP="00BA0B46">
      <w:pPr>
        <w:jc w:val="both"/>
        <w:rPr>
          <w:sz w:val="10"/>
          <w:szCs w:val="10"/>
        </w:rPr>
      </w:pPr>
    </w:p>
    <w:p w14:paraId="6616A689" w14:textId="4DDA7370" w:rsidR="00BA0B46" w:rsidRDefault="00BA0B46" w:rsidP="00BA0B46">
      <w:pPr>
        <w:jc w:val="both"/>
      </w:pPr>
      <w:r w:rsidRPr="00B225DE">
        <w:t>Il ne s’agit toutefois pas d’un calcul automatisé d’une trajectoire budgétaire, mais d’un outil mis à la disposition des pouvoirs locaux pour les aider à se projeter dans le temps.</w:t>
      </w:r>
      <w:r w:rsidR="00162F0E" w:rsidRPr="00B225DE">
        <w:rPr>
          <w:color w:val="FF0000"/>
        </w:rPr>
        <w:t xml:space="preserve"> D</w:t>
      </w:r>
      <w:r w:rsidR="00162F0E" w:rsidRPr="00B225DE">
        <w:t>ans ce cadre, il vous appartient dès lors de définir les taux d’évolution dont vous êtes en mesure d’assurer la maîtrise.</w:t>
      </w:r>
    </w:p>
    <w:p w14:paraId="508B7152" w14:textId="5F938E24" w:rsidR="001A6813" w:rsidRPr="006C6AB2" w:rsidRDefault="001A6813" w:rsidP="00256E9F">
      <w:pPr>
        <w:pStyle w:val="Sam2"/>
      </w:pPr>
      <w:r w:rsidRPr="00F6390F">
        <w:t>Crédit spécial de recettes</w:t>
      </w:r>
    </w:p>
    <w:p w14:paraId="789D5852" w14:textId="170A3A71" w:rsidR="001A6813" w:rsidRDefault="001A6813" w:rsidP="00256E9F">
      <w:pPr>
        <w:spacing w:after="120"/>
        <w:jc w:val="both"/>
      </w:pPr>
      <w:r>
        <w:t>Le principe de la dégressivité est maintenu à l’occasion des modifications budgétaires.</w:t>
      </w:r>
    </w:p>
    <w:p w14:paraId="0ADDD149" w14:textId="77777777" w:rsidR="00DA0A63" w:rsidRDefault="00971431" w:rsidP="00256E9F">
      <w:pPr>
        <w:spacing w:before="5" w:after="120"/>
        <w:jc w:val="both"/>
        <w:rPr>
          <w:rFonts w:eastAsia="Arial" w:cs="Arial"/>
        </w:rPr>
      </w:pPr>
      <w:r w:rsidRPr="002158DE">
        <w:rPr>
          <w:rFonts w:eastAsia="Arial" w:cs="Arial"/>
          <w:b/>
        </w:rPr>
        <w:t>Toutefois,</w:t>
      </w:r>
      <w:r w:rsidRPr="002158DE">
        <w:rPr>
          <w:rFonts w:eastAsia="Arial" w:cs="Arial"/>
        </w:rPr>
        <w:t xml:space="preserve"> il s’avère que les résultats du compte sont de moins en moins favorables en comparaison aux prévisions budgétaires, notamment en lien avec le différentiel à la baisse du versement des additionnels à l’impôt des personnes physiques, la hausse des charges </w:t>
      </w:r>
      <w:proofErr w:type="gramStart"/>
      <w:r w:rsidRPr="002158DE">
        <w:rPr>
          <w:rFonts w:eastAsia="Arial" w:cs="Arial"/>
        </w:rPr>
        <w:t>pensions</w:t>
      </w:r>
      <w:proofErr w:type="gramEnd"/>
      <w:r w:rsidRPr="002158DE">
        <w:rPr>
          <w:rFonts w:eastAsia="Arial" w:cs="Arial"/>
        </w:rPr>
        <w:t xml:space="preserve"> et les conséquences de l’inflation sur les dépenses de personnel, de fonctionnement et parfois même de transferts</w:t>
      </w:r>
      <w:r w:rsidR="00DA0A63">
        <w:rPr>
          <w:rFonts w:eastAsia="Arial" w:cs="Arial"/>
        </w:rPr>
        <w:t>.</w:t>
      </w:r>
    </w:p>
    <w:p w14:paraId="659CD7D4" w14:textId="4E3FD2BD" w:rsidR="00971431" w:rsidRPr="00256E9F" w:rsidRDefault="00DA0A63" w:rsidP="00256E9F">
      <w:pPr>
        <w:spacing w:before="5" w:after="120"/>
        <w:jc w:val="both"/>
        <w:rPr>
          <w:rFonts w:eastAsia="Arial" w:cs="Arial"/>
        </w:rPr>
      </w:pPr>
      <w:r>
        <w:rPr>
          <w:rFonts w:eastAsia="Arial" w:cs="Arial"/>
        </w:rPr>
        <w:t>Il vous est par conséquent demandé de porter une attention particulière</w:t>
      </w:r>
      <w:r w:rsidR="004A262B">
        <w:rPr>
          <w:rFonts w:eastAsia="Arial" w:cs="Arial"/>
        </w:rPr>
        <w:t xml:space="preserve"> aux estimations de </w:t>
      </w:r>
      <w:r w:rsidR="004A262B" w:rsidRPr="004A262B">
        <w:rPr>
          <w:rFonts w:eastAsia="Arial" w:cs="Arial"/>
        </w:rPr>
        <w:t>dépenses et de recettes</w:t>
      </w:r>
      <w:r w:rsidR="00971431" w:rsidRPr="004A262B">
        <w:rPr>
          <w:rFonts w:eastAsia="Arial" w:cs="Arial"/>
        </w:rPr>
        <w:t>,</w:t>
      </w:r>
      <w:r w:rsidR="00971431" w:rsidRPr="00256E9F">
        <w:rPr>
          <w:rFonts w:eastAsia="Arial" w:cs="Arial"/>
        </w:rPr>
        <w:t xml:space="preserve"> </w:t>
      </w:r>
      <w:r w:rsidR="004A262B" w:rsidRPr="00256E9F">
        <w:rPr>
          <w:rFonts w:eastAsia="Arial" w:cs="Arial"/>
        </w:rPr>
        <w:t>et, en cohérence</w:t>
      </w:r>
      <w:r w:rsidR="00206E97">
        <w:rPr>
          <w:rFonts w:eastAsia="Arial" w:cs="Arial"/>
        </w:rPr>
        <w:t>,</w:t>
      </w:r>
      <w:r w:rsidR="004A262B" w:rsidRPr="00256E9F">
        <w:rPr>
          <w:rFonts w:eastAsia="Arial" w:cs="Arial"/>
        </w:rPr>
        <w:t xml:space="preserve"> au montant du crédit spécial lors de son</w:t>
      </w:r>
      <w:r w:rsidR="00971431" w:rsidRPr="00256E9F">
        <w:rPr>
          <w:rFonts w:eastAsia="Arial" w:cs="Arial"/>
        </w:rPr>
        <w:t xml:space="preserve"> inscription au budget initial.</w:t>
      </w:r>
    </w:p>
    <w:p w14:paraId="73EB5E34" w14:textId="489D44D6" w:rsidR="00971431" w:rsidRPr="00F6390F" w:rsidRDefault="00971431" w:rsidP="00971431">
      <w:pPr>
        <w:spacing w:before="5"/>
        <w:jc w:val="both"/>
        <w:rPr>
          <w:bCs/>
        </w:rPr>
      </w:pPr>
      <w:r w:rsidRPr="00256E9F">
        <w:rPr>
          <w:rFonts w:eastAsia="Arial" w:cs="Arial"/>
          <w:bCs/>
        </w:rPr>
        <w:t>Pour plus de détail, je vous renvoie au</w:t>
      </w:r>
      <w:r>
        <w:rPr>
          <w:rFonts w:eastAsia="Arial" w:cs="Arial"/>
          <w:bCs/>
        </w:rPr>
        <w:t xml:space="preserve"> point spécifique le concernant.</w:t>
      </w:r>
    </w:p>
    <w:p w14:paraId="7E70C455" w14:textId="77777777" w:rsidR="001A6813" w:rsidRDefault="001A6813" w:rsidP="00BA0B46">
      <w:pPr>
        <w:jc w:val="both"/>
      </w:pPr>
    </w:p>
    <w:p w14:paraId="095C084A" w14:textId="77777777" w:rsidR="00DF1F88" w:rsidRDefault="00DF1F88" w:rsidP="00606113">
      <w:pPr>
        <w:pStyle w:val="Sam2"/>
        <w:spacing w:after="120"/>
      </w:pPr>
      <w:bookmarkStart w:id="179" w:name="_Hlk75945250"/>
      <w:bookmarkStart w:id="180" w:name="_Hlk75946130"/>
      <w:r>
        <w:t>Réforme des APE</w:t>
      </w:r>
    </w:p>
    <w:bookmarkEnd w:id="179"/>
    <w:p w14:paraId="0D9EF92E" w14:textId="701FFE13" w:rsidR="006C7878" w:rsidRDefault="006C7878" w:rsidP="00606113">
      <w:pPr>
        <w:pStyle w:val="Sam2"/>
        <w:numPr>
          <w:ilvl w:val="0"/>
          <w:numId w:val="0"/>
        </w:numPr>
        <w:spacing w:before="120" w:after="120"/>
        <w:rPr>
          <w:b w:val="0"/>
          <w:bCs/>
          <w:sz w:val="24"/>
          <w:szCs w:val="24"/>
          <w:u w:val="none"/>
        </w:rPr>
      </w:pPr>
      <w:r w:rsidRPr="006C7878">
        <w:rPr>
          <w:b w:val="0"/>
          <w:bCs/>
          <w:sz w:val="24"/>
          <w:szCs w:val="24"/>
          <w:u w:val="none"/>
        </w:rPr>
        <w:t>Le Parlement Wallon a voté la réforme APE ce 10 juin 2021</w:t>
      </w:r>
      <w:r w:rsidR="009A4C4F">
        <w:rPr>
          <w:b w:val="0"/>
          <w:bCs/>
          <w:sz w:val="24"/>
          <w:szCs w:val="24"/>
          <w:u w:val="none"/>
        </w:rPr>
        <w:t xml:space="preserve"> et le Gouvernement wallon a pris les mesures d’exécution le 16 décembre 2021. Cette</w:t>
      </w:r>
      <w:r>
        <w:rPr>
          <w:b w:val="0"/>
          <w:bCs/>
          <w:sz w:val="24"/>
          <w:szCs w:val="24"/>
          <w:u w:val="none"/>
        </w:rPr>
        <w:t xml:space="preserve"> </w:t>
      </w:r>
      <w:r w:rsidRPr="006C7878">
        <w:rPr>
          <w:b w:val="0"/>
          <w:bCs/>
          <w:sz w:val="24"/>
          <w:szCs w:val="24"/>
          <w:u w:val="none"/>
        </w:rPr>
        <w:t xml:space="preserve">réforme </w:t>
      </w:r>
      <w:r w:rsidR="009A4C4F">
        <w:rPr>
          <w:b w:val="0"/>
          <w:bCs/>
          <w:sz w:val="24"/>
          <w:szCs w:val="24"/>
          <w:u w:val="none"/>
        </w:rPr>
        <w:t xml:space="preserve">était </w:t>
      </w:r>
      <w:r w:rsidRPr="006C7878">
        <w:rPr>
          <w:b w:val="0"/>
          <w:bCs/>
          <w:sz w:val="24"/>
          <w:szCs w:val="24"/>
          <w:u w:val="none"/>
        </w:rPr>
        <w:t>très attendue des Aides à la Promotion de l’Emploi (APE)</w:t>
      </w:r>
      <w:r w:rsidR="004A0EA9">
        <w:rPr>
          <w:b w:val="0"/>
          <w:bCs/>
          <w:sz w:val="24"/>
          <w:szCs w:val="24"/>
          <w:u w:val="none"/>
        </w:rPr>
        <w:t xml:space="preserve"> et</w:t>
      </w:r>
      <w:r w:rsidRPr="006C7878">
        <w:rPr>
          <w:b w:val="0"/>
          <w:bCs/>
          <w:sz w:val="24"/>
          <w:szCs w:val="24"/>
          <w:u w:val="none"/>
        </w:rPr>
        <w:t xml:space="preserve"> un des engagements phares dans la déclaration de politique régionale. Elle </w:t>
      </w:r>
      <w:r w:rsidR="009A4C4F">
        <w:rPr>
          <w:b w:val="0"/>
          <w:bCs/>
          <w:sz w:val="24"/>
          <w:szCs w:val="24"/>
          <w:u w:val="none"/>
        </w:rPr>
        <w:t>est entrée</w:t>
      </w:r>
      <w:r w:rsidR="009A4C4F" w:rsidRPr="006C7878">
        <w:rPr>
          <w:b w:val="0"/>
          <w:bCs/>
          <w:sz w:val="24"/>
          <w:szCs w:val="24"/>
          <w:u w:val="none"/>
        </w:rPr>
        <w:t xml:space="preserve"> </w:t>
      </w:r>
      <w:r w:rsidRPr="006C7878">
        <w:rPr>
          <w:b w:val="0"/>
          <w:bCs/>
          <w:sz w:val="24"/>
          <w:szCs w:val="24"/>
          <w:u w:val="none"/>
        </w:rPr>
        <w:t>en vigueur le 1er janvier 2022.</w:t>
      </w:r>
    </w:p>
    <w:p w14:paraId="35BB9C6B" w14:textId="3AFB5104" w:rsidR="004A0EA9" w:rsidRDefault="004A0EA9" w:rsidP="00606113">
      <w:pPr>
        <w:pStyle w:val="Sam2"/>
        <w:numPr>
          <w:ilvl w:val="0"/>
          <w:numId w:val="0"/>
        </w:numPr>
        <w:spacing w:before="120" w:after="120"/>
        <w:rPr>
          <w:b w:val="0"/>
          <w:bCs/>
          <w:sz w:val="24"/>
          <w:szCs w:val="24"/>
          <w:u w:val="none"/>
        </w:rPr>
      </w:pPr>
      <w:r>
        <w:rPr>
          <w:b w:val="0"/>
          <w:bCs/>
          <w:sz w:val="24"/>
          <w:szCs w:val="24"/>
          <w:u w:val="none"/>
        </w:rPr>
        <w:t>Au-delà de la pérennisation des emplois, cette réforme simplifie le dispositif afin d’alléger la charge administrative des employeurs et travailleurs. Ainsi la logique des points est abandonnée au bénéfice d’une fusion des mécanismes d’aides (réduction des cotisations sociales et calcul des subventions APE) en une subvention forfaitaire unique d’aide à l’emploi.</w:t>
      </w:r>
    </w:p>
    <w:p w14:paraId="3B96C97E" w14:textId="29A76795" w:rsidR="00DF1F88" w:rsidRDefault="00DF1F88" w:rsidP="00606113">
      <w:pPr>
        <w:pStyle w:val="Sam2"/>
        <w:numPr>
          <w:ilvl w:val="0"/>
          <w:numId w:val="0"/>
        </w:numPr>
        <w:spacing w:before="120"/>
        <w:rPr>
          <w:b w:val="0"/>
          <w:bCs/>
          <w:sz w:val="24"/>
          <w:szCs w:val="24"/>
          <w:u w:val="none"/>
        </w:rPr>
      </w:pPr>
      <w:r w:rsidRPr="00576EF5">
        <w:rPr>
          <w:b w:val="0"/>
          <w:bCs/>
          <w:sz w:val="24"/>
          <w:szCs w:val="24"/>
          <w:u w:val="none"/>
        </w:rPr>
        <w:t>Faisant suite à la réforme des APE, il conviendra d’inscrire dorénavant la recette de subvention unique sur un article 00025/465-02.</w:t>
      </w:r>
    </w:p>
    <w:p w14:paraId="163D7CA6" w14:textId="671FE3AC" w:rsidR="00637E07" w:rsidRDefault="00E114A5" w:rsidP="00606113">
      <w:pPr>
        <w:pStyle w:val="Sam2"/>
        <w:numPr>
          <w:ilvl w:val="0"/>
          <w:numId w:val="0"/>
        </w:numPr>
        <w:spacing w:before="120"/>
        <w:rPr>
          <w:b w:val="0"/>
          <w:bCs/>
          <w:sz w:val="24"/>
          <w:szCs w:val="24"/>
          <w:u w:val="none"/>
        </w:rPr>
      </w:pPr>
      <w:r>
        <w:rPr>
          <w:b w:val="0"/>
          <w:bCs/>
          <w:sz w:val="24"/>
          <w:szCs w:val="24"/>
          <w:u w:val="none"/>
        </w:rPr>
        <w:t xml:space="preserve">Pour plus d’informations sur le dispositif APE, je vous renvoie aux informations du site du Forem : </w:t>
      </w:r>
      <w:hyperlink r:id="rId9" w:history="1">
        <w:r w:rsidRPr="00E114A5">
          <w:rPr>
            <w:rStyle w:val="Lienhypertexte"/>
            <w:b w:val="0"/>
            <w:bCs/>
            <w:sz w:val="24"/>
            <w:szCs w:val="24"/>
          </w:rPr>
          <w:t>https://www.leforem.be/aides/entreprises-ape.html</w:t>
        </w:r>
      </w:hyperlink>
      <w:r>
        <w:rPr>
          <w:b w:val="0"/>
          <w:bCs/>
          <w:sz w:val="24"/>
          <w:szCs w:val="24"/>
          <w:u w:val="none"/>
        </w:rPr>
        <w:t xml:space="preserve">. </w:t>
      </w:r>
    </w:p>
    <w:p w14:paraId="4D6E2A0E" w14:textId="77777777" w:rsidR="007B15CD" w:rsidRDefault="007B15CD" w:rsidP="00606113">
      <w:pPr>
        <w:pStyle w:val="Sam2"/>
        <w:numPr>
          <w:ilvl w:val="0"/>
          <w:numId w:val="0"/>
        </w:numPr>
        <w:spacing w:before="120"/>
        <w:rPr>
          <w:b w:val="0"/>
          <w:bCs/>
          <w:sz w:val="24"/>
          <w:szCs w:val="24"/>
          <w:u w:val="none"/>
        </w:rPr>
      </w:pPr>
    </w:p>
    <w:bookmarkEnd w:id="180"/>
    <w:p w14:paraId="58F204EA" w14:textId="23805D41" w:rsidR="0018039E" w:rsidRDefault="0018039E" w:rsidP="007D03B3">
      <w:pPr>
        <w:pStyle w:val="Sam2"/>
        <w:spacing w:after="120"/>
      </w:pPr>
      <w:r>
        <w:lastRenderedPageBreak/>
        <w:t>Participation aux frais de fonctionnement des zones de secours</w:t>
      </w:r>
    </w:p>
    <w:p w14:paraId="31F02968" w14:textId="16630F13" w:rsidR="0018039E" w:rsidRDefault="00FF226D" w:rsidP="00606113">
      <w:pPr>
        <w:pStyle w:val="Sam2"/>
        <w:numPr>
          <w:ilvl w:val="0"/>
          <w:numId w:val="0"/>
        </w:numPr>
        <w:spacing w:before="120" w:after="120"/>
        <w:rPr>
          <w:b w:val="0"/>
          <w:bCs/>
          <w:sz w:val="24"/>
          <w:szCs w:val="24"/>
          <w:u w:val="none"/>
        </w:rPr>
      </w:pPr>
      <w:r>
        <w:rPr>
          <w:b w:val="0"/>
          <w:bCs/>
          <w:sz w:val="24"/>
          <w:szCs w:val="24"/>
          <w:u w:val="none"/>
        </w:rPr>
        <w:t>Le 14 juillet 2021</w:t>
      </w:r>
      <w:r w:rsidR="00606113" w:rsidRPr="00606113">
        <w:rPr>
          <w:b w:val="0"/>
          <w:bCs/>
          <w:sz w:val="24"/>
          <w:szCs w:val="24"/>
          <w:u w:val="none"/>
        </w:rPr>
        <w:t>, le gouvernement wallon a décidé du mécanisme de reprise du financement communal des zones de secours par les provinces</w:t>
      </w:r>
      <w:r w:rsidR="00606113">
        <w:rPr>
          <w:b w:val="0"/>
          <w:bCs/>
          <w:sz w:val="24"/>
          <w:szCs w:val="24"/>
          <w:u w:val="none"/>
        </w:rPr>
        <w:t xml:space="preserve">. </w:t>
      </w:r>
    </w:p>
    <w:p w14:paraId="37912397" w14:textId="4A264DA0" w:rsidR="003C0E2C" w:rsidRDefault="00606113" w:rsidP="00606113">
      <w:pPr>
        <w:pStyle w:val="Sam2"/>
        <w:numPr>
          <w:ilvl w:val="0"/>
          <w:numId w:val="0"/>
        </w:numPr>
        <w:spacing w:before="120"/>
        <w:rPr>
          <w:b w:val="0"/>
          <w:bCs/>
          <w:sz w:val="24"/>
          <w:szCs w:val="24"/>
          <w:u w:val="none"/>
        </w:rPr>
      </w:pPr>
      <w:r>
        <w:rPr>
          <w:b w:val="0"/>
          <w:bCs/>
          <w:sz w:val="24"/>
          <w:szCs w:val="24"/>
          <w:u w:val="none"/>
        </w:rPr>
        <w:t xml:space="preserve">Pour le surplus, je vous renvoie au point </w:t>
      </w:r>
      <w:r w:rsidRPr="00606113">
        <w:rPr>
          <w:b w:val="0"/>
          <w:bCs/>
          <w:sz w:val="24"/>
          <w:szCs w:val="24"/>
          <w:u w:val="none"/>
        </w:rPr>
        <w:t>IV.3.4 Zones de secours</w:t>
      </w:r>
      <w:r>
        <w:rPr>
          <w:b w:val="0"/>
          <w:bCs/>
          <w:sz w:val="24"/>
          <w:szCs w:val="24"/>
          <w:u w:val="none"/>
        </w:rPr>
        <w:t xml:space="preserve"> de la présente circulaire</w:t>
      </w:r>
    </w:p>
    <w:p w14:paraId="51E5AC99" w14:textId="6325423B" w:rsidR="004A3D53" w:rsidRDefault="004A3D53" w:rsidP="00256E9F">
      <w:pPr>
        <w:pStyle w:val="Sam2"/>
        <w:spacing w:after="120"/>
      </w:pPr>
      <w:bookmarkStart w:id="181" w:name="_Hlk105055103"/>
      <w:r w:rsidRPr="00256E9F">
        <w:t>Comp</w:t>
      </w:r>
      <w:r w:rsidR="005F4CED">
        <w:t>lément régional Plan Marshall</w:t>
      </w:r>
      <w:r w:rsidRPr="00256E9F">
        <w:t xml:space="preserve"> </w:t>
      </w:r>
    </w:p>
    <w:p w14:paraId="723A8338" w14:textId="276AB0AB" w:rsidR="004A3D53" w:rsidRPr="00256E9F" w:rsidRDefault="004A3D53" w:rsidP="004A3D53">
      <w:pPr>
        <w:pStyle w:val="Sam2"/>
        <w:numPr>
          <w:ilvl w:val="0"/>
          <w:numId w:val="0"/>
        </w:numPr>
        <w:spacing w:before="120"/>
        <w:rPr>
          <w:b w:val="0"/>
          <w:bCs/>
          <w:sz w:val="24"/>
          <w:szCs w:val="24"/>
          <w:u w:val="none"/>
        </w:rPr>
      </w:pPr>
      <w:r w:rsidRPr="00256E9F">
        <w:rPr>
          <w:b w:val="0"/>
          <w:bCs/>
          <w:sz w:val="24"/>
          <w:szCs w:val="24"/>
          <w:u w:val="none"/>
        </w:rPr>
        <w:t xml:space="preserve">Le 13 janvier 2022, la septième chambre civile du tribunal de première instance de Namur a jugé favorablement les recours introduits par les communes d’Andenne et de Wanze par rapport au calcul du complément régional Plan Marshall pour les exercices 2015 à 2019. </w:t>
      </w:r>
    </w:p>
    <w:p w14:paraId="22FB58F7" w14:textId="77777777" w:rsidR="005F4CED" w:rsidRPr="00256E9F" w:rsidRDefault="004A3D53" w:rsidP="004A3D53">
      <w:pPr>
        <w:pStyle w:val="Sam2"/>
        <w:numPr>
          <w:ilvl w:val="0"/>
          <w:numId w:val="0"/>
        </w:numPr>
        <w:spacing w:before="120"/>
        <w:rPr>
          <w:b w:val="0"/>
          <w:bCs/>
          <w:sz w:val="24"/>
          <w:szCs w:val="24"/>
          <w:u w:val="none"/>
        </w:rPr>
      </w:pPr>
      <w:r w:rsidRPr="00256E9F">
        <w:rPr>
          <w:b w:val="0"/>
          <w:bCs/>
          <w:sz w:val="24"/>
          <w:szCs w:val="24"/>
          <w:u w:val="none"/>
        </w:rPr>
        <w:t xml:space="preserve">Le tribunal a estimé que la décision </w:t>
      </w:r>
      <w:r w:rsidR="005F4CED" w:rsidRPr="00256E9F">
        <w:rPr>
          <w:b w:val="0"/>
          <w:bCs/>
          <w:sz w:val="24"/>
          <w:szCs w:val="24"/>
          <w:u w:val="none"/>
        </w:rPr>
        <w:t xml:space="preserve">d’octroi du complément régional prise par le </w:t>
      </w:r>
      <w:r w:rsidRPr="00256E9F">
        <w:rPr>
          <w:b w:val="0"/>
          <w:bCs/>
          <w:sz w:val="24"/>
          <w:szCs w:val="24"/>
          <w:u w:val="none"/>
        </w:rPr>
        <w:t>Gouvernement wallon ne respectait pas l’article 49 du décret d’équité fiscale et d’efficacité environnementale pour le parc automobile et les maisons passives</w:t>
      </w:r>
      <w:r w:rsidR="005F4CED" w:rsidRPr="00256E9F">
        <w:rPr>
          <w:b w:val="0"/>
          <w:bCs/>
          <w:sz w:val="24"/>
          <w:szCs w:val="24"/>
          <w:u w:val="none"/>
        </w:rPr>
        <w:t xml:space="preserve"> adopté le 10 décembre 2009 qui prévoit l’octroi aux communes et aux provinces d’une compensation couvrant les pertes réelles liées à l’exonération du précompte immobilier sur le matériel et outillage. </w:t>
      </w:r>
    </w:p>
    <w:p w14:paraId="1EA9A434" w14:textId="2E00FADB" w:rsidR="005F4CED" w:rsidRPr="00256E9F" w:rsidRDefault="005F4CED" w:rsidP="004A3D53">
      <w:pPr>
        <w:pStyle w:val="Sam2"/>
        <w:numPr>
          <w:ilvl w:val="0"/>
          <w:numId w:val="0"/>
        </w:numPr>
        <w:spacing w:before="120"/>
        <w:rPr>
          <w:b w:val="0"/>
          <w:bCs/>
          <w:sz w:val="24"/>
          <w:szCs w:val="24"/>
          <w:u w:val="none"/>
        </w:rPr>
      </w:pPr>
      <w:r w:rsidRPr="00256E9F">
        <w:rPr>
          <w:b w:val="0"/>
          <w:bCs/>
          <w:sz w:val="24"/>
          <w:szCs w:val="24"/>
          <w:u w:val="none"/>
        </w:rPr>
        <w:t xml:space="preserve">Le statut quo actuel apparaît difficilement soutenable vu l’évolution de l’impact budgétaire </w:t>
      </w:r>
      <w:r w:rsidR="00E200D9" w:rsidRPr="00256E9F">
        <w:rPr>
          <w:b w:val="0"/>
          <w:bCs/>
          <w:sz w:val="24"/>
          <w:szCs w:val="24"/>
          <w:u w:val="none"/>
        </w:rPr>
        <w:t xml:space="preserve">annuel </w:t>
      </w:r>
      <w:r w:rsidRPr="00256E9F">
        <w:rPr>
          <w:b w:val="0"/>
          <w:bCs/>
          <w:sz w:val="24"/>
          <w:szCs w:val="24"/>
          <w:u w:val="none"/>
        </w:rPr>
        <w:t>de ce mécanisme de financement sur les finances régionales.</w:t>
      </w:r>
    </w:p>
    <w:p w14:paraId="390BD851" w14:textId="77777777" w:rsidR="009A66C7" w:rsidRDefault="002A6C9F" w:rsidP="004A3D53">
      <w:pPr>
        <w:pStyle w:val="Sam2"/>
        <w:numPr>
          <w:ilvl w:val="0"/>
          <w:numId w:val="0"/>
        </w:numPr>
        <w:spacing w:before="120"/>
        <w:rPr>
          <w:b w:val="0"/>
          <w:sz w:val="24"/>
          <w:szCs w:val="24"/>
          <w:u w:val="none"/>
        </w:rPr>
      </w:pPr>
      <w:r w:rsidRPr="009A66C7">
        <w:rPr>
          <w:b w:val="0"/>
          <w:sz w:val="24"/>
          <w:szCs w:val="24"/>
          <w:u w:val="none"/>
        </w:rPr>
        <w:t xml:space="preserve">Ainsi, </w:t>
      </w:r>
      <w:r w:rsidR="0000347E" w:rsidRPr="009A66C7">
        <w:rPr>
          <w:b w:val="0"/>
          <w:sz w:val="24"/>
          <w:szCs w:val="24"/>
          <w:u w:val="none"/>
        </w:rPr>
        <w:t>le Gouvernement réfléchit aux modalités permettant de faire évoluer les dispositifs actuels et de trouver un point d’équilibre entre les intérêts de chacune des parties.</w:t>
      </w:r>
    </w:p>
    <w:p w14:paraId="1C28E520" w14:textId="385892FD" w:rsidR="0078480D" w:rsidRPr="00256E9F" w:rsidRDefault="00E200D9" w:rsidP="004A3D53">
      <w:pPr>
        <w:pStyle w:val="Sam2"/>
        <w:numPr>
          <w:ilvl w:val="0"/>
          <w:numId w:val="0"/>
        </w:numPr>
        <w:spacing w:before="120"/>
        <w:rPr>
          <w:b w:val="0"/>
          <w:bCs/>
          <w:sz w:val="24"/>
          <w:szCs w:val="24"/>
          <w:u w:val="none"/>
        </w:rPr>
      </w:pPr>
      <w:r w:rsidRPr="009A66C7">
        <w:rPr>
          <w:b w:val="0"/>
          <w:bCs/>
          <w:sz w:val="24"/>
          <w:szCs w:val="24"/>
          <w:u w:val="none"/>
        </w:rPr>
        <w:t>Ce</w:t>
      </w:r>
      <w:r w:rsidRPr="00256E9F">
        <w:rPr>
          <w:b w:val="0"/>
          <w:bCs/>
          <w:sz w:val="24"/>
          <w:szCs w:val="24"/>
          <w:u w:val="none"/>
        </w:rPr>
        <w:t xml:space="preserve"> dossier est actuellement </w:t>
      </w:r>
      <w:r w:rsidR="0078480D" w:rsidRPr="00256E9F">
        <w:rPr>
          <w:b w:val="0"/>
          <w:bCs/>
          <w:sz w:val="24"/>
          <w:szCs w:val="24"/>
          <w:u w:val="none"/>
        </w:rPr>
        <w:t>en discussion au sein du Gouvernement.</w:t>
      </w:r>
    </w:p>
    <w:p w14:paraId="724877A0" w14:textId="2953F48F" w:rsidR="004A3D53" w:rsidRPr="00256E9F" w:rsidRDefault="0078480D" w:rsidP="004A3D53">
      <w:pPr>
        <w:pStyle w:val="Sam2"/>
        <w:numPr>
          <w:ilvl w:val="0"/>
          <w:numId w:val="0"/>
        </w:numPr>
        <w:spacing w:before="120"/>
        <w:rPr>
          <w:b w:val="0"/>
          <w:bCs/>
          <w:sz w:val="24"/>
          <w:szCs w:val="24"/>
          <w:u w:val="none"/>
        </w:rPr>
      </w:pPr>
      <w:r w:rsidRPr="00256E9F">
        <w:rPr>
          <w:b w:val="0"/>
          <w:bCs/>
          <w:sz w:val="24"/>
          <w:szCs w:val="24"/>
          <w:u w:val="none"/>
        </w:rPr>
        <w:t>Je ne manquerai pas de vous informer des décisions qui auront été prises.</w:t>
      </w:r>
      <w:r w:rsidR="004A3D53" w:rsidRPr="00256E9F">
        <w:rPr>
          <w:b w:val="0"/>
          <w:bCs/>
          <w:sz w:val="24"/>
          <w:szCs w:val="24"/>
          <w:u w:val="none"/>
        </w:rPr>
        <w:t xml:space="preserve"> </w:t>
      </w:r>
    </w:p>
    <w:p w14:paraId="14D9CBF2" w14:textId="11AE3AFD" w:rsidR="00311CC3" w:rsidRPr="00256E9F" w:rsidRDefault="00311CC3" w:rsidP="00256E9F">
      <w:pPr>
        <w:pStyle w:val="Sam2"/>
        <w:spacing w:after="120"/>
      </w:pPr>
      <w:bookmarkStart w:id="182" w:name="_Hlk105055211"/>
      <w:bookmarkEnd w:id="181"/>
      <w:r w:rsidRPr="00256E9F">
        <w:t>Véhicules de leasing</w:t>
      </w:r>
    </w:p>
    <w:p w14:paraId="67905A25" w14:textId="77777777" w:rsidR="00311CC3" w:rsidRDefault="00311CC3" w:rsidP="00311CC3">
      <w:pPr>
        <w:spacing w:before="120"/>
        <w:jc w:val="both"/>
        <w:textAlignment w:val="baseline"/>
        <w:rPr>
          <w:rFonts w:asciiTheme="minorHAnsi" w:hAnsiTheme="minorHAnsi" w:cs="Calibri Light"/>
        </w:rPr>
      </w:pPr>
      <w:r>
        <w:rPr>
          <w:rFonts w:asciiTheme="minorHAnsi" w:hAnsiTheme="minorHAnsi" w:cs="Calibri Light"/>
        </w:rPr>
        <w:t>Je tiens particulièrement à mettre en évidence les conséquences du recours au leasing.</w:t>
      </w:r>
    </w:p>
    <w:p w14:paraId="1ABD10FA" w14:textId="28D8E207" w:rsidR="00311CC3" w:rsidRPr="00DA6BD2" w:rsidRDefault="00311CC3" w:rsidP="00311CC3">
      <w:pPr>
        <w:spacing w:before="120"/>
        <w:jc w:val="both"/>
        <w:textAlignment w:val="baseline"/>
        <w:rPr>
          <w:rFonts w:asciiTheme="minorHAnsi" w:hAnsiTheme="minorHAnsi" w:cs="Calibri Light"/>
        </w:rPr>
      </w:pPr>
      <w:r>
        <w:rPr>
          <w:rFonts w:asciiTheme="minorHAnsi" w:hAnsiTheme="minorHAnsi" w:cs="Calibri Light"/>
        </w:rPr>
        <w:t xml:space="preserve">En effet, </w:t>
      </w:r>
      <w:r w:rsidRPr="00DA6BD2">
        <w:rPr>
          <w:rFonts w:asciiTheme="minorHAnsi" w:hAnsiTheme="minorHAnsi" w:cs="Calibri Light"/>
        </w:rPr>
        <w:t>les communes reçoivent d'office un décime additionnel à la taxe de circulation sur les véhicules automobiles. Depuis le 1</w:t>
      </w:r>
      <w:r w:rsidRPr="00DA6BD2">
        <w:rPr>
          <w:rFonts w:asciiTheme="minorHAnsi" w:hAnsiTheme="minorHAnsi" w:cs="Calibri Light"/>
          <w:vertAlign w:val="superscript"/>
        </w:rPr>
        <w:t>er</w:t>
      </w:r>
      <w:r w:rsidRPr="00DA6BD2">
        <w:rPr>
          <w:rFonts w:asciiTheme="minorHAnsi" w:hAnsiTheme="minorHAnsi" w:cs="Calibri Light"/>
        </w:rPr>
        <w:t xml:space="preserve"> janvier 2014, c'est </w:t>
      </w:r>
      <w:r w:rsidR="00B60E92">
        <w:rPr>
          <w:rFonts w:asciiTheme="minorHAnsi" w:hAnsiTheme="minorHAnsi" w:cs="Calibri Light"/>
        </w:rPr>
        <w:t>le</w:t>
      </w:r>
      <w:r>
        <w:rPr>
          <w:rFonts w:asciiTheme="minorHAnsi" w:hAnsiTheme="minorHAnsi" w:cs="Calibri Light"/>
        </w:rPr>
        <w:t xml:space="preserve"> SPW</w:t>
      </w:r>
      <w:r w:rsidRPr="00DA6BD2">
        <w:rPr>
          <w:rFonts w:asciiTheme="minorHAnsi" w:hAnsiTheme="minorHAnsi" w:cs="Calibri Light"/>
        </w:rPr>
        <w:t xml:space="preserve"> </w:t>
      </w:r>
      <w:r w:rsidR="00B60E92">
        <w:rPr>
          <w:rFonts w:asciiTheme="minorHAnsi" w:hAnsiTheme="minorHAnsi" w:cs="Calibri Light"/>
        </w:rPr>
        <w:t xml:space="preserve">Finances </w:t>
      </w:r>
      <w:r w:rsidRPr="00DA6BD2">
        <w:rPr>
          <w:rFonts w:asciiTheme="minorHAnsi" w:hAnsiTheme="minorHAnsi" w:cs="Calibri Light"/>
        </w:rPr>
        <w:t xml:space="preserve">qui perçoit cette taxe et verse ce décime aux communes. </w:t>
      </w:r>
    </w:p>
    <w:p w14:paraId="733C16DB" w14:textId="1BC184D0" w:rsidR="00311CC3" w:rsidRDefault="00311CC3" w:rsidP="00311CC3">
      <w:pPr>
        <w:spacing w:before="120"/>
        <w:jc w:val="both"/>
        <w:textAlignment w:val="baseline"/>
        <w:rPr>
          <w:rFonts w:asciiTheme="minorHAnsi" w:hAnsiTheme="minorHAnsi" w:cs="Calibri Light"/>
        </w:rPr>
      </w:pPr>
      <w:r>
        <w:rPr>
          <w:rFonts w:asciiTheme="minorHAnsi" w:hAnsiTheme="minorHAnsi" w:cs="Calibri Light"/>
        </w:rPr>
        <w:t xml:space="preserve">Je rappelle que le recours au leasing pour la flotte de véhicules, </w:t>
      </w:r>
      <w:r w:rsidRPr="00CC25F0">
        <w:rPr>
          <w:rFonts w:asciiTheme="minorHAnsi" w:hAnsiTheme="minorHAnsi" w:cs="Calibri Light"/>
        </w:rPr>
        <w:t xml:space="preserve">de fonction ou de service, </w:t>
      </w:r>
      <w:r>
        <w:rPr>
          <w:rFonts w:asciiTheme="minorHAnsi" w:hAnsiTheme="minorHAnsi" w:cs="Calibri Light"/>
        </w:rPr>
        <w:t>engendre des</w:t>
      </w:r>
      <w:r w:rsidRPr="00CC25F0">
        <w:rPr>
          <w:rFonts w:asciiTheme="minorHAnsi" w:hAnsiTheme="minorHAnsi" w:cs="Calibri Light"/>
        </w:rPr>
        <w:t xml:space="preserve"> effets indirects </w:t>
      </w:r>
      <w:r>
        <w:rPr>
          <w:rFonts w:asciiTheme="minorHAnsi" w:hAnsiTheme="minorHAnsi" w:cs="Calibri Light"/>
        </w:rPr>
        <w:t xml:space="preserve">non seulement sur les finances régionales mais également sur les finances locales dès lors que les sociétés de leasing ne sont pas </w:t>
      </w:r>
      <w:r w:rsidRPr="00CC25F0">
        <w:rPr>
          <w:rFonts w:asciiTheme="minorHAnsi" w:hAnsiTheme="minorHAnsi" w:cs="Calibri Light"/>
        </w:rPr>
        <w:t>établies sur le sol wallon.</w:t>
      </w:r>
    </w:p>
    <w:p w14:paraId="6A10D4FC" w14:textId="5D8D87F2" w:rsidR="0044274F" w:rsidRPr="00CC25F0" w:rsidRDefault="0044274F" w:rsidP="00311CC3">
      <w:pPr>
        <w:spacing w:before="120"/>
        <w:jc w:val="both"/>
        <w:textAlignment w:val="baseline"/>
        <w:rPr>
          <w:rFonts w:asciiTheme="minorHAnsi" w:hAnsiTheme="minorHAnsi" w:cs="Calibri Light"/>
        </w:rPr>
      </w:pPr>
      <w:r>
        <w:rPr>
          <w:rFonts w:asciiTheme="minorHAnsi" w:hAnsiTheme="minorHAnsi" w:cs="Calibri Light"/>
        </w:rPr>
        <w:t xml:space="preserve">Ces effets indirects relèvent non seulement de la flotte </w:t>
      </w:r>
      <w:r w:rsidR="000723BF">
        <w:rPr>
          <w:rFonts w:asciiTheme="minorHAnsi" w:hAnsiTheme="minorHAnsi" w:cs="Calibri Light"/>
        </w:rPr>
        <w:t xml:space="preserve">de véhicules en leasing </w:t>
      </w:r>
      <w:r>
        <w:rPr>
          <w:rFonts w:asciiTheme="minorHAnsi" w:hAnsiTheme="minorHAnsi" w:cs="Calibri Light"/>
        </w:rPr>
        <w:t xml:space="preserve">de la commune elle-même mais également de toutes entités </w:t>
      </w:r>
      <w:r w:rsidR="000723BF">
        <w:rPr>
          <w:rFonts w:asciiTheme="minorHAnsi" w:hAnsiTheme="minorHAnsi" w:cs="Calibri Light"/>
        </w:rPr>
        <w:t>avec lesquelles la commune a un lien et un intérêt (</w:t>
      </w:r>
      <w:proofErr w:type="spellStart"/>
      <w:r w:rsidR="000723BF">
        <w:rPr>
          <w:rFonts w:asciiTheme="minorHAnsi" w:hAnsiTheme="minorHAnsi" w:cs="Calibri Light"/>
        </w:rPr>
        <w:t>cpas</w:t>
      </w:r>
      <w:proofErr w:type="spellEnd"/>
      <w:r w:rsidR="000723BF">
        <w:rPr>
          <w:rFonts w:asciiTheme="minorHAnsi" w:hAnsiTheme="minorHAnsi" w:cs="Calibri Light"/>
        </w:rPr>
        <w:t xml:space="preserve">, </w:t>
      </w:r>
      <w:proofErr w:type="spellStart"/>
      <w:r w:rsidR="000723BF">
        <w:rPr>
          <w:rFonts w:asciiTheme="minorHAnsi" w:hAnsiTheme="minorHAnsi" w:cs="Calibri Light"/>
        </w:rPr>
        <w:t>rca</w:t>
      </w:r>
      <w:proofErr w:type="spellEnd"/>
      <w:r w:rsidR="000723BF">
        <w:rPr>
          <w:rFonts w:asciiTheme="minorHAnsi" w:hAnsiTheme="minorHAnsi" w:cs="Calibri Light"/>
        </w:rPr>
        <w:t xml:space="preserve">, zone de police, zone de secours, intercommunale, </w:t>
      </w:r>
      <w:proofErr w:type="gramStart"/>
      <w:r w:rsidR="000723BF">
        <w:rPr>
          <w:rFonts w:asciiTheme="minorHAnsi" w:hAnsiTheme="minorHAnsi" w:cs="Calibri Light"/>
        </w:rPr>
        <w:t>etc….</w:t>
      </w:r>
      <w:proofErr w:type="gramEnd"/>
      <w:r w:rsidR="000723BF">
        <w:rPr>
          <w:rFonts w:asciiTheme="minorHAnsi" w:hAnsiTheme="minorHAnsi" w:cs="Calibri Light"/>
        </w:rPr>
        <w:t>)</w:t>
      </w:r>
    </w:p>
    <w:p w14:paraId="5D756D4B" w14:textId="778A10B5" w:rsidR="00333270" w:rsidRDefault="00311CC3" w:rsidP="000723BF">
      <w:pPr>
        <w:spacing w:before="120"/>
        <w:jc w:val="both"/>
        <w:textAlignment w:val="baseline"/>
        <w:rPr>
          <w:rFonts w:asciiTheme="minorHAnsi" w:hAnsiTheme="minorHAnsi" w:cs="Calibri Light"/>
          <w:b/>
          <w:bCs/>
        </w:rPr>
      </w:pPr>
      <w:r w:rsidRPr="00A65F14">
        <w:rPr>
          <w:rFonts w:asciiTheme="minorHAnsi" w:hAnsiTheme="minorHAnsi" w:cs="Calibri Light"/>
          <w:b/>
          <w:bCs/>
        </w:rPr>
        <w:t xml:space="preserve">Pour ces véhicules, la fiscalité (taxe de circulation et de mise en circulation) ainsi que les additionnels communaux y appliqués </w:t>
      </w:r>
      <w:r w:rsidR="000723BF">
        <w:rPr>
          <w:rFonts w:asciiTheme="minorHAnsi" w:hAnsiTheme="minorHAnsi" w:cs="Calibri Light"/>
          <w:b/>
          <w:bCs/>
        </w:rPr>
        <w:t>constitue</w:t>
      </w:r>
      <w:r w:rsidRPr="00A65F14">
        <w:rPr>
          <w:rFonts w:asciiTheme="minorHAnsi" w:hAnsiTheme="minorHAnsi" w:cs="Calibri Light"/>
          <w:b/>
          <w:bCs/>
        </w:rPr>
        <w:t xml:space="preserve"> en effet </w:t>
      </w:r>
      <w:r w:rsidR="000723BF">
        <w:rPr>
          <w:rFonts w:asciiTheme="minorHAnsi" w:hAnsiTheme="minorHAnsi" w:cs="Calibri Light"/>
          <w:b/>
          <w:bCs/>
        </w:rPr>
        <w:t>des recettes de</w:t>
      </w:r>
      <w:r w:rsidRPr="00A65F14">
        <w:rPr>
          <w:rFonts w:asciiTheme="minorHAnsi" w:hAnsiTheme="minorHAnsi" w:cs="Calibri Light"/>
          <w:b/>
          <w:bCs/>
        </w:rPr>
        <w:t xml:space="preserve"> la Région et </w:t>
      </w:r>
      <w:r w:rsidR="000723BF">
        <w:rPr>
          <w:rFonts w:asciiTheme="minorHAnsi" w:hAnsiTheme="minorHAnsi" w:cs="Calibri Light"/>
          <w:b/>
          <w:bCs/>
        </w:rPr>
        <w:t>des</w:t>
      </w:r>
      <w:r w:rsidRPr="00A65F14">
        <w:rPr>
          <w:rFonts w:asciiTheme="minorHAnsi" w:hAnsiTheme="minorHAnsi" w:cs="Calibri Light"/>
          <w:b/>
          <w:bCs/>
        </w:rPr>
        <w:t xml:space="preserve"> communes sur le territoire desquelles la société de leasing est établie, en ce compris par conséquent le décime additionnel.</w:t>
      </w:r>
      <w:r w:rsidR="009A66C7">
        <w:rPr>
          <w:rFonts w:asciiTheme="minorHAnsi" w:hAnsiTheme="minorHAnsi" w:cs="Calibri Light"/>
          <w:b/>
          <w:bCs/>
        </w:rPr>
        <w:t xml:space="preserve"> </w:t>
      </w:r>
      <w:r w:rsidR="00333270">
        <w:rPr>
          <w:rFonts w:asciiTheme="minorHAnsi" w:hAnsiTheme="minorHAnsi" w:cs="Calibri Light"/>
          <w:b/>
          <w:bCs/>
        </w:rPr>
        <w:t>Or</w:t>
      </w:r>
      <w:r w:rsidR="009A66C7">
        <w:rPr>
          <w:rFonts w:asciiTheme="minorHAnsi" w:hAnsiTheme="minorHAnsi" w:cs="Calibri Light"/>
          <w:b/>
          <w:bCs/>
        </w:rPr>
        <w:t>,</w:t>
      </w:r>
      <w:r w:rsidR="00333270">
        <w:rPr>
          <w:rFonts w:asciiTheme="minorHAnsi" w:hAnsiTheme="minorHAnsi" w:cs="Calibri Light"/>
          <w:b/>
          <w:bCs/>
        </w:rPr>
        <w:t xml:space="preserve"> la majorité des sociétés de leasing sont établies en dehors du territoire de la Région wallonne.</w:t>
      </w:r>
    </w:p>
    <w:p w14:paraId="06AFD775" w14:textId="77777777" w:rsidR="007B15CD" w:rsidRDefault="007B15CD" w:rsidP="000723BF">
      <w:pPr>
        <w:spacing w:before="120"/>
        <w:jc w:val="both"/>
        <w:textAlignment w:val="baseline"/>
        <w:rPr>
          <w:rFonts w:asciiTheme="minorHAnsi" w:hAnsiTheme="minorHAnsi" w:cs="Calibri Light"/>
          <w:b/>
          <w:bCs/>
        </w:rPr>
      </w:pPr>
    </w:p>
    <w:p w14:paraId="6D442DED" w14:textId="77777777" w:rsidR="00DB6C21" w:rsidRDefault="00DB6C21" w:rsidP="00DB6C21">
      <w:pPr>
        <w:pStyle w:val="Sam2"/>
      </w:pPr>
      <w:bookmarkStart w:id="183" w:name="_Toc74557823"/>
      <w:bookmarkEnd w:id="182"/>
      <w:r w:rsidRPr="009764F6">
        <w:lastRenderedPageBreak/>
        <w:t xml:space="preserve">Taxes et redevances </w:t>
      </w:r>
      <w:r>
        <w:t>spécialement motivées par une situation particulière rencontrée par la commune.</w:t>
      </w:r>
      <w:bookmarkEnd w:id="183"/>
    </w:p>
    <w:p w14:paraId="6E2465DF" w14:textId="29E7F3CD" w:rsidR="00DB6C21" w:rsidRDefault="00DB6C21" w:rsidP="00DB6C21">
      <w:pPr>
        <w:spacing w:before="120"/>
        <w:jc w:val="both"/>
        <w:textAlignment w:val="baseline"/>
      </w:pPr>
      <w:r>
        <w:t>Les situations visées concernent des situations particulières et spécifiques à la commune pour lesquelles il ne peut être renvoyé qu’à l’appréciation de la motivation et la justification reprise dans le préambule du règlement.</w:t>
      </w:r>
    </w:p>
    <w:p w14:paraId="6BA2D102" w14:textId="05650571" w:rsidR="00DB6C21" w:rsidRDefault="00DB6C21" w:rsidP="00DB6C21">
      <w:pPr>
        <w:spacing w:before="120"/>
        <w:jc w:val="both"/>
        <w:textAlignment w:val="baseline"/>
      </w:pPr>
      <w:r>
        <w:t xml:space="preserve">Il est rappelé qu’aucune disposition légale ou réglementaire n'interdit à un Conseil communal, lorsqu'il établit une taxe justifiée par l'état de ses finances, de la faire porter par priorité sur des activités qu'il estime plus critiquables que d'autres ou dont il estime le développement nuisible. Ces taxes et redevances doivent être </w:t>
      </w:r>
      <w:r w:rsidRPr="009764F6">
        <w:t>liées</w:t>
      </w:r>
      <w:r w:rsidRPr="00EA5A41">
        <w:t xml:space="preserve"> notamment</w:t>
      </w:r>
      <w:r>
        <w:t xml:space="preserve"> </w:t>
      </w:r>
      <w:r w:rsidRPr="009764F6">
        <w:t>à des nuisances</w:t>
      </w:r>
      <w:r w:rsidRPr="00695421">
        <w:t>, sonores, environnementales/écologiques, économiques, urbanistiques, à l’encontre du bien-être animal, du respect la vie privée</w:t>
      </w:r>
      <w:r>
        <w:t>, …</w:t>
      </w:r>
    </w:p>
    <w:p w14:paraId="011C9E9E" w14:textId="77777777" w:rsidR="00DB6C21" w:rsidRDefault="00DB6C21" w:rsidP="00DB6C21">
      <w:pPr>
        <w:spacing w:before="120"/>
        <w:jc w:val="both"/>
        <w:textAlignment w:val="baseline"/>
      </w:pPr>
      <w:r w:rsidRPr="00AC6B1D">
        <w:t>Il s'ensuit que si l'objectif principal de la taxe est principalement d'ordre budgétaire, rien ne s'oppose par ailleurs à ce que le Conseil communal poursuive des objectifs accessoires, non financiers, d'incitation ou de dissuasion. Cet objectif accessoire de dissuasion ne doit pas nécessairement ressortir des dispositions du règlement-taxe.</w:t>
      </w:r>
    </w:p>
    <w:p w14:paraId="7165818E" w14:textId="36495B93" w:rsidR="00DB6C21" w:rsidRDefault="00DB6C21" w:rsidP="000723BF">
      <w:pPr>
        <w:spacing w:before="120"/>
        <w:jc w:val="both"/>
        <w:textAlignment w:val="baseline"/>
      </w:pPr>
      <w:r>
        <w:t xml:space="preserve">Dans ce cadre, </w:t>
      </w:r>
      <w:r w:rsidR="00D017FE">
        <w:t>l’adoption</w:t>
      </w:r>
      <w:r>
        <w:t xml:space="preserve"> </w:t>
      </w:r>
      <w:r w:rsidRPr="008D7EB7">
        <w:t>de tels règlements-taxes ou redevances</w:t>
      </w:r>
      <w:r>
        <w:t xml:space="preserve"> </w:t>
      </w:r>
      <w:r w:rsidR="00D017FE">
        <w:t>est envisageable</w:t>
      </w:r>
      <w:r>
        <w:t>. Toutefois, la commune aura préalablement adressé</w:t>
      </w:r>
      <w:r w:rsidRPr="008D7EB7">
        <w:t xml:space="preserve"> au Ministre de tutelle un dossier circonstancié justifiant spécifiquement l’opportunité d’établir cette taxe </w:t>
      </w:r>
      <w:r>
        <w:t xml:space="preserve">ou redevance </w:t>
      </w:r>
      <w:r w:rsidRPr="008D7EB7">
        <w:t xml:space="preserve">et </w:t>
      </w:r>
      <w:r>
        <w:t>ne pourra</w:t>
      </w:r>
      <w:r w:rsidRPr="008D7EB7">
        <w:t xml:space="preserve"> l’adopter avant d’avoir </w:t>
      </w:r>
      <w:r>
        <w:t>r</w:t>
      </w:r>
      <w:r w:rsidRPr="008D7EB7">
        <w:t xml:space="preserve">eçu </w:t>
      </w:r>
      <w:r w:rsidR="00443178" w:rsidRPr="009A66C7">
        <w:t>l’</w:t>
      </w:r>
      <w:r w:rsidR="00D017FE" w:rsidRPr="009A66C7">
        <w:t>approbation</w:t>
      </w:r>
      <w:r w:rsidR="00443178" w:rsidRPr="009A66C7">
        <w:t xml:space="preserve"> du Gouvernement</w:t>
      </w:r>
      <w:r w:rsidRPr="009A66C7">
        <w:t>.</w:t>
      </w:r>
    </w:p>
    <w:p w14:paraId="57221171" w14:textId="551123E0" w:rsidR="00C54357" w:rsidRPr="00DA6BD2" w:rsidRDefault="00C54357" w:rsidP="00256E9F">
      <w:pPr>
        <w:pStyle w:val="Sam2"/>
      </w:pPr>
      <w:r w:rsidRPr="00DA6BD2">
        <w:t>Sites d'activité économique désaffectés</w:t>
      </w:r>
    </w:p>
    <w:p w14:paraId="5103EDCC" w14:textId="77777777" w:rsidR="00C54357" w:rsidRDefault="00C54357" w:rsidP="00C54357">
      <w:pPr>
        <w:spacing w:before="120"/>
        <w:jc w:val="both"/>
        <w:textAlignment w:val="baseline"/>
        <w:rPr>
          <w:rFonts w:asciiTheme="minorHAnsi" w:hAnsiTheme="minorHAnsi" w:cs="Calibri Light"/>
        </w:rPr>
      </w:pPr>
      <w:r w:rsidRPr="00DA6BD2">
        <w:rPr>
          <w:rFonts w:asciiTheme="minorHAnsi" w:hAnsiTheme="minorHAnsi" w:cs="Calibri Light"/>
        </w:rPr>
        <w:t xml:space="preserve">Le décret du 27 mai 2004 instituant une taxe régionale sur les sites d'activité économique désaffectés permet aujourd'hui </w:t>
      </w:r>
      <w:r>
        <w:rPr>
          <w:rFonts w:asciiTheme="minorHAnsi" w:hAnsiTheme="minorHAnsi" w:cs="Calibri Light"/>
        </w:rPr>
        <w:t xml:space="preserve">à la Région </w:t>
      </w:r>
      <w:r w:rsidRPr="00DA6BD2">
        <w:rPr>
          <w:rFonts w:asciiTheme="minorHAnsi" w:hAnsiTheme="minorHAnsi" w:cs="Calibri Light"/>
        </w:rPr>
        <w:t>de taxer les sites de plus de 1.000 m</w:t>
      </w:r>
      <w:r w:rsidRPr="00DA6BD2">
        <w:rPr>
          <w:rFonts w:asciiTheme="minorHAnsi" w:hAnsiTheme="minorHAnsi" w:cs="Calibri Light"/>
          <w:vertAlign w:val="superscript"/>
        </w:rPr>
        <w:t>2</w:t>
      </w:r>
      <w:r w:rsidRPr="00DA6BD2">
        <w:rPr>
          <w:rFonts w:asciiTheme="minorHAnsi" w:hAnsiTheme="minorHAnsi" w:cs="Calibri Light"/>
        </w:rPr>
        <w:t xml:space="preserve">. </w:t>
      </w:r>
    </w:p>
    <w:p w14:paraId="1EC68B78" w14:textId="77777777" w:rsidR="00C54357" w:rsidRDefault="00C54357" w:rsidP="00C54357">
      <w:pPr>
        <w:spacing w:before="120"/>
        <w:jc w:val="both"/>
        <w:textAlignment w:val="baseline"/>
        <w:rPr>
          <w:rFonts w:asciiTheme="minorHAnsi" w:hAnsiTheme="minorHAnsi" w:cs="Calibri Light"/>
        </w:rPr>
      </w:pPr>
      <w:r>
        <w:rPr>
          <w:rFonts w:asciiTheme="minorHAnsi" w:hAnsiTheme="minorHAnsi" w:cs="Calibri Light"/>
        </w:rPr>
        <w:t xml:space="preserve">Concernant cette taxe régionale, si le décret dispose que </w:t>
      </w:r>
      <w:r w:rsidRPr="00DA6BD2">
        <w:rPr>
          <w:rFonts w:asciiTheme="minorHAnsi" w:hAnsiTheme="minorHAnsi" w:cs="Calibri Light"/>
        </w:rPr>
        <w:t xml:space="preserve">les communes qui participent annuellement au recensement et à la mise à jour de la liste des sites susceptibles d'être concernés par la présente taxe, </w:t>
      </w:r>
      <w:r>
        <w:rPr>
          <w:rFonts w:asciiTheme="minorHAnsi" w:hAnsiTheme="minorHAnsi" w:cs="Calibri Light"/>
        </w:rPr>
        <w:t>peuvent</w:t>
      </w:r>
      <w:r w:rsidRPr="00DA6BD2">
        <w:rPr>
          <w:rFonts w:asciiTheme="minorHAnsi" w:hAnsiTheme="minorHAnsi" w:cs="Calibri Light"/>
        </w:rPr>
        <w:t xml:space="preserve"> lever des centimes additionnels à la taxe régionale</w:t>
      </w:r>
      <w:r>
        <w:rPr>
          <w:rFonts w:asciiTheme="minorHAnsi" w:hAnsiTheme="minorHAnsi" w:cs="Calibri Light"/>
        </w:rPr>
        <w:t xml:space="preserve">, </w:t>
      </w:r>
      <w:r w:rsidRPr="0072135E">
        <w:rPr>
          <w:rFonts w:asciiTheme="minorHAnsi" w:hAnsiTheme="minorHAnsi" w:cs="Calibri Light"/>
        </w:rPr>
        <w:t xml:space="preserve">l’opérationnalisation complète du décret, </w:t>
      </w:r>
      <w:r>
        <w:rPr>
          <w:rFonts w:asciiTheme="minorHAnsi" w:hAnsiTheme="minorHAnsi" w:cs="Calibri Light"/>
        </w:rPr>
        <w:t>notamment en ce qui concerne</w:t>
      </w:r>
      <w:r w:rsidRPr="0072135E">
        <w:rPr>
          <w:rFonts w:asciiTheme="minorHAnsi" w:hAnsiTheme="minorHAnsi" w:cs="Calibri Light"/>
        </w:rPr>
        <w:t xml:space="preserve"> l’intervention des communes et l’application des additionnels, </w:t>
      </w:r>
      <w:r>
        <w:rPr>
          <w:rFonts w:asciiTheme="minorHAnsi" w:hAnsiTheme="minorHAnsi" w:cs="Calibri Light"/>
        </w:rPr>
        <w:t>n’</w:t>
      </w:r>
      <w:r w:rsidRPr="0072135E">
        <w:rPr>
          <w:rFonts w:asciiTheme="minorHAnsi" w:hAnsiTheme="minorHAnsi" w:cs="Calibri Light"/>
        </w:rPr>
        <w:t xml:space="preserve">a </w:t>
      </w:r>
      <w:r>
        <w:rPr>
          <w:rFonts w:asciiTheme="minorHAnsi" w:hAnsiTheme="minorHAnsi" w:cs="Calibri Light"/>
        </w:rPr>
        <w:t>toujours pas été finalisée</w:t>
      </w:r>
      <w:r w:rsidRPr="00DA6BD2">
        <w:rPr>
          <w:rFonts w:asciiTheme="minorHAnsi" w:hAnsiTheme="minorHAnsi" w:cs="Calibri Light"/>
        </w:rPr>
        <w:t xml:space="preserve">. </w:t>
      </w:r>
    </w:p>
    <w:p w14:paraId="41E144B3" w14:textId="77777777" w:rsidR="00C54357" w:rsidRDefault="00C54357" w:rsidP="00C54357">
      <w:pPr>
        <w:spacing w:before="120"/>
        <w:jc w:val="both"/>
        <w:textAlignment w:val="baseline"/>
        <w:rPr>
          <w:rFonts w:asciiTheme="minorHAnsi" w:hAnsiTheme="minorHAnsi" w:cs="Calibri Light"/>
        </w:rPr>
      </w:pPr>
      <w:r>
        <w:rPr>
          <w:rFonts w:asciiTheme="minorHAnsi" w:hAnsiTheme="minorHAnsi" w:cs="Calibri Light"/>
        </w:rPr>
        <w:t>Dans l’éventualité d’une telle effectivité, l</w:t>
      </w:r>
      <w:r w:rsidRPr="00DA6BD2">
        <w:rPr>
          <w:rFonts w:asciiTheme="minorHAnsi" w:hAnsiTheme="minorHAnsi" w:cs="Calibri Light"/>
        </w:rPr>
        <w:t xml:space="preserve">e taux maximum recommandé est de 150 centimes additionnels. </w:t>
      </w:r>
    </w:p>
    <w:p w14:paraId="362F0C3D" w14:textId="26D30A58" w:rsidR="00DB6C21" w:rsidRDefault="00C54357" w:rsidP="00C54357">
      <w:pPr>
        <w:spacing w:before="120"/>
        <w:jc w:val="both"/>
        <w:textAlignment w:val="baseline"/>
        <w:rPr>
          <w:rFonts w:asciiTheme="minorHAnsi" w:hAnsiTheme="minorHAnsi" w:cs="Calibri Light"/>
        </w:rPr>
      </w:pPr>
      <w:r>
        <w:rPr>
          <w:rFonts w:asciiTheme="minorHAnsi" w:hAnsiTheme="minorHAnsi" w:cs="Calibri Light"/>
        </w:rPr>
        <w:t xml:space="preserve">Dès lors que </w:t>
      </w:r>
      <w:r w:rsidRPr="004475F1">
        <w:rPr>
          <w:rFonts w:asciiTheme="minorHAnsi" w:hAnsiTheme="minorHAnsi" w:cs="Calibri Light"/>
        </w:rPr>
        <w:t xml:space="preserve">cette procédure n’est, à l’heure actuelle, toujours pas </w:t>
      </w:r>
      <w:r>
        <w:rPr>
          <w:rFonts w:asciiTheme="minorHAnsi" w:hAnsiTheme="minorHAnsi" w:cs="Calibri Light"/>
        </w:rPr>
        <w:t>exécutée</w:t>
      </w:r>
      <w:r w:rsidRPr="004475F1">
        <w:rPr>
          <w:rFonts w:asciiTheme="minorHAnsi" w:hAnsiTheme="minorHAnsi" w:cs="Calibri Light"/>
        </w:rPr>
        <w:t xml:space="preserve">, il n’y a pas d’inconvénient </w:t>
      </w:r>
      <w:r>
        <w:rPr>
          <w:rFonts w:asciiTheme="minorHAnsi" w:hAnsiTheme="minorHAnsi" w:cs="Calibri Light"/>
        </w:rPr>
        <w:t xml:space="preserve">pour les communes </w:t>
      </w:r>
      <w:r w:rsidRPr="004475F1">
        <w:rPr>
          <w:rFonts w:asciiTheme="minorHAnsi" w:hAnsiTheme="minorHAnsi" w:cs="Calibri Light"/>
        </w:rPr>
        <w:t>à lever une taxe sur ces sites qui s’inspirerait, se fonderait, serait proportionnée à la taxe régionale</w:t>
      </w:r>
      <w:r w:rsidR="009F4DF1">
        <w:rPr>
          <w:rFonts w:asciiTheme="minorHAnsi" w:hAnsiTheme="minorHAnsi" w:cs="Calibri Light"/>
        </w:rPr>
        <w:t>.</w:t>
      </w:r>
    </w:p>
    <w:p w14:paraId="0940A285" w14:textId="6C64A220" w:rsidR="009F4DF1" w:rsidRDefault="009F4DF1" w:rsidP="00C54357">
      <w:pPr>
        <w:spacing w:before="120"/>
        <w:jc w:val="both"/>
        <w:textAlignment w:val="baseline"/>
        <w:rPr>
          <w:rFonts w:asciiTheme="minorHAnsi" w:hAnsiTheme="minorHAnsi" w:cs="Calibri Light"/>
        </w:rPr>
      </w:pPr>
      <w:r>
        <w:rPr>
          <w:rFonts w:asciiTheme="minorHAnsi" w:hAnsiTheme="minorHAnsi" w:cs="Calibri Light"/>
        </w:rPr>
        <w:t>Je vous renvoie également au n° de nomenclature</w:t>
      </w:r>
      <w:r w:rsidRPr="009F4DF1">
        <w:t xml:space="preserve"> </w:t>
      </w:r>
      <w:r w:rsidRPr="009F4DF1">
        <w:rPr>
          <w:rFonts w:asciiTheme="minorHAnsi" w:hAnsiTheme="minorHAnsi" w:cs="Calibri Light"/>
        </w:rPr>
        <w:t>04001/377-01 « Sites d'activité économique désaffectés ».</w:t>
      </w:r>
    </w:p>
    <w:p w14:paraId="6BAC88AE" w14:textId="5DEE0507" w:rsidR="006D2A01" w:rsidRDefault="006D2A01" w:rsidP="00256E9F">
      <w:pPr>
        <w:pStyle w:val="Sam2"/>
        <w:rPr>
          <w:rFonts w:asciiTheme="minorHAnsi" w:hAnsiTheme="minorHAnsi" w:cs="Calibri Light"/>
        </w:rPr>
      </w:pPr>
      <w:r>
        <w:rPr>
          <w:rFonts w:asciiTheme="minorHAnsi" w:hAnsiTheme="minorHAnsi" w:cs="Calibri Light"/>
        </w:rPr>
        <w:t>Fin des dérogations aux règles budgétaire – crise Covid</w:t>
      </w:r>
    </w:p>
    <w:p w14:paraId="23031CAD" w14:textId="0DFC7FC1" w:rsidR="006D2A01" w:rsidRDefault="006D2A01" w:rsidP="00C54357">
      <w:pPr>
        <w:spacing w:before="120"/>
        <w:jc w:val="both"/>
        <w:textAlignment w:val="baseline"/>
      </w:pPr>
      <w:r>
        <w:t>Enfin, il est rappelé que les dérogations ne sont pas reconduites pour l’exercice budgétaire 2023.</w:t>
      </w:r>
    </w:p>
    <w:p w14:paraId="041B7AB0" w14:textId="0BD41005" w:rsidR="00BF5345" w:rsidRDefault="00BF5345" w:rsidP="00BF5345">
      <w:pPr>
        <w:jc w:val="both"/>
        <w:rPr>
          <w:sz w:val="10"/>
          <w:szCs w:val="10"/>
          <w:lang w:val="fr-BE"/>
        </w:rPr>
      </w:pPr>
    </w:p>
    <w:p w14:paraId="600CDC54" w14:textId="592FAF21" w:rsidR="007D03B3" w:rsidRDefault="007D03B3" w:rsidP="00BF5345">
      <w:pPr>
        <w:jc w:val="both"/>
        <w:rPr>
          <w:sz w:val="10"/>
          <w:szCs w:val="10"/>
          <w:lang w:val="fr-BE"/>
        </w:rPr>
      </w:pPr>
    </w:p>
    <w:p w14:paraId="155E705D" w14:textId="17980531" w:rsidR="007B15CD" w:rsidRDefault="007B15CD" w:rsidP="00BF5345">
      <w:pPr>
        <w:jc w:val="both"/>
        <w:rPr>
          <w:sz w:val="10"/>
          <w:szCs w:val="10"/>
          <w:lang w:val="fr-BE"/>
        </w:rPr>
      </w:pPr>
    </w:p>
    <w:p w14:paraId="3E0BE245" w14:textId="77777777" w:rsidR="007B15CD" w:rsidRPr="00606113" w:rsidRDefault="007B15CD" w:rsidP="00BF5345">
      <w:pPr>
        <w:jc w:val="both"/>
        <w:rPr>
          <w:sz w:val="10"/>
          <w:szCs w:val="10"/>
          <w:lang w:val="fr-BE"/>
        </w:rPr>
      </w:pPr>
    </w:p>
    <w:p w14:paraId="75EA14AE" w14:textId="77777777" w:rsidR="004A2669" w:rsidRPr="000B2C5D" w:rsidRDefault="004A2669" w:rsidP="00606113">
      <w:pPr>
        <w:pStyle w:val="Sam1"/>
        <w:spacing w:after="120"/>
        <w:rPr>
          <w:lang w:val="fr-FR"/>
        </w:rPr>
      </w:pPr>
      <w:bookmarkStart w:id="184" w:name="_Toc515974936"/>
      <w:bookmarkStart w:id="185" w:name="_Toc515978444"/>
      <w:bookmarkStart w:id="186" w:name="_Toc516058828"/>
      <w:bookmarkStart w:id="187" w:name="_Toc516058970"/>
      <w:bookmarkStart w:id="188" w:name="_Toc516227694"/>
      <w:bookmarkStart w:id="189" w:name="_Toc516229507"/>
      <w:bookmarkStart w:id="190" w:name="_Toc516229802"/>
      <w:bookmarkStart w:id="191" w:name="_Toc516230097"/>
      <w:bookmarkStart w:id="192" w:name="_Toc516230392"/>
      <w:bookmarkStart w:id="193" w:name="_Toc516230686"/>
      <w:bookmarkStart w:id="194" w:name="_Toc516230980"/>
      <w:bookmarkStart w:id="195" w:name="_Toc516231275"/>
      <w:bookmarkStart w:id="196" w:name="_Toc516231571"/>
      <w:bookmarkStart w:id="197" w:name="_Toc516242664"/>
      <w:bookmarkStart w:id="198" w:name="_Toc516242967"/>
      <w:bookmarkStart w:id="199" w:name="_Toc516244900"/>
      <w:bookmarkStart w:id="200" w:name="_Toc516473472"/>
      <w:bookmarkStart w:id="201" w:name="_Toc516473782"/>
      <w:bookmarkStart w:id="202" w:name="_Toc516474092"/>
      <w:bookmarkStart w:id="203" w:name="_Toc516474400"/>
      <w:bookmarkStart w:id="204" w:name="_Toc516474731"/>
      <w:bookmarkStart w:id="205" w:name="_Toc516478760"/>
      <w:bookmarkStart w:id="206" w:name="_Toc516479223"/>
      <w:bookmarkStart w:id="207" w:name="_Toc516479540"/>
      <w:bookmarkStart w:id="208" w:name="_Toc516479863"/>
      <w:bookmarkStart w:id="209" w:name="_Toc516480178"/>
      <w:bookmarkStart w:id="210" w:name="_Toc516480492"/>
      <w:bookmarkStart w:id="211" w:name="_Toc516480806"/>
      <w:bookmarkStart w:id="212" w:name="_Toc516481120"/>
      <w:bookmarkStart w:id="213" w:name="_Toc516481434"/>
      <w:bookmarkStart w:id="214" w:name="_Toc516481748"/>
      <w:bookmarkStart w:id="215" w:name="_Toc516482062"/>
      <w:bookmarkStart w:id="216" w:name="_Toc516482376"/>
      <w:bookmarkStart w:id="217" w:name="_Toc516739498"/>
      <w:bookmarkStart w:id="218" w:name="_Toc516751411"/>
      <w:bookmarkStart w:id="219" w:name="_Toc74557548"/>
      <w:bookmarkEnd w:id="1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1E1353">
        <w:rPr>
          <w:lang w:val="fr-FR"/>
        </w:rPr>
        <w:lastRenderedPageBreak/>
        <w:t>DISPOSITIONS GÉNÉRALES</w:t>
      </w:r>
      <w:bookmarkEnd w:id="219"/>
    </w:p>
    <w:p w14:paraId="302840DC" w14:textId="5890000D" w:rsidR="004A2669" w:rsidRDefault="004A2669" w:rsidP="004A2669">
      <w:pPr>
        <w:jc w:val="both"/>
      </w:pPr>
      <w:r w:rsidRPr="001E1353">
        <w:t xml:space="preserve">Je vous rappelle qu’en ce qui concerne les communes sous plan de gestion et </w:t>
      </w:r>
      <w:r w:rsidR="001A5DB1">
        <w:t>leur</w:t>
      </w:r>
      <w:r w:rsidRPr="001E1353">
        <w:t xml:space="preserve">s entités consolidées, il convient </w:t>
      </w:r>
      <w:r w:rsidRPr="00256E9F">
        <w:rPr>
          <w:b/>
          <w:bCs/>
        </w:rPr>
        <w:t>également</w:t>
      </w:r>
      <w:r w:rsidRPr="001E1353">
        <w:t xml:space="preserve"> de se référer à la circulaire relative au suivi du Centre Régional d’Aide aux Communes.</w:t>
      </w:r>
    </w:p>
    <w:p w14:paraId="275ED15C" w14:textId="77777777" w:rsidR="00900C39" w:rsidRPr="00606113" w:rsidRDefault="00900C39" w:rsidP="004A2669">
      <w:pPr>
        <w:jc w:val="both"/>
        <w:rPr>
          <w:sz w:val="6"/>
          <w:szCs w:val="6"/>
        </w:rPr>
      </w:pPr>
    </w:p>
    <w:p w14:paraId="134D1642" w14:textId="77777777" w:rsidR="004A2669" w:rsidRPr="001E1353" w:rsidRDefault="004A2669" w:rsidP="007D03B3">
      <w:pPr>
        <w:pStyle w:val="Sam2"/>
        <w:spacing w:after="120"/>
        <w:rPr>
          <w:lang w:val="fr-FR"/>
        </w:rPr>
      </w:pPr>
      <w:bookmarkStart w:id="220" w:name="_Toc74557549"/>
      <w:r w:rsidRPr="001E1353">
        <w:rPr>
          <w:lang w:val="fr-FR"/>
        </w:rPr>
        <w:t>Calendrier légal</w:t>
      </w:r>
      <w:bookmarkEnd w:id="220"/>
    </w:p>
    <w:p w14:paraId="0F5BAFC1" w14:textId="1621AB9E" w:rsidR="004A2669" w:rsidRDefault="004A2669" w:rsidP="004A2669">
      <w:pPr>
        <w:jc w:val="both"/>
      </w:pPr>
      <w:r w:rsidRPr="001E1353">
        <w:t>Dans un souci de bonne maîtrise de la gestion communale, j'attire votre attention sur la nécessité de veiller à respecter au mieux les prescrits légaux concernant les dates de vote budgétaires et comptables (artic</w:t>
      </w:r>
      <w:r w:rsidR="000B2C5D">
        <w:t>les L1312-1 et L1312-2 du CDLD).</w:t>
      </w:r>
    </w:p>
    <w:p w14:paraId="529ED5D4" w14:textId="256BB624" w:rsidR="00EA1F94" w:rsidRPr="001E1353" w:rsidRDefault="00EA1F94" w:rsidP="004A2669">
      <w:pPr>
        <w:jc w:val="both"/>
        <w:rPr>
          <w:b/>
        </w:rPr>
      </w:pPr>
    </w:p>
    <w:tbl>
      <w:tblPr>
        <w:tblStyle w:val="Grilledutableau"/>
        <w:tblW w:w="10136" w:type="dxa"/>
        <w:jc w:val="center"/>
        <w:tblLook w:val="04A0" w:firstRow="1" w:lastRow="0" w:firstColumn="1" w:lastColumn="0" w:noHBand="0" w:noVBand="1"/>
      </w:tblPr>
      <w:tblGrid>
        <w:gridCol w:w="2535"/>
        <w:gridCol w:w="2838"/>
        <w:gridCol w:w="2193"/>
        <w:gridCol w:w="2570"/>
      </w:tblGrid>
      <w:tr w:rsidR="004A2669" w:rsidRPr="00D10D05" w14:paraId="53F7BE09" w14:textId="77777777" w:rsidTr="007D03B3">
        <w:trPr>
          <w:trHeight w:val="98"/>
          <w:jc w:val="center"/>
        </w:trPr>
        <w:tc>
          <w:tcPr>
            <w:tcW w:w="10136" w:type="dxa"/>
            <w:gridSpan w:val="4"/>
            <w:shd w:val="pct12" w:color="auto" w:fill="auto"/>
          </w:tcPr>
          <w:p w14:paraId="7A2AB892" w14:textId="77777777" w:rsidR="004A2669" w:rsidRPr="00575B2A" w:rsidRDefault="004A2669" w:rsidP="00575B2A">
            <w:pPr>
              <w:jc w:val="center"/>
              <w:rPr>
                <w:sz w:val="20"/>
                <w:szCs w:val="20"/>
              </w:rPr>
            </w:pPr>
            <w:r w:rsidRPr="00575B2A">
              <w:rPr>
                <w:b/>
                <w:sz w:val="20"/>
                <w:szCs w:val="20"/>
              </w:rPr>
              <w:t>Budget initial</w:t>
            </w:r>
          </w:p>
        </w:tc>
      </w:tr>
      <w:tr w:rsidR="004A2669" w:rsidRPr="00D10D05" w14:paraId="5852CC17" w14:textId="77777777" w:rsidTr="007D03B3">
        <w:trPr>
          <w:trHeight w:val="334"/>
          <w:jc w:val="center"/>
        </w:trPr>
        <w:tc>
          <w:tcPr>
            <w:tcW w:w="2535" w:type="dxa"/>
            <w:vAlign w:val="center"/>
          </w:tcPr>
          <w:p w14:paraId="624248FE" w14:textId="2ADDFB7C" w:rsidR="004A2669" w:rsidRPr="00575B2A" w:rsidRDefault="004A2669" w:rsidP="004A2669">
            <w:pPr>
              <w:jc w:val="both"/>
              <w:rPr>
                <w:b/>
                <w:sz w:val="20"/>
                <w:szCs w:val="20"/>
              </w:rPr>
            </w:pPr>
            <w:r w:rsidRPr="00575B2A">
              <w:rPr>
                <w:b/>
                <w:sz w:val="20"/>
                <w:szCs w:val="20"/>
              </w:rPr>
              <w:t>Budget provisoire</w:t>
            </w:r>
            <w:r w:rsidR="00611B22" w:rsidRPr="00493337">
              <w:rPr>
                <w:b/>
                <w:sz w:val="20"/>
                <w:szCs w:val="20"/>
              </w:rPr>
              <w:t>*</w:t>
            </w:r>
          </w:p>
        </w:tc>
        <w:tc>
          <w:tcPr>
            <w:tcW w:w="2838" w:type="dxa"/>
            <w:vAlign w:val="center"/>
          </w:tcPr>
          <w:p w14:paraId="23F71D6E" w14:textId="251B2ED2" w:rsidR="004A2669" w:rsidRPr="00575B2A" w:rsidRDefault="004A2669" w:rsidP="004A2669">
            <w:pPr>
              <w:jc w:val="both"/>
              <w:rPr>
                <w:sz w:val="20"/>
                <w:szCs w:val="20"/>
              </w:rPr>
            </w:pPr>
            <w:r w:rsidRPr="00575B2A">
              <w:rPr>
                <w:sz w:val="20"/>
                <w:szCs w:val="20"/>
              </w:rPr>
              <w:t xml:space="preserve">Arrêté par le </w:t>
            </w:r>
            <w:r w:rsidR="00386116">
              <w:rPr>
                <w:sz w:val="20"/>
                <w:szCs w:val="20"/>
              </w:rPr>
              <w:t>C</w:t>
            </w:r>
            <w:r w:rsidRPr="00575B2A">
              <w:rPr>
                <w:sz w:val="20"/>
                <w:szCs w:val="20"/>
              </w:rPr>
              <w:t xml:space="preserve">ollège communal le 30 septembre au plus tard </w:t>
            </w:r>
            <w:proofErr w:type="gramStart"/>
            <w:r w:rsidRPr="00575B2A">
              <w:rPr>
                <w:sz w:val="20"/>
                <w:szCs w:val="20"/>
              </w:rPr>
              <w:t>-  transmis</w:t>
            </w:r>
            <w:proofErr w:type="gramEnd"/>
            <w:r w:rsidRPr="00575B2A">
              <w:rPr>
                <w:sz w:val="20"/>
                <w:szCs w:val="20"/>
              </w:rPr>
              <w:t xml:space="preserve"> le 1</w:t>
            </w:r>
            <w:r w:rsidRPr="00575B2A">
              <w:rPr>
                <w:sz w:val="20"/>
                <w:szCs w:val="20"/>
                <w:vertAlign w:val="superscript"/>
              </w:rPr>
              <w:t>er</w:t>
            </w:r>
            <w:r w:rsidRPr="00575B2A">
              <w:rPr>
                <w:sz w:val="20"/>
                <w:szCs w:val="20"/>
              </w:rPr>
              <w:t xml:space="preserve"> octobre</w:t>
            </w:r>
            <w:r w:rsidR="00177A7B">
              <w:rPr>
                <w:sz w:val="20"/>
                <w:szCs w:val="20"/>
              </w:rPr>
              <w:t>.</w:t>
            </w:r>
            <w:r w:rsidRPr="00575B2A">
              <w:rPr>
                <w:sz w:val="20"/>
                <w:szCs w:val="20"/>
              </w:rPr>
              <w:t xml:space="preserve"> </w:t>
            </w:r>
          </w:p>
        </w:tc>
        <w:tc>
          <w:tcPr>
            <w:tcW w:w="2193" w:type="dxa"/>
            <w:vAlign w:val="center"/>
          </w:tcPr>
          <w:p w14:paraId="5A30C0AD" w14:textId="77777777" w:rsidR="004A2669" w:rsidRPr="00575B2A" w:rsidRDefault="004A2669" w:rsidP="004A2669">
            <w:pPr>
              <w:jc w:val="both"/>
              <w:rPr>
                <w:sz w:val="20"/>
                <w:szCs w:val="20"/>
              </w:rPr>
            </w:pPr>
            <w:r w:rsidRPr="00575B2A">
              <w:rPr>
                <w:sz w:val="20"/>
                <w:szCs w:val="20"/>
              </w:rPr>
              <w:t>Fichier BP</w:t>
            </w:r>
          </w:p>
          <w:p w14:paraId="1B5CA423" w14:textId="77777777" w:rsidR="004A2669" w:rsidRPr="00575B2A" w:rsidRDefault="004A2669" w:rsidP="004A2669">
            <w:pPr>
              <w:jc w:val="both"/>
              <w:rPr>
                <w:sz w:val="20"/>
                <w:szCs w:val="20"/>
              </w:rPr>
            </w:pPr>
            <w:proofErr w:type="gramStart"/>
            <w:r w:rsidRPr="00575B2A">
              <w:rPr>
                <w:sz w:val="20"/>
                <w:szCs w:val="20"/>
              </w:rPr>
              <w:t>généré</w:t>
            </w:r>
            <w:proofErr w:type="gramEnd"/>
            <w:r w:rsidRPr="00575B2A">
              <w:rPr>
                <w:sz w:val="20"/>
                <w:szCs w:val="20"/>
              </w:rPr>
              <w:t xml:space="preserve"> par </w:t>
            </w:r>
            <w:proofErr w:type="spellStart"/>
            <w:r w:rsidRPr="00575B2A">
              <w:rPr>
                <w:sz w:val="20"/>
                <w:szCs w:val="20"/>
              </w:rPr>
              <w:t>eComptes</w:t>
            </w:r>
            <w:proofErr w:type="spellEnd"/>
            <w:r w:rsidR="00177A7B">
              <w:rPr>
                <w:sz w:val="20"/>
                <w:szCs w:val="20"/>
              </w:rPr>
              <w:t>.</w:t>
            </w:r>
          </w:p>
        </w:tc>
        <w:tc>
          <w:tcPr>
            <w:tcW w:w="2568" w:type="dxa"/>
            <w:vAlign w:val="center"/>
          </w:tcPr>
          <w:p w14:paraId="4C118CC9" w14:textId="22B14CD4" w:rsidR="004A2669" w:rsidRPr="00575B2A" w:rsidRDefault="004A2669" w:rsidP="004A2669">
            <w:pPr>
              <w:jc w:val="both"/>
              <w:rPr>
                <w:sz w:val="20"/>
                <w:szCs w:val="20"/>
              </w:rPr>
            </w:pPr>
            <w:r w:rsidRPr="00575B2A">
              <w:rPr>
                <w:sz w:val="20"/>
                <w:szCs w:val="20"/>
              </w:rPr>
              <w:t>Envoi automatique vers l</w:t>
            </w:r>
            <w:r w:rsidR="00902F4F">
              <w:rPr>
                <w:sz w:val="20"/>
                <w:szCs w:val="20"/>
              </w:rPr>
              <w:t>e</w:t>
            </w:r>
            <w:r w:rsidRPr="00575B2A">
              <w:rPr>
                <w:sz w:val="20"/>
                <w:szCs w:val="20"/>
              </w:rPr>
              <w:t xml:space="preserve"> </w:t>
            </w:r>
            <w:r w:rsidR="00CF27C2" w:rsidRPr="00CF27C2">
              <w:rPr>
                <w:sz w:val="20"/>
                <w:szCs w:val="20"/>
              </w:rPr>
              <w:t xml:space="preserve">SPW Intérieur et Action </w:t>
            </w:r>
            <w:proofErr w:type="gramStart"/>
            <w:r w:rsidR="00CF27C2" w:rsidRPr="00CF27C2">
              <w:rPr>
                <w:sz w:val="20"/>
                <w:szCs w:val="20"/>
              </w:rPr>
              <w:t xml:space="preserve">sociale </w:t>
            </w:r>
            <w:r w:rsidRPr="00575B2A">
              <w:rPr>
                <w:sz w:val="20"/>
                <w:szCs w:val="20"/>
              </w:rPr>
              <w:t xml:space="preserve"> dès</w:t>
            </w:r>
            <w:proofErr w:type="gramEnd"/>
            <w:r w:rsidRPr="00575B2A">
              <w:rPr>
                <w:sz w:val="20"/>
                <w:szCs w:val="20"/>
              </w:rPr>
              <w:t xml:space="preserve"> la génération du fichier dans </w:t>
            </w:r>
            <w:proofErr w:type="spellStart"/>
            <w:r w:rsidRPr="00575B2A">
              <w:rPr>
                <w:sz w:val="20"/>
                <w:szCs w:val="20"/>
              </w:rPr>
              <w:t>eComptes</w:t>
            </w:r>
            <w:proofErr w:type="spellEnd"/>
            <w:r w:rsidR="00177A7B">
              <w:rPr>
                <w:sz w:val="20"/>
                <w:szCs w:val="20"/>
              </w:rPr>
              <w:t>.</w:t>
            </w:r>
          </w:p>
        </w:tc>
      </w:tr>
      <w:tr w:rsidR="004A2669" w:rsidRPr="00D10D05" w14:paraId="3EACBFA9" w14:textId="77777777" w:rsidTr="007D03B3">
        <w:trPr>
          <w:trHeight w:val="393"/>
          <w:jc w:val="center"/>
        </w:trPr>
        <w:tc>
          <w:tcPr>
            <w:tcW w:w="2535" w:type="dxa"/>
            <w:vMerge w:val="restart"/>
            <w:vAlign w:val="center"/>
          </w:tcPr>
          <w:p w14:paraId="7B6C7CB9" w14:textId="77777777" w:rsidR="004A2669" w:rsidRPr="00575B2A" w:rsidRDefault="004A2669" w:rsidP="004A2669">
            <w:pPr>
              <w:jc w:val="both"/>
              <w:rPr>
                <w:b/>
                <w:sz w:val="20"/>
                <w:szCs w:val="20"/>
              </w:rPr>
            </w:pPr>
            <w:r w:rsidRPr="00575B2A">
              <w:rPr>
                <w:b/>
                <w:sz w:val="20"/>
                <w:szCs w:val="20"/>
              </w:rPr>
              <w:t>Budget définitif</w:t>
            </w:r>
          </w:p>
        </w:tc>
        <w:tc>
          <w:tcPr>
            <w:tcW w:w="2838" w:type="dxa"/>
            <w:vMerge w:val="restart"/>
            <w:vAlign w:val="center"/>
          </w:tcPr>
          <w:p w14:paraId="0BF9B467" w14:textId="24B82FBF" w:rsidR="004A2669" w:rsidRPr="00575B2A" w:rsidRDefault="004A2669" w:rsidP="004A2669">
            <w:pPr>
              <w:jc w:val="both"/>
              <w:rPr>
                <w:sz w:val="20"/>
                <w:szCs w:val="20"/>
              </w:rPr>
            </w:pPr>
            <w:r w:rsidRPr="00575B2A">
              <w:rPr>
                <w:sz w:val="20"/>
                <w:szCs w:val="20"/>
              </w:rPr>
              <w:t xml:space="preserve">Voté par le </w:t>
            </w:r>
            <w:r w:rsidR="00386116">
              <w:rPr>
                <w:sz w:val="20"/>
                <w:szCs w:val="20"/>
              </w:rPr>
              <w:t>C</w:t>
            </w:r>
            <w:r w:rsidRPr="00575B2A">
              <w:rPr>
                <w:sz w:val="20"/>
                <w:szCs w:val="20"/>
              </w:rPr>
              <w:t>onseil communal le 31 décembre au plus tard - transmis dans les 15 jours</w:t>
            </w:r>
            <w:r w:rsidR="00177A7B">
              <w:rPr>
                <w:sz w:val="20"/>
                <w:szCs w:val="20"/>
              </w:rPr>
              <w:t>.</w:t>
            </w:r>
          </w:p>
        </w:tc>
        <w:tc>
          <w:tcPr>
            <w:tcW w:w="2193" w:type="dxa"/>
            <w:vMerge w:val="restart"/>
            <w:vAlign w:val="center"/>
          </w:tcPr>
          <w:p w14:paraId="058A9C2D" w14:textId="77777777" w:rsidR="004A2669" w:rsidRPr="00575B2A" w:rsidRDefault="004A2669" w:rsidP="001E1353">
            <w:pPr>
              <w:numPr>
                <w:ilvl w:val="0"/>
                <w:numId w:val="15"/>
              </w:numPr>
              <w:jc w:val="both"/>
              <w:rPr>
                <w:sz w:val="20"/>
                <w:szCs w:val="20"/>
              </w:rPr>
            </w:pPr>
            <w:r w:rsidRPr="00575B2A">
              <w:rPr>
                <w:sz w:val="20"/>
                <w:szCs w:val="20"/>
              </w:rPr>
              <w:t xml:space="preserve">Fichier SIC généré par </w:t>
            </w:r>
            <w:proofErr w:type="spellStart"/>
            <w:r w:rsidRPr="00575B2A">
              <w:rPr>
                <w:sz w:val="20"/>
                <w:szCs w:val="20"/>
              </w:rPr>
              <w:t>eComptes</w:t>
            </w:r>
            <w:proofErr w:type="spellEnd"/>
            <w:r w:rsidR="00177A7B">
              <w:rPr>
                <w:sz w:val="20"/>
                <w:szCs w:val="20"/>
              </w:rPr>
              <w:t>.</w:t>
            </w:r>
          </w:p>
          <w:p w14:paraId="31962C23" w14:textId="490C7692" w:rsidR="004A2669" w:rsidRPr="00575B2A" w:rsidRDefault="004A2669" w:rsidP="001E1353">
            <w:pPr>
              <w:numPr>
                <w:ilvl w:val="0"/>
                <w:numId w:val="15"/>
              </w:numPr>
              <w:jc w:val="both"/>
              <w:rPr>
                <w:sz w:val="20"/>
                <w:szCs w:val="20"/>
              </w:rPr>
            </w:pPr>
            <w:r w:rsidRPr="00575B2A">
              <w:rPr>
                <w:sz w:val="20"/>
                <w:szCs w:val="20"/>
              </w:rPr>
              <w:t xml:space="preserve">Version </w:t>
            </w:r>
            <w:r w:rsidR="009E6A76">
              <w:rPr>
                <w:sz w:val="20"/>
                <w:szCs w:val="20"/>
              </w:rPr>
              <w:t>W</w:t>
            </w:r>
            <w:r w:rsidR="009E6A76" w:rsidRPr="00575B2A">
              <w:rPr>
                <w:sz w:val="20"/>
                <w:szCs w:val="20"/>
              </w:rPr>
              <w:t xml:space="preserve">ord </w:t>
            </w:r>
            <w:r w:rsidRPr="00575B2A">
              <w:rPr>
                <w:sz w:val="20"/>
                <w:szCs w:val="20"/>
              </w:rPr>
              <w:t>conforme au fichier SIC</w:t>
            </w:r>
            <w:r w:rsidR="00177A7B">
              <w:rPr>
                <w:sz w:val="20"/>
                <w:szCs w:val="20"/>
              </w:rPr>
              <w:t>.</w:t>
            </w:r>
          </w:p>
        </w:tc>
        <w:tc>
          <w:tcPr>
            <w:tcW w:w="2568" w:type="dxa"/>
            <w:vAlign w:val="center"/>
          </w:tcPr>
          <w:p w14:paraId="6928009F" w14:textId="7E2DA41D" w:rsidR="004A2669" w:rsidRPr="00575B2A" w:rsidRDefault="004A2669" w:rsidP="004A2669">
            <w:pPr>
              <w:jc w:val="both"/>
              <w:rPr>
                <w:sz w:val="20"/>
                <w:szCs w:val="20"/>
              </w:rPr>
            </w:pPr>
            <w:r w:rsidRPr="00575B2A">
              <w:rPr>
                <w:sz w:val="20"/>
                <w:szCs w:val="20"/>
              </w:rPr>
              <w:t>E</w:t>
            </w:r>
            <w:r w:rsidR="000B2C5D" w:rsidRPr="00575B2A">
              <w:rPr>
                <w:sz w:val="20"/>
                <w:szCs w:val="20"/>
              </w:rPr>
              <w:t xml:space="preserve">nvoi automatique vers </w:t>
            </w:r>
            <w:proofErr w:type="spellStart"/>
            <w:r w:rsidR="000B2C5D" w:rsidRPr="00575B2A">
              <w:rPr>
                <w:sz w:val="20"/>
                <w:szCs w:val="20"/>
              </w:rPr>
              <w:t>eComptes</w:t>
            </w:r>
            <w:proofErr w:type="spellEnd"/>
            <w:r w:rsidR="000B2C5D" w:rsidRPr="00575B2A">
              <w:rPr>
                <w:sz w:val="20"/>
                <w:szCs w:val="20"/>
              </w:rPr>
              <w:t xml:space="preserve"> </w:t>
            </w:r>
            <w:r w:rsidRPr="00575B2A">
              <w:rPr>
                <w:sz w:val="20"/>
                <w:szCs w:val="20"/>
              </w:rPr>
              <w:t xml:space="preserve">dès la génération en cochant « Envoi </w:t>
            </w:r>
            <w:r w:rsidR="004D0FC9" w:rsidRPr="00493337">
              <w:rPr>
                <w:sz w:val="20"/>
                <w:szCs w:val="20"/>
              </w:rPr>
              <w:t xml:space="preserve"> </w:t>
            </w:r>
            <w:r w:rsidRPr="00493337">
              <w:rPr>
                <w:sz w:val="20"/>
                <w:szCs w:val="20"/>
              </w:rPr>
              <w:t> </w:t>
            </w:r>
            <w:r w:rsidR="004D0FC9" w:rsidRPr="00493337">
              <w:rPr>
                <w:sz w:val="20"/>
                <w:szCs w:val="20"/>
              </w:rPr>
              <w:t>au SPW Intérieur Action sociale</w:t>
            </w:r>
            <w:r w:rsidR="004D0FC9">
              <w:rPr>
                <w:sz w:val="20"/>
                <w:szCs w:val="20"/>
              </w:rPr>
              <w:t xml:space="preserve"> </w:t>
            </w:r>
            <w:r w:rsidRPr="00575B2A">
              <w:rPr>
                <w:sz w:val="20"/>
                <w:szCs w:val="20"/>
              </w:rPr>
              <w:t>»</w:t>
            </w:r>
            <w:r w:rsidR="00177A7B">
              <w:rPr>
                <w:sz w:val="20"/>
                <w:szCs w:val="20"/>
              </w:rPr>
              <w:t>.</w:t>
            </w:r>
          </w:p>
        </w:tc>
      </w:tr>
      <w:tr w:rsidR="004A2669" w:rsidRPr="00D10D05" w14:paraId="73A6C106" w14:textId="77777777" w:rsidTr="007D03B3">
        <w:trPr>
          <w:trHeight w:val="405"/>
          <w:jc w:val="center"/>
        </w:trPr>
        <w:tc>
          <w:tcPr>
            <w:tcW w:w="2535" w:type="dxa"/>
            <w:vMerge/>
            <w:tcBorders>
              <w:bottom w:val="single" w:sz="4" w:space="0" w:color="auto"/>
            </w:tcBorders>
            <w:vAlign w:val="center"/>
          </w:tcPr>
          <w:p w14:paraId="04417F74" w14:textId="77777777" w:rsidR="004A2669" w:rsidRPr="00575B2A" w:rsidRDefault="004A2669" w:rsidP="004A2669">
            <w:pPr>
              <w:jc w:val="both"/>
              <w:rPr>
                <w:b/>
                <w:sz w:val="20"/>
                <w:szCs w:val="20"/>
              </w:rPr>
            </w:pPr>
          </w:p>
        </w:tc>
        <w:tc>
          <w:tcPr>
            <w:tcW w:w="2838" w:type="dxa"/>
            <w:vMerge/>
            <w:tcBorders>
              <w:bottom w:val="single" w:sz="4" w:space="0" w:color="auto"/>
            </w:tcBorders>
            <w:vAlign w:val="center"/>
          </w:tcPr>
          <w:p w14:paraId="5FC33C70" w14:textId="77777777" w:rsidR="004A2669" w:rsidRPr="00575B2A" w:rsidRDefault="004A2669" w:rsidP="004A2669">
            <w:pPr>
              <w:jc w:val="both"/>
              <w:rPr>
                <w:sz w:val="20"/>
                <w:szCs w:val="20"/>
              </w:rPr>
            </w:pPr>
          </w:p>
        </w:tc>
        <w:tc>
          <w:tcPr>
            <w:tcW w:w="2193" w:type="dxa"/>
            <w:vMerge/>
            <w:tcBorders>
              <w:bottom w:val="single" w:sz="4" w:space="0" w:color="auto"/>
            </w:tcBorders>
            <w:vAlign w:val="center"/>
          </w:tcPr>
          <w:p w14:paraId="5FF27079" w14:textId="77777777" w:rsidR="004A2669" w:rsidRPr="00575B2A" w:rsidRDefault="004A2669" w:rsidP="004A2669">
            <w:pPr>
              <w:jc w:val="both"/>
              <w:rPr>
                <w:sz w:val="20"/>
                <w:szCs w:val="20"/>
              </w:rPr>
            </w:pPr>
          </w:p>
        </w:tc>
        <w:tc>
          <w:tcPr>
            <w:tcW w:w="2568" w:type="dxa"/>
            <w:tcBorders>
              <w:bottom w:val="single" w:sz="4" w:space="0" w:color="auto"/>
            </w:tcBorders>
            <w:vAlign w:val="center"/>
          </w:tcPr>
          <w:p w14:paraId="72D1BF59" w14:textId="77777777" w:rsidR="004A2669" w:rsidRPr="00575B2A" w:rsidRDefault="004A2669" w:rsidP="004A2669">
            <w:pPr>
              <w:jc w:val="both"/>
              <w:rPr>
                <w:sz w:val="20"/>
                <w:szCs w:val="20"/>
              </w:rPr>
            </w:pPr>
            <w:r w:rsidRPr="00575B2A">
              <w:rPr>
                <w:sz w:val="20"/>
                <w:szCs w:val="20"/>
              </w:rPr>
              <w:t xml:space="preserve">Dépôt sur </w:t>
            </w:r>
            <w:proofErr w:type="spellStart"/>
            <w:r w:rsidRPr="00575B2A">
              <w:rPr>
                <w:sz w:val="20"/>
                <w:szCs w:val="20"/>
              </w:rPr>
              <w:t>eGuichet</w:t>
            </w:r>
            <w:proofErr w:type="spellEnd"/>
            <w:r w:rsidRPr="00575B2A">
              <w:rPr>
                <w:sz w:val="20"/>
                <w:szCs w:val="20"/>
              </w:rPr>
              <w:t xml:space="preserve"> à destination de la tutelle avec les pièces justificatives dans les 15 jours du vote</w:t>
            </w:r>
            <w:r w:rsidR="00177A7B">
              <w:rPr>
                <w:sz w:val="20"/>
                <w:szCs w:val="20"/>
              </w:rPr>
              <w:t>.</w:t>
            </w:r>
          </w:p>
        </w:tc>
      </w:tr>
      <w:tr w:rsidR="004A2669" w:rsidRPr="00D10D05" w14:paraId="68719B73" w14:textId="77777777" w:rsidTr="007D03B3">
        <w:trPr>
          <w:trHeight w:val="98"/>
          <w:jc w:val="center"/>
        </w:trPr>
        <w:tc>
          <w:tcPr>
            <w:tcW w:w="10136" w:type="dxa"/>
            <w:gridSpan w:val="4"/>
            <w:shd w:val="pct12" w:color="auto" w:fill="auto"/>
            <w:vAlign w:val="center"/>
          </w:tcPr>
          <w:p w14:paraId="5F480195" w14:textId="77777777" w:rsidR="004A2669" w:rsidRPr="00575B2A" w:rsidRDefault="004A2669" w:rsidP="00575B2A">
            <w:pPr>
              <w:jc w:val="center"/>
              <w:rPr>
                <w:sz w:val="20"/>
                <w:szCs w:val="20"/>
              </w:rPr>
            </w:pPr>
            <w:r w:rsidRPr="00575B2A">
              <w:rPr>
                <w:b/>
                <w:sz w:val="20"/>
                <w:szCs w:val="20"/>
              </w:rPr>
              <w:t>Compte</w:t>
            </w:r>
          </w:p>
        </w:tc>
      </w:tr>
      <w:tr w:rsidR="004A2669" w:rsidRPr="00D10D05" w14:paraId="38803C72" w14:textId="77777777" w:rsidTr="007D03B3">
        <w:trPr>
          <w:trHeight w:val="301"/>
          <w:jc w:val="center"/>
        </w:trPr>
        <w:tc>
          <w:tcPr>
            <w:tcW w:w="2535" w:type="dxa"/>
            <w:vAlign w:val="center"/>
          </w:tcPr>
          <w:p w14:paraId="69658150" w14:textId="21059A54" w:rsidR="004A2669" w:rsidRPr="00575B2A" w:rsidRDefault="004A2669" w:rsidP="004A2669">
            <w:pPr>
              <w:jc w:val="both"/>
              <w:rPr>
                <w:b/>
                <w:sz w:val="20"/>
                <w:szCs w:val="20"/>
              </w:rPr>
            </w:pPr>
            <w:r w:rsidRPr="00575B2A">
              <w:rPr>
                <w:b/>
                <w:sz w:val="20"/>
                <w:szCs w:val="20"/>
              </w:rPr>
              <w:t>Compte provisoire</w:t>
            </w:r>
            <w:r w:rsidR="00611B22" w:rsidRPr="00493337">
              <w:rPr>
                <w:b/>
                <w:sz w:val="20"/>
                <w:szCs w:val="20"/>
              </w:rPr>
              <w:t>*</w:t>
            </w:r>
          </w:p>
        </w:tc>
        <w:tc>
          <w:tcPr>
            <w:tcW w:w="2838" w:type="dxa"/>
            <w:vAlign w:val="center"/>
          </w:tcPr>
          <w:p w14:paraId="761EC189" w14:textId="37FDEE03" w:rsidR="004A2669" w:rsidRPr="00575B2A" w:rsidRDefault="004A2669" w:rsidP="004A2669">
            <w:pPr>
              <w:jc w:val="both"/>
              <w:rPr>
                <w:sz w:val="20"/>
                <w:szCs w:val="20"/>
              </w:rPr>
            </w:pPr>
            <w:r w:rsidRPr="00575B2A">
              <w:rPr>
                <w:sz w:val="20"/>
                <w:szCs w:val="20"/>
              </w:rPr>
              <w:t xml:space="preserve">Arrêté par le </w:t>
            </w:r>
            <w:r w:rsidR="00386116">
              <w:rPr>
                <w:sz w:val="20"/>
                <w:szCs w:val="20"/>
              </w:rPr>
              <w:t>C</w:t>
            </w:r>
            <w:r w:rsidRPr="00575B2A">
              <w:rPr>
                <w:sz w:val="20"/>
                <w:szCs w:val="20"/>
              </w:rPr>
              <w:t>ollège communal le 14 février – transmis le 15 février</w:t>
            </w:r>
            <w:r w:rsidR="00177A7B">
              <w:rPr>
                <w:sz w:val="20"/>
                <w:szCs w:val="20"/>
              </w:rPr>
              <w:t>.</w:t>
            </w:r>
          </w:p>
        </w:tc>
        <w:tc>
          <w:tcPr>
            <w:tcW w:w="2193" w:type="dxa"/>
            <w:vAlign w:val="center"/>
          </w:tcPr>
          <w:p w14:paraId="14F39F0E" w14:textId="77777777" w:rsidR="004A2669" w:rsidRPr="00575B2A" w:rsidRDefault="004A2669" w:rsidP="004A2669">
            <w:pPr>
              <w:jc w:val="both"/>
              <w:rPr>
                <w:sz w:val="20"/>
                <w:szCs w:val="20"/>
              </w:rPr>
            </w:pPr>
            <w:r w:rsidRPr="00575B2A">
              <w:rPr>
                <w:sz w:val="20"/>
                <w:szCs w:val="20"/>
              </w:rPr>
              <w:t>Fichier CP</w:t>
            </w:r>
          </w:p>
          <w:p w14:paraId="6129A058" w14:textId="77777777" w:rsidR="004A2669" w:rsidRPr="00575B2A" w:rsidRDefault="004A2669" w:rsidP="004A2669">
            <w:pPr>
              <w:jc w:val="both"/>
              <w:rPr>
                <w:sz w:val="20"/>
                <w:szCs w:val="20"/>
              </w:rPr>
            </w:pPr>
            <w:proofErr w:type="gramStart"/>
            <w:r w:rsidRPr="00575B2A">
              <w:rPr>
                <w:sz w:val="20"/>
                <w:szCs w:val="20"/>
              </w:rPr>
              <w:t>généré</w:t>
            </w:r>
            <w:proofErr w:type="gramEnd"/>
            <w:r w:rsidRPr="00575B2A">
              <w:rPr>
                <w:sz w:val="20"/>
                <w:szCs w:val="20"/>
              </w:rPr>
              <w:t xml:space="preserve"> par </w:t>
            </w:r>
            <w:proofErr w:type="spellStart"/>
            <w:r w:rsidRPr="00575B2A">
              <w:rPr>
                <w:sz w:val="20"/>
                <w:szCs w:val="20"/>
              </w:rPr>
              <w:t>eComptes</w:t>
            </w:r>
            <w:proofErr w:type="spellEnd"/>
          </w:p>
        </w:tc>
        <w:tc>
          <w:tcPr>
            <w:tcW w:w="2568" w:type="dxa"/>
            <w:vAlign w:val="center"/>
          </w:tcPr>
          <w:p w14:paraId="14F93C05" w14:textId="6FA6AF9B" w:rsidR="004A2669" w:rsidRPr="00575B2A" w:rsidRDefault="004A2669" w:rsidP="004A2669">
            <w:pPr>
              <w:jc w:val="both"/>
              <w:rPr>
                <w:sz w:val="20"/>
                <w:szCs w:val="20"/>
              </w:rPr>
            </w:pPr>
            <w:r w:rsidRPr="00575B2A">
              <w:rPr>
                <w:sz w:val="20"/>
                <w:szCs w:val="20"/>
              </w:rPr>
              <w:t xml:space="preserve">Envoi automatique vers </w:t>
            </w:r>
            <w:proofErr w:type="spellStart"/>
            <w:r w:rsidRPr="00575B2A">
              <w:rPr>
                <w:sz w:val="20"/>
                <w:szCs w:val="20"/>
              </w:rPr>
              <w:t>eComptes</w:t>
            </w:r>
            <w:proofErr w:type="spellEnd"/>
            <w:r w:rsidRPr="00575B2A">
              <w:rPr>
                <w:sz w:val="20"/>
                <w:szCs w:val="20"/>
              </w:rPr>
              <w:t xml:space="preserve"> dès la génération du fichier dans </w:t>
            </w:r>
            <w:proofErr w:type="spellStart"/>
            <w:r w:rsidRPr="00575B2A">
              <w:rPr>
                <w:sz w:val="20"/>
                <w:szCs w:val="20"/>
              </w:rPr>
              <w:t>eCompte</w:t>
            </w:r>
            <w:r w:rsidR="009E6A76">
              <w:rPr>
                <w:sz w:val="20"/>
                <w:szCs w:val="20"/>
              </w:rPr>
              <w:t>s</w:t>
            </w:r>
            <w:proofErr w:type="spellEnd"/>
            <w:r w:rsidR="00177A7B">
              <w:rPr>
                <w:sz w:val="20"/>
                <w:szCs w:val="20"/>
              </w:rPr>
              <w:t>.</w:t>
            </w:r>
          </w:p>
        </w:tc>
      </w:tr>
      <w:tr w:rsidR="004A2669" w:rsidRPr="00D10D05" w14:paraId="44A8A0B3" w14:textId="77777777" w:rsidTr="007D03B3">
        <w:trPr>
          <w:trHeight w:val="393"/>
          <w:jc w:val="center"/>
        </w:trPr>
        <w:tc>
          <w:tcPr>
            <w:tcW w:w="2535" w:type="dxa"/>
            <w:vMerge w:val="restart"/>
            <w:vAlign w:val="center"/>
          </w:tcPr>
          <w:p w14:paraId="2A9BB6D5" w14:textId="77777777" w:rsidR="004A2669" w:rsidRPr="00575B2A" w:rsidRDefault="004A2669" w:rsidP="004A2669">
            <w:pPr>
              <w:jc w:val="both"/>
              <w:rPr>
                <w:b/>
                <w:sz w:val="20"/>
                <w:szCs w:val="20"/>
              </w:rPr>
            </w:pPr>
            <w:r w:rsidRPr="00575B2A">
              <w:rPr>
                <w:b/>
                <w:sz w:val="20"/>
                <w:szCs w:val="20"/>
              </w:rPr>
              <w:t>Compte définitif</w:t>
            </w:r>
          </w:p>
        </w:tc>
        <w:tc>
          <w:tcPr>
            <w:tcW w:w="2838" w:type="dxa"/>
            <w:vMerge w:val="restart"/>
            <w:vAlign w:val="center"/>
          </w:tcPr>
          <w:p w14:paraId="32C1E5EB" w14:textId="23A0BE23" w:rsidR="004A2669" w:rsidRPr="00575B2A" w:rsidRDefault="004A2669" w:rsidP="004A2669">
            <w:pPr>
              <w:jc w:val="both"/>
              <w:rPr>
                <w:sz w:val="20"/>
                <w:szCs w:val="20"/>
              </w:rPr>
            </w:pPr>
            <w:r w:rsidRPr="00575B2A">
              <w:rPr>
                <w:sz w:val="20"/>
                <w:szCs w:val="20"/>
              </w:rPr>
              <w:t xml:space="preserve">Voté par le </w:t>
            </w:r>
            <w:r w:rsidR="00386116">
              <w:rPr>
                <w:sz w:val="20"/>
                <w:szCs w:val="20"/>
              </w:rPr>
              <w:t>C</w:t>
            </w:r>
            <w:r w:rsidRPr="00575B2A">
              <w:rPr>
                <w:sz w:val="20"/>
                <w:szCs w:val="20"/>
              </w:rPr>
              <w:t>onseil communal le 1</w:t>
            </w:r>
            <w:r w:rsidRPr="00575B2A">
              <w:rPr>
                <w:sz w:val="20"/>
                <w:szCs w:val="20"/>
                <w:vertAlign w:val="superscript"/>
              </w:rPr>
              <w:t>er</w:t>
            </w:r>
            <w:r w:rsidRPr="00575B2A">
              <w:rPr>
                <w:sz w:val="20"/>
                <w:szCs w:val="20"/>
              </w:rPr>
              <w:t xml:space="preserve"> juin au plus tard – transmis dans les 15 jours</w:t>
            </w:r>
            <w:r w:rsidR="00177A7B">
              <w:rPr>
                <w:sz w:val="20"/>
                <w:szCs w:val="20"/>
              </w:rPr>
              <w:t>.</w:t>
            </w:r>
          </w:p>
        </w:tc>
        <w:tc>
          <w:tcPr>
            <w:tcW w:w="2193" w:type="dxa"/>
            <w:vMerge w:val="restart"/>
            <w:vAlign w:val="center"/>
          </w:tcPr>
          <w:p w14:paraId="539E285C" w14:textId="77777777" w:rsidR="004A2669" w:rsidRPr="00575B2A" w:rsidRDefault="004A2669" w:rsidP="001E1353">
            <w:pPr>
              <w:numPr>
                <w:ilvl w:val="0"/>
                <w:numId w:val="15"/>
              </w:numPr>
              <w:jc w:val="both"/>
              <w:rPr>
                <w:sz w:val="20"/>
                <w:szCs w:val="20"/>
              </w:rPr>
            </w:pPr>
            <w:r w:rsidRPr="00575B2A">
              <w:rPr>
                <w:sz w:val="20"/>
                <w:szCs w:val="20"/>
              </w:rPr>
              <w:t xml:space="preserve">Fichier SIC généré par </w:t>
            </w:r>
            <w:proofErr w:type="spellStart"/>
            <w:r w:rsidRPr="00575B2A">
              <w:rPr>
                <w:sz w:val="20"/>
                <w:szCs w:val="20"/>
              </w:rPr>
              <w:t>eComptes</w:t>
            </w:r>
            <w:proofErr w:type="spellEnd"/>
            <w:r w:rsidR="00177A7B">
              <w:rPr>
                <w:sz w:val="20"/>
                <w:szCs w:val="20"/>
              </w:rPr>
              <w:t>.</w:t>
            </w:r>
          </w:p>
          <w:p w14:paraId="757F2FE7" w14:textId="68AAFE68" w:rsidR="004A2669" w:rsidRPr="00575B2A" w:rsidRDefault="004A2669" w:rsidP="001E1353">
            <w:pPr>
              <w:numPr>
                <w:ilvl w:val="0"/>
                <w:numId w:val="15"/>
              </w:numPr>
              <w:jc w:val="both"/>
              <w:rPr>
                <w:sz w:val="20"/>
                <w:szCs w:val="20"/>
              </w:rPr>
            </w:pPr>
            <w:r w:rsidRPr="00575B2A">
              <w:rPr>
                <w:sz w:val="20"/>
                <w:szCs w:val="20"/>
              </w:rPr>
              <w:t xml:space="preserve">Version </w:t>
            </w:r>
            <w:r w:rsidR="009E6A76">
              <w:rPr>
                <w:sz w:val="20"/>
                <w:szCs w:val="20"/>
              </w:rPr>
              <w:t>W</w:t>
            </w:r>
            <w:r w:rsidR="009E6A76" w:rsidRPr="00575B2A">
              <w:rPr>
                <w:sz w:val="20"/>
                <w:szCs w:val="20"/>
              </w:rPr>
              <w:t xml:space="preserve">ord </w:t>
            </w:r>
            <w:r w:rsidRPr="00575B2A">
              <w:rPr>
                <w:sz w:val="20"/>
                <w:szCs w:val="20"/>
              </w:rPr>
              <w:t>conforme au fichier SIC</w:t>
            </w:r>
            <w:r w:rsidR="00177A7B">
              <w:rPr>
                <w:sz w:val="20"/>
                <w:szCs w:val="20"/>
              </w:rPr>
              <w:t>.</w:t>
            </w:r>
          </w:p>
        </w:tc>
        <w:tc>
          <w:tcPr>
            <w:tcW w:w="2568" w:type="dxa"/>
            <w:vAlign w:val="center"/>
          </w:tcPr>
          <w:p w14:paraId="2B5DB2FF" w14:textId="1FB0ED46" w:rsidR="004A2669" w:rsidRPr="00575B2A" w:rsidRDefault="004A2669" w:rsidP="004A2669">
            <w:pPr>
              <w:jc w:val="both"/>
              <w:rPr>
                <w:sz w:val="20"/>
                <w:szCs w:val="20"/>
              </w:rPr>
            </w:pPr>
            <w:r w:rsidRPr="00575B2A">
              <w:rPr>
                <w:sz w:val="20"/>
                <w:szCs w:val="20"/>
              </w:rPr>
              <w:t xml:space="preserve">Envoi automatique vers </w:t>
            </w:r>
            <w:proofErr w:type="spellStart"/>
            <w:r w:rsidRPr="00575B2A">
              <w:rPr>
                <w:sz w:val="20"/>
                <w:szCs w:val="20"/>
              </w:rPr>
              <w:t>eComptes</w:t>
            </w:r>
            <w:proofErr w:type="spellEnd"/>
            <w:r w:rsidRPr="00575B2A">
              <w:rPr>
                <w:sz w:val="20"/>
                <w:szCs w:val="20"/>
              </w:rPr>
              <w:t xml:space="preserve"> dès la génération en cochant « Envoi</w:t>
            </w:r>
            <w:r w:rsidR="009E6A76">
              <w:rPr>
                <w:sz w:val="20"/>
                <w:szCs w:val="20"/>
              </w:rPr>
              <w:t xml:space="preserve"> </w:t>
            </w:r>
            <w:r w:rsidR="004D0FC9" w:rsidRPr="00493337">
              <w:rPr>
                <w:sz w:val="20"/>
                <w:szCs w:val="20"/>
              </w:rPr>
              <w:t xml:space="preserve">au SPW Intérieur Action </w:t>
            </w:r>
            <w:proofErr w:type="gramStart"/>
            <w:r w:rsidR="004D0FC9" w:rsidRPr="00493337">
              <w:rPr>
                <w:sz w:val="20"/>
                <w:szCs w:val="20"/>
              </w:rPr>
              <w:t>sociale</w:t>
            </w:r>
            <w:r w:rsidRPr="00575B2A">
              <w:rPr>
                <w:sz w:val="20"/>
                <w:szCs w:val="20"/>
              </w:rPr>
              <w:t>»</w:t>
            </w:r>
            <w:proofErr w:type="gramEnd"/>
            <w:r w:rsidR="00177A7B">
              <w:rPr>
                <w:sz w:val="20"/>
                <w:szCs w:val="20"/>
              </w:rPr>
              <w:t>.</w:t>
            </w:r>
          </w:p>
        </w:tc>
      </w:tr>
      <w:tr w:rsidR="004A2669" w:rsidRPr="00D10D05" w14:paraId="46044836" w14:textId="77777777" w:rsidTr="007D03B3">
        <w:trPr>
          <w:trHeight w:val="405"/>
          <w:jc w:val="center"/>
        </w:trPr>
        <w:tc>
          <w:tcPr>
            <w:tcW w:w="2535" w:type="dxa"/>
            <w:vMerge/>
            <w:tcBorders>
              <w:bottom w:val="single" w:sz="4" w:space="0" w:color="auto"/>
            </w:tcBorders>
            <w:vAlign w:val="center"/>
          </w:tcPr>
          <w:p w14:paraId="1429D87C" w14:textId="77777777" w:rsidR="004A2669" w:rsidRPr="00575B2A" w:rsidRDefault="004A2669" w:rsidP="004A2669">
            <w:pPr>
              <w:jc w:val="both"/>
              <w:rPr>
                <w:sz w:val="20"/>
                <w:szCs w:val="20"/>
              </w:rPr>
            </w:pPr>
          </w:p>
        </w:tc>
        <w:tc>
          <w:tcPr>
            <w:tcW w:w="2838" w:type="dxa"/>
            <w:vMerge/>
            <w:tcBorders>
              <w:bottom w:val="single" w:sz="4" w:space="0" w:color="auto"/>
            </w:tcBorders>
            <w:vAlign w:val="center"/>
          </w:tcPr>
          <w:p w14:paraId="2462BE47" w14:textId="77777777" w:rsidR="004A2669" w:rsidRPr="00575B2A" w:rsidRDefault="004A2669" w:rsidP="004A2669">
            <w:pPr>
              <w:jc w:val="both"/>
              <w:rPr>
                <w:sz w:val="20"/>
                <w:szCs w:val="20"/>
              </w:rPr>
            </w:pPr>
          </w:p>
        </w:tc>
        <w:tc>
          <w:tcPr>
            <w:tcW w:w="2193" w:type="dxa"/>
            <w:vMerge/>
            <w:tcBorders>
              <w:bottom w:val="single" w:sz="4" w:space="0" w:color="auto"/>
            </w:tcBorders>
            <w:vAlign w:val="center"/>
          </w:tcPr>
          <w:p w14:paraId="7B2A6A3A" w14:textId="77777777" w:rsidR="004A2669" w:rsidRPr="00575B2A" w:rsidRDefault="004A2669" w:rsidP="001E1353">
            <w:pPr>
              <w:numPr>
                <w:ilvl w:val="0"/>
                <w:numId w:val="15"/>
              </w:numPr>
              <w:jc w:val="both"/>
              <w:rPr>
                <w:sz w:val="20"/>
                <w:szCs w:val="20"/>
              </w:rPr>
            </w:pPr>
          </w:p>
        </w:tc>
        <w:tc>
          <w:tcPr>
            <w:tcW w:w="2568" w:type="dxa"/>
            <w:tcBorders>
              <w:bottom w:val="single" w:sz="4" w:space="0" w:color="auto"/>
            </w:tcBorders>
            <w:vAlign w:val="center"/>
          </w:tcPr>
          <w:p w14:paraId="253A3B5E" w14:textId="77777777" w:rsidR="004A2669" w:rsidRPr="00575B2A" w:rsidRDefault="004A2669" w:rsidP="004A2669">
            <w:pPr>
              <w:jc w:val="both"/>
              <w:rPr>
                <w:sz w:val="20"/>
                <w:szCs w:val="20"/>
              </w:rPr>
            </w:pPr>
            <w:r w:rsidRPr="00575B2A">
              <w:rPr>
                <w:sz w:val="20"/>
                <w:szCs w:val="20"/>
              </w:rPr>
              <w:t xml:space="preserve">Dépôt sur </w:t>
            </w:r>
            <w:proofErr w:type="spellStart"/>
            <w:r w:rsidRPr="00575B2A">
              <w:rPr>
                <w:sz w:val="20"/>
                <w:szCs w:val="20"/>
              </w:rPr>
              <w:t>eGuichet</w:t>
            </w:r>
            <w:proofErr w:type="spellEnd"/>
            <w:r w:rsidRPr="00575B2A">
              <w:rPr>
                <w:sz w:val="20"/>
                <w:szCs w:val="20"/>
              </w:rPr>
              <w:t xml:space="preserve"> à destination de la tutelle avec les pièces justificatives dans les 15 jours du vote</w:t>
            </w:r>
            <w:r w:rsidR="00177A7B">
              <w:rPr>
                <w:sz w:val="20"/>
                <w:szCs w:val="20"/>
              </w:rPr>
              <w:t>.</w:t>
            </w:r>
          </w:p>
        </w:tc>
      </w:tr>
      <w:tr w:rsidR="004A2669" w:rsidRPr="00D10D05" w14:paraId="65892BC1" w14:textId="77777777" w:rsidTr="007D03B3">
        <w:trPr>
          <w:trHeight w:val="98"/>
          <w:jc w:val="center"/>
        </w:trPr>
        <w:tc>
          <w:tcPr>
            <w:tcW w:w="10136" w:type="dxa"/>
            <w:gridSpan w:val="4"/>
            <w:shd w:val="pct12" w:color="auto" w:fill="auto"/>
            <w:vAlign w:val="center"/>
          </w:tcPr>
          <w:p w14:paraId="2D5308E6" w14:textId="77777777" w:rsidR="004A2669" w:rsidRPr="00575B2A" w:rsidRDefault="004A2669" w:rsidP="00575B2A">
            <w:pPr>
              <w:jc w:val="center"/>
              <w:rPr>
                <w:sz w:val="20"/>
                <w:szCs w:val="20"/>
              </w:rPr>
            </w:pPr>
            <w:r w:rsidRPr="00575B2A">
              <w:rPr>
                <w:b/>
                <w:sz w:val="20"/>
                <w:szCs w:val="20"/>
              </w:rPr>
              <w:t>Modification budgétaire</w:t>
            </w:r>
          </w:p>
        </w:tc>
      </w:tr>
      <w:tr w:rsidR="004A2669" w:rsidRPr="00D10D05" w14:paraId="3E06F478" w14:textId="77777777" w:rsidTr="007D03B3">
        <w:trPr>
          <w:trHeight w:val="498"/>
          <w:jc w:val="center"/>
        </w:trPr>
        <w:tc>
          <w:tcPr>
            <w:tcW w:w="2535" w:type="dxa"/>
            <w:vMerge w:val="restart"/>
            <w:vAlign w:val="center"/>
          </w:tcPr>
          <w:p w14:paraId="5A6080E6" w14:textId="77777777" w:rsidR="004A2669" w:rsidRPr="00575B2A" w:rsidRDefault="004A2669" w:rsidP="004A2669">
            <w:pPr>
              <w:jc w:val="both"/>
              <w:rPr>
                <w:sz w:val="20"/>
                <w:szCs w:val="20"/>
              </w:rPr>
            </w:pPr>
          </w:p>
        </w:tc>
        <w:tc>
          <w:tcPr>
            <w:tcW w:w="2838" w:type="dxa"/>
            <w:vMerge w:val="restart"/>
            <w:vAlign w:val="center"/>
          </w:tcPr>
          <w:p w14:paraId="433DE613" w14:textId="618B5D63" w:rsidR="004A2669" w:rsidRPr="00575B2A" w:rsidRDefault="004A2669" w:rsidP="004A2669">
            <w:pPr>
              <w:jc w:val="both"/>
              <w:rPr>
                <w:sz w:val="20"/>
                <w:szCs w:val="20"/>
              </w:rPr>
            </w:pPr>
            <w:r w:rsidRPr="00575B2A">
              <w:rPr>
                <w:sz w:val="20"/>
                <w:szCs w:val="20"/>
              </w:rPr>
              <w:t xml:space="preserve">Votée par le </w:t>
            </w:r>
            <w:r w:rsidR="00386116">
              <w:rPr>
                <w:sz w:val="20"/>
                <w:szCs w:val="20"/>
              </w:rPr>
              <w:t>C</w:t>
            </w:r>
            <w:r w:rsidRPr="00575B2A">
              <w:rPr>
                <w:sz w:val="20"/>
                <w:szCs w:val="20"/>
              </w:rPr>
              <w:t>onseil communal – transmise dans les 15 jours</w:t>
            </w:r>
            <w:r w:rsidR="00177A7B">
              <w:rPr>
                <w:sz w:val="20"/>
                <w:szCs w:val="20"/>
              </w:rPr>
              <w:t>.</w:t>
            </w:r>
          </w:p>
          <w:p w14:paraId="38B03DAC" w14:textId="77777777" w:rsidR="004A2669" w:rsidRPr="00575B2A" w:rsidRDefault="004A2669" w:rsidP="004A2669">
            <w:pPr>
              <w:jc w:val="both"/>
              <w:rPr>
                <w:sz w:val="20"/>
                <w:szCs w:val="20"/>
              </w:rPr>
            </w:pPr>
          </w:p>
          <w:p w14:paraId="5C3AAFFF" w14:textId="77777777" w:rsidR="004A2669" w:rsidRPr="00575B2A" w:rsidRDefault="004A2669" w:rsidP="004A2669">
            <w:pPr>
              <w:jc w:val="both"/>
              <w:rPr>
                <w:sz w:val="20"/>
                <w:szCs w:val="20"/>
              </w:rPr>
            </w:pPr>
            <w:r w:rsidRPr="00575B2A">
              <w:rPr>
                <w:sz w:val="20"/>
                <w:szCs w:val="20"/>
              </w:rPr>
              <w:t>Avant le 15 novembre (sauf MB strictement indispensable au bon fonctionnement de la commune et dont il n’a pas été possible de tenir compte dans le budget avant cette date)</w:t>
            </w:r>
            <w:r w:rsidR="00177A7B">
              <w:rPr>
                <w:sz w:val="20"/>
                <w:szCs w:val="20"/>
              </w:rPr>
              <w:t>.</w:t>
            </w:r>
          </w:p>
        </w:tc>
        <w:tc>
          <w:tcPr>
            <w:tcW w:w="2193" w:type="dxa"/>
            <w:vMerge w:val="restart"/>
            <w:vAlign w:val="center"/>
          </w:tcPr>
          <w:p w14:paraId="527EB289" w14:textId="77777777" w:rsidR="004A2669" w:rsidRPr="00575B2A" w:rsidRDefault="004A2669" w:rsidP="001E1353">
            <w:pPr>
              <w:numPr>
                <w:ilvl w:val="0"/>
                <w:numId w:val="15"/>
              </w:numPr>
              <w:jc w:val="both"/>
              <w:rPr>
                <w:sz w:val="20"/>
                <w:szCs w:val="20"/>
              </w:rPr>
            </w:pPr>
            <w:r w:rsidRPr="00575B2A">
              <w:rPr>
                <w:sz w:val="20"/>
                <w:szCs w:val="20"/>
              </w:rPr>
              <w:t xml:space="preserve">Fichier SIC généré par </w:t>
            </w:r>
            <w:proofErr w:type="spellStart"/>
            <w:r w:rsidRPr="00575B2A">
              <w:rPr>
                <w:sz w:val="20"/>
                <w:szCs w:val="20"/>
              </w:rPr>
              <w:t>eComptes</w:t>
            </w:r>
            <w:proofErr w:type="spellEnd"/>
            <w:r w:rsidR="00177A7B">
              <w:rPr>
                <w:sz w:val="20"/>
                <w:szCs w:val="20"/>
              </w:rPr>
              <w:t>.</w:t>
            </w:r>
          </w:p>
          <w:p w14:paraId="619416FF" w14:textId="3A8A9055" w:rsidR="004A2669" w:rsidRPr="00575B2A" w:rsidRDefault="004A2669" w:rsidP="001E1353">
            <w:pPr>
              <w:numPr>
                <w:ilvl w:val="0"/>
                <w:numId w:val="15"/>
              </w:numPr>
              <w:jc w:val="both"/>
              <w:rPr>
                <w:sz w:val="20"/>
                <w:szCs w:val="20"/>
              </w:rPr>
            </w:pPr>
            <w:r w:rsidRPr="00575B2A">
              <w:rPr>
                <w:sz w:val="20"/>
                <w:szCs w:val="20"/>
              </w:rPr>
              <w:t xml:space="preserve">Version </w:t>
            </w:r>
            <w:r w:rsidR="009E6A76">
              <w:rPr>
                <w:sz w:val="20"/>
                <w:szCs w:val="20"/>
              </w:rPr>
              <w:t>W</w:t>
            </w:r>
            <w:r w:rsidR="009E6A76" w:rsidRPr="00575B2A">
              <w:rPr>
                <w:sz w:val="20"/>
                <w:szCs w:val="20"/>
              </w:rPr>
              <w:t xml:space="preserve">ord </w:t>
            </w:r>
            <w:r w:rsidRPr="00575B2A">
              <w:rPr>
                <w:sz w:val="20"/>
                <w:szCs w:val="20"/>
              </w:rPr>
              <w:t>conforme au fichier SIC</w:t>
            </w:r>
            <w:r w:rsidR="00177A7B">
              <w:rPr>
                <w:sz w:val="20"/>
                <w:szCs w:val="20"/>
              </w:rPr>
              <w:t>.</w:t>
            </w:r>
          </w:p>
        </w:tc>
        <w:tc>
          <w:tcPr>
            <w:tcW w:w="2568" w:type="dxa"/>
            <w:vAlign w:val="center"/>
          </w:tcPr>
          <w:p w14:paraId="09431DB1" w14:textId="6EA6E75D" w:rsidR="004A2669" w:rsidRDefault="004A2669" w:rsidP="004A2669">
            <w:pPr>
              <w:jc w:val="both"/>
              <w:rPr>
                <w:sz w:val="20"/>
                <w:szCs w:val="20"/>
              </w:rPr>
            </w:pPr>
            <w:r w:rsidRPr="00575B2A">
              <w:rPr>
                <w:sz w:val="20"/>
                <w:szCs w:val="20"/>
              </w:rPr>
              <w:t xml:space="preserve">Envoi automatique vers </w:t>
            </w:r>
            <w:proofErr w:type="spellStart"/>
            <w:r w:rsidRPr="00575B2A">
              <w:rPr>
                <w:sz w:val="20"/>
                <w:szCs w:val="20"/>
              </w:rPr>
              <w:t>eComptes</w:t>
            </w:r>
            <w:proofErr w:type="spellEnd"/>
            <w:r w:rsidRPr="00575B2A">
              <w:rPr>
                <w:sz w:val="20"/>
                <w:szCs w:val="20"/>
              </w:rPr>
              <w:t xml:space="preserve"> dès la génération en cochant « Envoi</w:t>
            </w:r>
            <w:r w:rsidR="004D0FC9" w:rsidRPr="00493337">
              <w:rPr>
                <w:sz w:val="20"/>
                <w:szCs w:val="20"/>
              </w:rPr>
              <w:t xml:space="preserve"> au SPW Intérieur Action sociale</w:t>
            </w:r>
            <w:r w:rsidR="004D0FC9">
              <w:rPr>
                <w:sz w:val="20"/>
                <w:szCs w:val="20"/>
              </w:rPr>
              <w:t xml:space="preserve"> </w:t>
            </w:r>
            <w:r w:rsidRPr="00575B2A">
              <w:rPr>
                <w:sz w:val="20"/>
                <w:szCs w:val="20"/>
              </w:rPr>
              <w:t>»</w:t>
            </w:r>
            <w:r w:rsidR="00177A7B">
              <w:rPr>
                <w:sz w:val="20"/>
                <w:szCs w:val="20"/>
              </w:rPr>
              <w:t>.</w:t>
            </w:r>
          </w:p>
          <w:p w14:paraId="6ED6B5BD" w14:textId="77777777" w:rsidR="00177A7B" w:rsidRPr="00575B2A" w:rsidRDefault="00177A7B" w:rsidP="004A2669">
            <w:pPr>
              <w:jc w:val="both"/>
              <w:rPr>
                <w:sz w:val="20"/>
                <w:szCs w:val="20"/>
              </w:rPr>
            </w:pPr>
          </w:p>
        </w:tc>
      </w:tr>
      <w:tr w:rsidR="004A2669" w:rsidRPr="00D10D05" w14:paraId="1A5622CE" w14:textId="77777777" w:rsidTr="007D03B3">
        <w:trPr>
          <w:trHeight w:val="1065"/>
          <w:jc w:val="center"/>
        </w:trPr>
        <w:tc>
          <w:tcPr>
            <w:tcW w:w="2535" w:type="dxa"/>
            <w:vMerge/>
            <w:vAlign w:val="center"/>
          </w:tcPr>
          <w:p w14:paraId="2BDD6D25" w14:textId="77777777" w:rsidR="004A2669" w:rsidRPr="00575B2A" w:rsidRDefault="004A2669" w:rsidP="004A2669">
            <w:pPr>
              <w:jc w:val="both"/>
              <w:rPr>
                <w:sz w:val="20"/>
                <w:szCs w:val="20"/>
              </w:rPr>
            </w:pPr>
          </w:p>
        </w:tc>
        <w:tc>
          <w:tcPr>
            <w:tcW w:w="2838" w:type="dxa"/>
            <w:vMerge/>
            <w:vAlign w:val="center"/>
          </w:tcPr>
          <w:p w14:paraId="68B0FE34" w14:textId="77777777" w:rsidR="004A2669" w:rsidRPr="00575B2A" w:rsidRDefault="004A2669" w:rsidP="004A2669">
            <w:pPr>
              <w:jc w:val="both"/>
              <w:rPr>
                <w:sz w:val="20"/>
                <w:szCs w:val="20"/>
              </w:rPr>
            </w:pPr>
          </w:p>
        </w:tc>
        <w:tc>
          <w:tcPr>
            <w:tcW w:w="2193" w:type="dxa"/>
            <w:vMerge/>
            <w:vAlign w:val="center"/>
          </w:tcPr>
          <w:p w14:paraId="691501F5" w14:textId="77777777" w:rsidR="004A2669" w:rsidRPr="00575B2A" w:rsidRDefault="004A2669" w:rsidP="001E1353">
            <w:pPr>
              <w:numPr>
                <w:ilvl w:val="0"/>
                <w:numId w:val="15"/>
              </w:numPr>
              <w:jc w:val="both"/>
              <w:rPr>
                <w:sz w:val="20"/>
                <w:szCs w:val="20"/>
              </w:rPr>
            </w:pPr>
          </w:p>
        </w:tc>
        <w:tc>
          <w:tcPr>
            <w:tcW w:w="2568" w:type="dxa"/>
            <w:vAlign w:val="center"/>
          </w:tcPr>
          <w:p w14:paraId="65F8F183" w14:textId="77777777" w:rsidR="004A2669" w:rsidRPr="00575B2A" w:rsidRDefault="004A2669" w:rsidP="004A2669">
            <w:pPr>
              <w:jc w:val="both"/>
              <w:rPr>
                <w:sz w:val="20"/>
                <w:szCs w:val="20"/>
              </w:rPr>
            </w:pPr>
            <w:r w:rsidRPr="00575B2A">
              <w:rPr>
                <w:sz w:val="20"/>
                <w:szCs w:val="20"/>
              </w:rPr>
              <w:t xml:space="preserve">Dépôt sur </w:t>
            </w:r>
            <w:proofErr w:type="spellStart"/>
            <w:r w:rsidRPr="00575B2A">
              <w:rPr>
                <w:sz w:val="20"/>
                <w:szCs w:val="20"/>
              </w:rPr>
              <w:t>eGuichet</w:t>
            </w:r>
            <w:proofErr w:type="spellEnd"/>
            <w:r w:rsidRPr="00575B2A">
              <w:rPr>
                <w:sz w:val="20"/>
                <w:szCs w:val="20"/>
              </w:rPr>
              <w:t xml:space="preserve"> à destination de la tutelle avec les pièces justificatives dans les 15 jours du vote</w:t>
            </w:r>
            <w:r w:rsidR="00177A7B">
              <w:rPr>
                <w:sz w:val="20"/>
                <w:szCs w:val="20"/>
              </w:rPr>
              <w:t>.</w:t>
            </w:r>
          </w:p>
        </w:tc>
      </w:tr>
    </w:tbl>
    <w:p w14:paraId="7582081B" w14:textId="6EFE5547" w:rsidR="004A2669" w:rsidRDefault="004A2669" w:rsidP="004A2669">
      <w:pPr>
        <w:jc w:val="both"/>
      </w:pPr>
    </w:p>
    <w:p w14:paraId="2E1A754D" w14:textId="7D79B67B" w:rsidR="00611B22" w:rsidRPr="008D7EB7" w:rsidRDefault="00611B22" w:rsidP="004A2669">
      <w:pPr>
        <w:jc w:val="both"/>
        <w:rPr>
          <w:sz w:val="20"/>
          <w:szCs w:val="20"/>
        </w:rPr>
      </w:pPr>
      <w:r w:rsidRPr="008D7EB7">
        <w:rPr>
          <w:sz w:val="20"/>
          <w:szCs w:val="20"/>
        </w:rPr>
        <w:t>*=</w:t>
      </w:r>
      <w:r w:rsidR="004D0FC9" w:rsidRPr="008D7EB7">
        <w:rPr>
          <w:sz w:val="20"/>
          <w:szCs w:val="20"/>
        </w:rPr>
        <w:t>non soumis à tutelle, les budgets provisoires et comptes provisoires servent uniquement à l’Institut des Comptes Nationaux à des fins statistiques.</w:t>
      </w:r>
    </w:p>
    <w:p w14:paraId="0D251D2F" w14:textId="77777777" w:rsidR="004D0FC9" w:rsidRPr="001E1353" w:rsidRDefault="004D0FC9" w:rsidP="004A2669">
      <w:pPr>
        <w:jc w:val="both"/>
      </w:pPr>
    </w:p>
    <w:p w14:paraId="5D8D6F48" w14:textId="35D4F4EA" w:rsidR="005E7402" w:rsidRDefault="004A2669" w:rsidP="004A2669">
      <w:pPr>
        <w:jc w:val="both"/>
      </w:pPr>
      <w:r w:rsidRPr="001E1353">
        <w:t xml:space="preserve">Je vous rappelle vos obligations en matière de dialogue social et de transmission des documents budgétaires aux organisations syndicales représentatives </w:t>
      </w:r>
      <w:r w:rsidR="00032F0B">
        <w:t>(</w:t>
      </w:r>
      <w:r w:rsidRPr="001E1353">
        <w:t>article L1122-23, § 2 du CDLD</w:t>
      </w:r>
      <w:r w:rsidR="00032F0B">
        <w:t>).</w:t>
      </w:r>
    </w:p>
    <w:p w14:paraId="03B3D7C7" w14:textId="1406DAB1" w:rsidR="00644D97" w:rsidRPr="00256E9F" w:rsidRDefault="00644D97" w:rsidP="008E576F">
      <w:pPr>
        <w:jc w:val="both"/>
        <w:rPr>
          <w:b/>
          <w:bCs/>
          <w:i/>
          <w:iCs/>
          <w:sz w:val="22"/>
          <w:szCs w:val="22"/>
          <w:lang w:val="fr-BE"/>
        </w:rPr>
      </w:pPr>
      <w:r w:rsidRPr="00256E9F">
        <w:rPr>
          <w:b/>
          <w:bCs/>
          <w:i/>
          <w:iCs/>
          <w:sz w:val="22"/>
          <w:szCs w:val="22"/>
          <w:lang w:val="fr-BE"/>
        </w:rPr>
        <w:lastRenderedPageBreak/>
        <w:t xml:space="preserve">Art. L1122-23. </w:t>
      </w:r>
    </w:p>
    <w:p w14:paraId="7BD8ECAD" w14:textId="77777777" w:rsidR="00493337" w:rsidRPr="00256E9F" w:rsidRDefault="00493337" w:rsidP="008D7EB7">
      <w:pPr>
        <w:ind w:left="284"/>
        <w:jc w:val="both"/>
        <w:rPr>
          <w:i/>
          <w:iCs/>
          <w:sz w:val="10"/>
          <w:szCs w:val="10"/>
          <w:lang w:val="fr-BE"/>
        </w:rPr>
      </w:pPr>
    </w:p>
    <w:p w14:paraId="2569966F" w14:textId="5101539F" w:rsidR="00644D97" w:rsidRPr="00256E9F" w:rsidRDefault="00644D97">
      <w:pPr>
        <w:ind w:left="284"/>
        <w:jc w:val="both"/>
        <w:rPr>
          <w:i/>
          <w:iCs/>
          <w:sz w:val="22"/>
          <w:szCs w:val="22"/>
          <w:lang w:val="fr-BE"/>
        </w:rPr>
      </w:pPr>
      <w:r w:rsidRPr="00256E9F">
        <w:rPr>
          <w:i/>
          <w:iCs/>
          <w:sz w:val="22"/>
          <w:szCs w:val="22"/>
          <w:lang w:val="fr-BE"/>
        </w:rPr>
        <w:t>§2.</w:t>
      </w:r>
      <w:r w:rsidR="009E6A76" w:rsidRPr="00256E9F">
        <w:rPr>
          <w:i/>
          <w:iCs/>
          <w:sz w:val="22"/>
          <w:szCs w:val="22"/>
          <w:lang w:val="fr-BE"/>
        </w:rPr>
        <w:t xml:space="preserve"> </w:t>
      </w:r>
      <w:r w:rsidRPr="00256E9F">
        <w:rPr>
          <w:i/>
          <w:iCs/>
          <w:sz w:val="22"/>
          <w:szCs w:val="22"/>
          <w:lang w:val="fr-BE"/>
        </w:rPr>
        <w:t>Simultanément à leur envoi à l'autorité de tutelle, le collège communal communique aux organisations syndicales représentatives les documents suivants</w:t>
      </w:r>
      <w:r w:rsidR="00493337" w:rsidRPr="00256E9F">
        <w:rPr>
          <w:i/>
          <w:iCs/>
          <w:sz w:val="22"/>
          <w:szCs w:val="22"/>
          <w:lang w:val="fr-BE"/>
        </w:rPr>
        <w:t xml:space="preserve"> </w:t>
      </w:r>
      <w:r w:rsidRPr="00256E9F">
        <w:rPr>
          <w:i/>
          <w:iCs/>
          <w:sz w:val="22"/>
          <w:szCs w:val="22"/>
          <w:lang w:val="fr-BE"/>
        </w:rPr>
        <w:t xml:space="preserve">: </w:t>
      </w:r>
    </w:p>
    <w:p w14:paraId="78DFE8F1" w14:textId="77777777" w:rsidR="00493337" w:rsidRPr="00256E9F" w:rsidRDefault="00493337" w:rsidP="008D7EB7">
      <w:pPr>
        <w:ind w:left="284"/>
        <w:jc w:val="both"/>
        <w:rPr>
          <w:i/>
          <w:iCs/>
          <w:sz w:val="10"/>
          <w:szCs w:val="10"/>
          <w:lang w:val="fr-BE"/>
        </w:rPr>
      </w:pPr>
    </w:p>
    <w:p w14:paraId="5EBCD495" w14:textId="1AC0008F" w:rsidR="00644D97" w:rsidRPr="00256E9F" w:rsidRDefault="00644D97" w:rsidP="008D7EB7">
      <w:pPr>
        <w:ind w:left="284"/>
        <w:jc w:val="both"/>
        <w:rPr>
          <w:i/>
          <w:iCs/>
          <w:sz w:val="22"/>
          <w:szCs w:val="22"/>
          <w:lang w:val="fr-BE"/>
        </w:rPr>
      </w:pPr>
      <w:r w:rsidRPr="00256E9F">
        <w:rPr>
          <w:i/>
          <w:iCs/>
          <w:sz w:val="22"/>
          <w:szCs w:val="22"/>
          <w:lang w:val="fr-BE"/>
        </w:rPr>
        <w:t>1) le budget et les modifications budgétaires adoptées par le conseil communal</w:t>
      </w:r>
      <w:r w:rsidR="00123206" w:rsidRPr="00256E9F">
        <w:rPr>
          <w:i/>
          <w:iCs/>
          <w:sz w:val="22"/>
          <w:szCs w:val="22"/>
          <w:lang w:val="fr-BE"/>
        </w:rPr>
        <w:t xml:space="preserve"> </w:t>
      </w:r>
      <w:r w:rsidRPr="00256E9F">
        <w:rPr>
          <w:i/>
          <w:iCs/>
          <w:sz w:val="22"/>
          <w:szCs w:val="22"/>
          <w:lang w:val="fr-BE"/>
        </w:rPr>
        <w:t xml:space="preserve">; </w:t>
      </w:r>
    </w:p>
    <w:p w14:paraId="0D3431C9" w14:textId="77777777" w:rsidR="00644D97" w:rsidRPr="00256E9F" w:rsidRDefault="00644D97" w:rsidP="008D7EB7">
      <w:pPr>
        <w:ind w:left="284"/>
        <w:jc w:val="both"/>
        <w:rPr>
          <w:i/>
          <w:iCs/>
          <w:sz w:val="22"/>
          <w:szCs w:val="22"/>
          <w:lang w:val="fr-BE"/>
        </w:rPr>
      </w:pPr>
      <w:r w:rsidRPr="00256E9F">
        <w:rPr>
          <w:i/>
          <w:iCs/>
          <w:sz w:val="22"/>
          <w:szCs w:val="22"/>
          <w:lang w:val="fr-BE"/>
        </w:rPr>
        <w:t xml:space="preserve">2) le compte adopté par le conseil communal. </w:t>
      </w:r>
    </w:p>
    <w:p w14:paraId="490D47CD" w14:textId="2E061E3B" w:rsidR="00644D97" w:rsidRPr="00256E9F" w:rsidRDefault="00644D97">
      <w:pPr>
        <w:ind w:left="284"/>
        <w:jc w:val="both"/>
        <w:rPr>
          <w:i/>
          <w:iCs/>
          <w:sz w:val="22"/>
          <w:szCs w:val="22"/>
          <w:lang w:val="fr-BE"/>
        </w:rPr>
      </w:pPr>
      <w:r w:rsidRPr="00256E9F">
        <w:rPr>
          <w:i/>
          <w:iCs/>
          <w:sz w:val="22"/>
          <w:szCs w:val="22"/>
          <w:lang w:val="fr-BE"/>
        </w:rPr>
        <w:t xml:space="preserve">Accompagnent le budget et le compte adoptés par le conseil communal, les informations sur la structure de l’emploi, son évolution et les prévisions d’emploi, le personnel occupé pendant tout ou partie de l’année de référence. </w:t>
      </w:r>
    </w:p>
    <w:p w14:paraId="3BC278DA" w14:textId="77777777" w:rsidR="00493337" w:rsidRPr="00256E9F" w:rsidRDefault="00493337" w:rsidP="008D7EB7">
      <w:pPr>
        <w:ind w:left="284"/>
        <w:jc w:val="both"/>
        <w:rPr>
          <w:i/>
          <w:iCs/>
          <w:sz w:val="10"/>
          <w:szCs w:val="10"/>
          <w:lang w:val="fr-BE"/>
        </w:rPr>
      </w:pPr>
    </w:p>
    <w:p w14:paraId="1D8861E2" w14:textId="6A8448F8" w:rsidR="00644D97" w:rsidRPr="00256E9F" w:rsidRDefault="00644D97">
      <w:pPr>
        <w:ind w:left="284"/>
        <w:jc w:val="both"/>
        <w:rPr>
          <w:i/>
          <w:iCs/>
          <w:sz w:val="22"/>
          <w:szCs w:val="22"/>
          <w:lang w:val="fr-BE"/>
        </w:rPr>
      </w:pPr>
      <w:r w:rsidRPr="00256E9F">
        <w:rPr>
          <w:i/>
          <w:iCs/>
          <w:sz w:val="22"/>
          <w:szCs w:val="22"/>
          <w:lang w:val="fr-BE"/>
        </w:rPr>
        <w:t xml:space="preserve">Les documents visés à l’alinéa </w:t>
      </w:r>
      <w:r w:rsidR="00394F8E" w:rsidRPr="00256E9F">
        <w:rPr>
          <w:i/>
          <w:iCs/>
          <w:sz w:val="22"/>
          <w:szCs w:val="22"/>
          <w:lang w:val="fr-BE"/>
        </w:rPr>
        <w:t>1</w:t>
      </w:r>
      <w:r w:rsidR="00394F8E" w:rsidRPr="00256E9F">
        <w:rPr>
          <w:i/>
          <w:iCs/>
          <w:sz w:val="22"/>
          <w:szCs w:val="22"/>
          <w:vertAlign w:val="superscript"/>
          <w:lang w:val="fr-BE"/>
        </w:rPr>
        <w:t>er</w:t>
      </w:r>
      <w:r w:rsidR="00394F8E" w:rsidRPr="00256E9F">
        <w:rPr>
          <w:i/>
          <w:iCs/>
          <w:sz w:val="22"/>
          <w:szCs w:val="22"/>
          <w:lang w:val="fr-BE"/>
        </w:rPr>
        <w:t xml:space="preserve"> </w:t>
      </w:r>
      <w:r w:rsidRPr="00256E9F">
        <w:rPr>
          <w:i/>
          <w:iCs/>
          <w:sz w:val="22"/>
          <w:szCs w:val="22"/>
          <w:lang w:val="fr-BE"/>
        </w:rPr>
        <w:t xml:space="preserve">peuvent être communiqués par la voie électronique. </w:t>
      </w:r>
    </w:p>
    <w:p w14:paraId="1FE6362B" w14:textId="77777777" w:rsidR="00493337" w:rsidRPr="00256E9F" w:rsidRDefault="00493337" w:rsidP="008D7EB7">
      <w:pPr>
        <w:ind w:left="284"/>
        <w:jc w:val="both"/>
        <w:rPr>
          <w:i/>
          <w:iCs/>
          <w:sz w:val="10"/>
          <w:szCs w:val="10"/>
          <w:lang w:val="fr-BE"/>
        </w:rPr>
      </w:pPr>
    </w:p>
    <w:p w14:paraId="34099D33" w14:textId="6FF03D3D" w:rsidR="004A2669" w:rsidRPr="00256E9F" w:rsidRDefault="00644D97" w:rsidP="008D7EB7">
      <w:pPr>
        <w:ind w:left="284"/>
        <w:jc w:val="both"/>
        <w:rPr>
          <w:i/>
          <w:iCs/>
          <w:sz w:val="22"/>
          <w:szCs w:val="22"/>
        </w:rPr>
      </w:pPr>
      <w:r w:rsidRPr="00256E9F">
        <w:rPr>
          <w:i/>
          <w:iCs/>
          <w:sz w:val="22"/>
          <w:szCs w:val="22"/>
          <w:lang w:val="fr-BE"/>
        </w:rPr>
        <w:t>À la demande des organisations syndicales représentatives introduite dans les cinq jours de la communication des documents visés au présent paragraphe, le collège communal invite sans délai ces dernières à</w:t>
      </w:r>
      <w:r w:rsidRPr="00256E9F">
        <w:rPr>
          <w:rFonts w:eastAsiaTheme="minorHAnsi" w:cs="Calibri"/>
          <w:i/>
          <w:iCs/>
          <w:color w:val="000000"/>
          <w:sz w:val="22"/>
          <w:szCs w:val="22"/>
          <w:lang w:val="fr-BE" w:eastAsia="en-US"/>
        </w:rPr>
        <w:t xml:space="preserve"> </w:t>
      </w:r>
      <w:r w:rsidRPr="00256E9F">
        <w:rPr>
          <w:i/>
          <w:iCs/>
          <w:sz w:val="22"/>
          <w:szCs w:val="22"/>
          <w:lang w:val="fr-BE"/>
        </w:rPr>
        <w:t>une séance d’information spécifique au cours de laquelle lesdits documents sont présentés et expliqués.</w:t>
      </w:r>
    </w:p>
    <w:p w14:paraId="7604BB85" w14:textId="15F303E3" w:rsidR="00644D97" w:rsidRPr="007D03B3" w:rsidRDefault="00644D97" w:rsidP="004A2669">
      <w:pPr>
        <w:jc w:val="both"/>
        <w:rPr>
          <w:sz w:val="10"/>
          <w:szCs w:val="10"/>
        </w:rPr>
      </w:pPr>
    </w:p>
    <w:p w14:paraId="58871044" w14:textId="2FDE2EF7" w:rsidR="004509F8" w:rsidRPr="004509F8" w:rsidRDefault="005E7402" w:rsidP="00256E9F">
      <w:pPr>
        <w:jc w:val="both"/>
        <w:rPr>
          <w:lang w:val="fr-BE"/>
        </w:rPr>
      </w:pPr>
      <w:r>
        <w:t xml:space="preserve">Je vous rappelle aussi qu’en ce qui concerne les régies ordinaires, le budget doit être voté </w:t>
      </w:r>
      <w:r w:rsidRPr="008E576F">
        <w:t xml:space="preserve">dans la première quinzaine du mois de septembre </w:t>
      </w:r>
      <w:r>
        <w:t>(article 11 de l’arrêté du Régent du 18 juin 1946)</w:t>
      </w:r>
      <w:r w:rsidRPr="008E576F">
        <w:t>.</w:t>
      </w:r>
      <w:r>
        <w:t xml:space="preserve"> Le budget et les modifications budgétaires doivent être transmis </w:t>
      </w:r>
      <w:r w:rsidR="004509F8">
        <w:t xml:space="preserve">à l’autorité de Tutelle </w:t>
      </w:r>
      <w:r>
        <w:t xml:space="preserve">dans les </w:t>
      </w:r>
      <w:r w:rsidR="004509F8">
        <w:t>15 jours de leur adoption (article L3132-1 du CDLD).</w:t>
      </w:r>
    </w:p>
    <w:p w14:paraId="54562975" w14:textId="77777777" w:rsidR="005E7402" w:rsidRPr="007D03B3" w:rsidRDefault="005E7402" w:rsidP="004A2669">
      <w:pPr>
        <w:jc w:val="both"/>
        <w:rPr>
          <w:sz w:val="10"/>
          <w:szCs w:val="10"/>
        </w:rPr>
      </w:pPr>
    </w:p>
    <w:p w14:paraId="6FE07442" w14:textId="0C0D0E0E" w:rsidR="004A2669" w:rsidRDefault="004A2669" w:rsidP="00DA327C">
      <w:pPr>
        <w:jc w:val="both"/>
      </w:pPr>
      <w:r w:rsidRPr="008D7EB7">
        <w:t>Par ailleurs, le budget doit être déposé à la maison communale où quiconque peut toujours en prendre connaissance sans déplacement</w:t>
      </w:r>
      <w:r w:rsidR="009E6A76" w:rsidRPr="00900C39">
        <w:rPr>
          <w:vertAlign w:val="superscript"/>
        </w:rPr>
        <w:footnoteReference w:id="1"/>
      </w:r>
      <w:r w:rsidRPr="008D7EB7">
        <w:t>. Cette possibilité est rappelée par voie d'affichage (dont la durée ne peut être inférieure à 10 jours) dans le mois qui suit l'adoption du budget.</w:t>
      </w:r>
    </w:p>
    <w:p w14:paraId="042C3613" w14:textId="77777777" w:rsidR="00DA327C" w:rsidRPr="007D03B3" w:rsidRDefault="00DA327C">
      <w:pPr>
        <w:jc w:val="both"/>
        <w:rPr>
          <w:sz w:val="10"/>
          <w:szCs w:val="10"/>
        </w:rPr>
      </w:pPr>
    </w:p>
    <w:p w14:paraId="0BE98764" w14:textId="4713AF37" w:rsidR="003F17A3" w:rsidRDefault="003F17A3" w:rsidP="00DA327C">
      <w:pPr>
        <w:jc w:val="both"/>
      </w:pPr>
      <w:r w:rsidRPr="008D7EB7">
        <w:t>L’</w:t>
      </w:r>
      <w:r w:rsidR="005B2457" w:rsidRPr="008D7EB7">
        <w:t xml:space="preserve">article L1313-1 </w:t>
      </w:r>
      <w:r w:rsidR="0011138A" w:rsidRPr="008D7EB7">
        <w:t xml:space="preserve">du CDLD </w:t>
      </w:r>
      <w:r w:rsidR="005B2457" w:rsidRPr="008D7EB7">
        <w:t>impose la publication sur le site internet communal d’u</w:t>
      </w:r>
      <w:r w:rsidRPr="008D7EB7">
        <w:t>ne synthèse des budgets et comptes</w:t>
      </w:r>
      <w:r w:rsidR="005B2457" w:rsidRPr="008D7EB7">
        <w:t xml:space="preserve"> dès leur</w:t>
      </w:r>
      <w:r w:rsidRPr="008D7EB7">
        <w:t xml:space="preserve"> approbation par l’autorité de Tutelle.</w:t>
      </w:r>
      <w:r w:rsidR="008B2DB9" w:rsidRPr="008D7EB7">
        <w:t xml:space="preserve"> Je vous renvoie à ce sujet à l’arrêté ministériel du 26 mars 2019</w:t>
      </w:r>
      <w:r w:rsidR="00493337" w:rsidRPr="00900C39">
        <w:rPr>
          <w:vertAlign w:val="superscript"/>
        </w:rPr>
        <w:footnoteReference w:id="2"/>
      </w:r>
      <w:r w:rsidR="008B2DB9" w:rsidRPr="00900C39">
        <w:rPr>
          <w:vertAlign w:val="superscript"/>
        </w:rPr>
        <w:t xml:space="preserve"> </w:t>
      </w:r>
      <w:r w:rsidR="008B2DB9" w:rsidRPr="008D7EB7">
        <w:t>relatif à la publication d’une synthèse des budgets et comptes.</w:t>
      </w:r>
      <w:r w:rsidR="001F508E" w:rsidRPr="008D7EB7">
        <w:t xml:space="preserve"> L’application </w:t>
      </w:r>
      <w:proofErr w:type="spellStart"/>
      <w:r w:rsidR="001F508E" w:rsidRPr="008D7EB7">
        <w:t>eComptes</w:t>
      </w:r>
      <w:proofErr w:type="spellEnd"/>
      <w:r w:rsidR="001F508E" w:rsidRPr="008D7EB7">
        <w:t xml:space="preserve"> permet de remplir cette obligation au moyen d’un rapport standardisé</w:t>
      </w:r>
      <w:r w:rsidR="00493337" w:rsidRPr="00900C39">
        <w:rPr>
          <w:vertAlign w:val="superscript"/>
        </w:rPr>
        <w:footnoteReference w:id="3"/>
      </w:r>
      <w:r w:rsidR="00493337" w:rsidRPr="00900C39">
        <w:rPr>
          <w:vertAlign w:val="superscript"/>
        </w:rPr>
        <w:t>.</w:t>
      </w:r>
    </w:p>
    <w:p w14:paraId="641915AD" w14:textId="77777777" w:rsidR="00DA327C" w:rsidRPr="007D03B3" w:rsidRDefault="00DA327C">
      <w:pPr>
        <w:jc w:val="both"/>
        <w:rPr>
          <w:sz w:val="10"/>
          <w:szCs w:val="10"/>
        </w:rPr>
      </w:pPr>
    </w:p>
    <w:p w14:paraId="3DD5BF3C" w14:textId="31345C0C" w:rsidR="009E6A76" w:rsidRDefault="0016204C" w:rsidP="008D7EB7">
      <w:pPr>
        <w:jc w:val="both"/>
        <w:rPr>
          <w:rFonts w:eastAsiaTheme="minorHAnsi"/>
          <w:lang w:eastAsia="en-US"/>
        </w:rPr>
      </w:pPr>
      <w:r w:rsidRPr="00665967">
        <w:t>Enfin, j</w:t>
      </w:r>
      <w:r w:rsidR="004A2669" w:rsidRPr="008D7EB7">
        <w:t>e tiens aussi à rappeler que la possibilité visant le vote séparé d'un article, groupe d'articles ou postes spécifiques</w:t>
      </w:r>
      <w:r w:rsidR="006B19CA" w:rsidRPr="008D7EB7">
        <w:t xml:space="preserve"> (article L1122-26 du CDLD)</w:t>
      </w:r>
      <w:r w:rsidR="004A2669" w:rsidRPr="008D7EB7">
        <w:t>, ne peut en aucun cas aboutir à une demande de vote séparé sur tous les articles du budget ou du compte, ce qui dénaturerait la faculté offerte par cet article.</w:t>
      </w:r>
    </w:p>
    <w:p w14:paraId="71F2BEFC" w14:textId="77777777" w:rsidR="004A2669" w:rsidRPr="001E1353" w:rsidRDefault="004A2669" w:rsidP="00AE6EFD">
      <w:pPr>
        <w:pStyle w:val="Sam2"/>
        <w:rPr>
          <w:lang w:val="fr-FR"/>
        </w:rPr>
      </w:pPr>
      <w:bookmarkStart w:id="221" w:name="_Toc40185174"/>
      <w:bookmarkStart w:id="222" w:name="_Toc40185908"/>
      <w:bookmarkStart w:id="223" w:name="_Toc517337304"/>
      <w:bookmarkStart w:id="224" w:name="_Toc517360099"/>
      <w:bookmarkStart w:id="225" w:name="_Toc512520136"/>
      <w:bookmarkStart w:id="226" w:name="_Toc512520267"/>
      <w:bookmarkStart w:id="227" w:name="_Toc512520399"/>
      <w:bookmarkStart w:id="228" w:name="_Toc512520530"/>
      <w:bookmarkStart w:id="229" w:name="_Toc512520661"/>
      <w:bookmarkStart w:id="230" w:name="_Toc512520792"/>
      <w:bookmarkStart w:id="231" w:name="_Toc512520923"/>
      <w:bookmarkStart w:id="232" w:name="_Toc512606719"/>
      <w:bookmarkStart w:id="233" w:name="_Toc512606863"/>
      <w:bookmarkStart w:id="234" w:name="_Toc512606998"/>
      <w:bookmarkStart w:id="235" w:name="_Toc515355796"/>
      <w:bookmarkStart w:id="236" w:name="_Toc515355933"/>
      <w:bookmarkStart w:id="237" w:name="_Toc515360343"/>
      <w:bookmarkStart w:id="238" w:name="_Toc515974939"/>
      <w:bookmarkStart w:id="239" w:name="_Toc515978447"/>
      <w:bookmarkStart w:id="240" w:name="_Toc516058831"/>
      <w:bookmarkStart w:id="241" w:name="_Toc516058973"/>
      <w:bookmarkStart w:id="242" w:name="_Toc516227697"/>
      <w:bookmarkStart w:id="243" w:name="_Toc516229510"/>
      <w:bookmarkStart w:id="244" w:name="_Toc516229805"/>
      <w:bookmarkStart w:id="245" w:name="_Toc516230100"/>
      <w:bookmarkStart w:id="246" w:name="_Toc516230395"/>
      <w:bookmarkStart w:id="247" w:name="_Toc516230689"/>
      <w:bookmarkStart w:id="248" w:name="_Toc516230983"/>
      <w:bookmarkStart w:id="249" w:name="_Toc516231278"/>
      <w:bookmarkStart w:id="250" w:name="_Toc516231574"/>
      <w:bookmarkStart w:id="251" w:name="_Toc516242667"/>
      <w:bookmarkStart w:id="252" w:name="_Toc516242970"/>
      <w:bookmarkStart w:id="253" w:name="_Toc516244903"/>
      <w:bookmarkStart w:id="254" w:name="_Toc516473475"/>
      <w:bookmarkStart w:id="255" w:name="_Toc516473785"/>
      <w:bookmarkStart w:id="256" w:name="_Toc516474095"/>
      <w:bookmarkStart w:id="257" w:name="_Toc516474403"/>
      <w:bookmarkStart w:id="258" w:name="_Toc516474734"/>
      <w:bookmarkStart w:id="259" w:name="_Toc516478763"/>
      <w:bookmarkStart w:id="260" w:name="_Toc516479226"/>
      <w:bookmarkStart w:id="261" w:name="_Toc516479543"/>
      <w:bookmarkStart w:id="262" w:name="_Toc516479866"/>
      <w:bookmarkStart w:id="263" w:name="_Toc516480181"/>
      <w:bookmarkStart w:id="264" w:name="_Toc516480495"/>
      <w:bookmarkStart w:id="265" w:name="_Toc516480809"/>
      <w:bookmarkStart w:id="266" w:name="_Toc516481123"/>
      <w:bookmarkStart w:id="267" w:name="_Toc516481437"/>
      <w:bookmarkStart w:id="268" w:name="_Toc516481751"/>
      <w:bookmarkStart w:id="269" w:name="_Toc516482065"/>
      <w:bookmarkStart w:id="270" w:name="_Toc516482379"/>
      <w:bookmarkStart w:id="271" w:name="_Toc516739501"/>
      <w:bookmarkStart w:id="272" w:name="_Toc516751414"/>
      <w:bookmarkStart w:id="273" w:name="_Toc7455755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1E1353">
        <w:rPr>
          <w:lang w:val="fr-FR"/>
        </w:rPr>
        <w:t>Règles budgétaires essentielles</w:t>
      </w:r>
      <w:bookmarkEnd w:id="273"/>
    </w:p>
    <w:p w14:paraId="0895C316" w14:textId="204A10C6" w:rsidR="004A2669" w:rsidRDefault="00394F8E" w:rsidP="00256E9F">
      <w:pPr>
        <w:pStyle w:val="Sam3"/>
      </w:pPr>
      <w:bookmarkStart w:id="274" w:name="_Toc74557551"/>
      <w:r w:rsidRPr="00394F8E">
        <w:t xml:space="preserve">II.2.1 </w:t>
      </w:r>
      <w:r w:rsidR="004A2669" w:rsidRPr="00394F8E">
        <w:t>Règles de fond et de forme</w:t>
      </w:r>
      <w:bookmarkEnd w:id="274"/>
      <w:r w:rsidR="004A2669" w:rsidRPr="00394F8E">
        <w:t xml:space="preserve"> </w:t>
      </w:r>
    </w:p>
    <w:p w14:paraId="547243DC" w14:textId="77777777" w:rsidR="006843B9" w:rsidRPr="00394F8E" w:rsidRDefault="006843B9" w:rsidP="00256E9F">
      <w:pPr>
        <w:pStyle w:val="Sam3"/>
      </w:pPr>
    </w:p>
    <w:p w14:paraId="7469C814" w14:textId="0E55320D" w:rsidR="00B71439" w:rsidRPr="00394F8E" w:rsidRDefault="00B71439">
      <w:pPr>
        <w:pStyle w:val="Sam4"/>
      </w:pPr>
      <w:bookmarkStart w:id="275" w:name="_Toc74557552"/>
      <w:r w:rsidRPr="00394F8E">
        <w:t>Equilibre budgétaire</w:t>
      </w:r>
      <w:bookmarkEnd w:id="275"/>
    </w:p>
    <w:p w14:paraId="095E64E6" w14:textId="77777777" w:rsidR="00493337" w:rsidRDefault="00493337" w:rsidP="004A2669">
      <w:pPr>
        <w:jc w:val="both"/>
      </w:pPr>
    </w:p>
    <w:p w14:paraId="192DA419" w14:textId="26BCEAFB" w:rsidR="004A2669" w:rsidRPr="00DA327C" w:rsidRDefault="004A2669">
      <w:pPr>
        <w:jc w:val="both"/>
      </w:pPr>
      <w:r w:rsidRPr="008D7EB7">
        <w:t>L'équilibre budgétaire, c'est-à-dire l'équilibre global</w:t>
      </w:r>
      <w:r w:rsidR="00B71439" w:rsidRPr="008D7EB7">
        <w:t xml:space="preserve"> </w:t>
      </w:r>
      <w:r w:rsidRPr="008D7EB7">
        <w:t>tant au service ordinaire qu'au service extraordinaire, constitue le premier principe essentiel de la gestion financière</w:t>
      </w:r>
      <w:r w:rsidR="00DA327C" w:rsidRPr="00900C39">
        <w:rPr>
          <w:vertAlign w:val="superscript"/>
        </w:rPr>
        <w:footnoteReference w:id="4"/>
      </w:r>
      <w:r w:rsidRPr="008D7EB7">
        <w:t>.</w:t>
      </w:r>
    </w:p>
    <w:p w14:paraId="377DC4C1" w14:textId="700F1049" w:rsidR="004A2669" w:rsidRDefault="004A2669" w:rsidP="00DA327C">
      <w:pPr>
        <w:jc w:val="both"/>
      </w:pPr>
      <w:r w:rsidRPr="008D7EB7">
        <w:lastRenderedPageBreak/>
        <w:t>En outre,</w:t>
      </w:r>
      <w:r w:rsidR="00DA327C" w:rsidRPr="008D7EB7">
        <w:t xml:space="preserve"> le principe est que</w:t>
      </w:r>
      <w:r w:rsidR="00B71439" w:rsidRPr="008D7EB7">
        <w:t xml:space="preserve"> </w:t>
      </w:r>
      <w:r w:rsidRPr="008D7EB7">
        <w:t xml:space="preserve">les communes doivent atteindre l'équilibre à l'exercice propre du service ordinaire. </w:t>
      </w:r>
    </w:p>
    <w:p w14:paraId="0D581524" w14:textId="77777777" w:rsidR="00DA327C" w:rsidRPr="008D7EB7" w:rsidRDefault="00DA327C" w:rsidP="008D7EB7">
      <w:pPr>
        <w:jc w:val="both"/>
        <w:rPr>
          <w:b/>
        </w:rPr>
      </w:pPr>
    </w:p>
    <w:p w14:paraId="0C9AE9D7" w14:textId="5FE429CF" w:rsidR="00964935" w:rsidRPr="00123206" w:rsidRDefault="00964935" w:rsidP="004A2669">
      <w:pPr>
        <w:jc w:val="both"/>
      </w:pPr>
      <w:bookmarkStart w:id="276" w:name="_Hlk37078488"/>
    </w:p>
    <w:p w14:paraId="544E1477" w14:textId="77777777" w:rsidR="003C45DB" w:rsidRPr="00123206" w:rsidRDefault="008F7977" w:rsidP="00E063FD">
      <w:pPr>
        <w:pStyle w:val="Sam4"/>
      </w:pPr>
      <w:bookmarkStart w:id="277" w:name="_Toc40185178"/>
      <w:bookmarkStart w:id="278" w:name="_Toc40185912"/>
      <w:bookmarkStart w:id="279" w:name="_Toc40185179"/>
      <w:bookmarkStart w:id="280" w:name="_Toc40185913"/>
      <w:bookmarkStart w:id="281" w:name="_Toc40185180"/>
      <w:bookmarkStart w:id="282" w:name="_Toc40185914"/>
      <w:bookmarkStart w:id="283" w:name="_Toc40185181"/>
      <w:bookmarkStart w:id="284" w:name="_Toc40185915"/>
      <w:bookmarkStart w:id="285" w:name="_Toc74557553"/>
      <w:bookmarkEnd w:id="276"/>
      <w:bookmarkEnd w:id="277"/>
      <w:bookmarkEnd w:id="278"/>
      <w:bookmarkEnd w:id="279"/>
      <w:bookmarkEnd w:id="280"/>
      <w:bookmarkEnd w:id="281"/>
      <w:bookmarkEnd w:id="282"/>
      <w:bookmarkEnd w:id="283"/>
      <w:bookmarkEnd w:id="284"/>
      <w:r w:rsidRPr="00123206">
        <w:t>Plan de convergence</w:t>
      </w:r>
      <w:bookmarkEnd w:id="285"/>
      <w:r w:rsidR="003C45DB" w:rsidRPr="00123206">
        <w:t xml:space="preserve"> </w:t>
      </w:r>
    </w:p>
    <w:p w14:paraId="15D12907" w14:textId="77777777" w:rsidR="00493337" w:rsidRPr="00123206" w:rsidRDefault="00493337" w:rsidP="004A2669">
      <w:pPr>
        <w:jc w:val="both"/>
      </w:pPr>
    </w:p>
    <w:p w14:paraId="52740B0C" w14:textId="2CF102C2" w:rsidR="003C45DB" w:rsidRDefault="003C0E2C" w:rsidP="00DA327C">
      <w:pPr>
        <w:jc w:val="both"/>
      </w:pPr>
      <w:r>
        <w:t>L</w:t>
      </w:r>
      <w:r w:rsidR="004A2669" w:rsidRPr="008D7EB7">
        <w:t xml:space="preserve">es communes </w:t>
      </w:r>
      <w:r w:rsidR="00B71439" w:rsidRPr="008D7EB7">
        <w:t xml:space="preserve">ne présentant pas un </w:t>
      </w:r>
      <w:r w:rsidR="004A2669" w:rsidRPr="008D7EB7">
        <w:t xml:space="preserve">équilibre à l'exercice propre </w:t>
      </w:r>
      <w:r w:rsidR="00B71439" w:rsidRPr="008D7EB7">
        <w:t xml:space="preserve">du service ordinaire </w:t>
      </w:r>
      <w:r w:rsidR="001C658D" w:rsidRPr="008D7EB7">
        <w:t xml:space="preserve">au budget initial </w:t>
      </w:r>
      <w:r>
        <w:t xml:space="preserve">2023 </w:t>
      </w:r>
      <w:r w:rsidR="004A2669" w:rsidRPr="008D7EB7">
        <w:t xml:space="preserve">doivent présenter un </w:t>
      </w:r>
      <w:r w:rsidR="008F7977" w:rsidRPr="008D7EB7">
        <w:t>Plan de convergence</w:t>
      </w:r>
      <w:r w:rsidR="003C45DB" w:rsidRPr="008D7EB7">
        <w:t xml:space="preserve"> </w:t>
      </w:r>
      <w:r w:rsidR="004A2669" w:rsidRPr="008D7EB7">
        <w:t xml:space="preserve">à l'autorité de tutelle dans les trois mois à compter de mon arrêté précisant que la commune est soumise </w:t>
      </w:r>
      <w:r w:rsidR="003C45DB" w:rsidRPr="008D7EB7">
        <w:t xml:space="preserve">audit </w:t>
      </w:r>
      <w:r w:rsidR="008F7977" w:rsidRPr="008D7EB7">
        <w:t>plan</w:t>
      </w:r>
      <w:r w:rsidR="004A2669" w:rsidRPr="008D7EB7">
        <w:t>. Ce</w:t>
      </w:r>
      <w:r w:rsidR="003C45DB" w:rsidRPr="008D7EB7">
        <w:t xml:space="preserve">lui-ci </w:t>
      </w:r>
      <w:r w:rsidR="004A2669" w:rsidRPr="008D7EB7">
        <w:t xml:space="preserve">contiendra </w:t>
      </w:r>
      <w:r w:rsidR="00B71439" w:rsidRPr="008D7EB7">
        <w:t>d</w:t>
      </w:r>
      <w:r w:rsidR="004A2669" w:rsidRPr="008D7EB7">
        <w:t>es mesures de gestion</w:t>
      </w:r>
      <w:r w:rsidR="00DE6FB6" w:rsidRPr="008D7EB7">
        <w:t>, en pleine autonomie,</w:t>
      </w:r>
      <w:r w:rsidR="004A2669" w:rsidRPr="008D7EB7">
        <w:t xml:space="preserve"> et prévoira notamment la date de retour à l'équilibre à l'exercice propre au plus tard pour le budget </w:t>
      </w:r>
      <w:r w:rsidR="001026FA" w:rsidRPr="008D7EB7">
        <w:t>initial</w:t>
      </w:r>
      <w:r w:rsidR="00493337" w:rsidRPr="008D7EB7">
        <w:t xml:space="preserve"> </w:t>
      </w:r>
      <w:r w:rsidR="00CD0273">
        <w:t>N+3</w:t>
      </w:r>
      <w:r w:rsidR="004A2669" w:rsidRPr="008D7EB7">
        <w:t xml:space="preserve">. </w:t>
      </w:r>
    </w:p>
    <w:p w14:paraId="1425C87E" w14:textId="485D64CA" w:rsidR="00DA327C" w:rsidRDefault="00DA327C">
      <w:pPr>
        <w:jc w:val="both"/>
      </w:pPr>
    </w:p>
    <w:p w14:paraId="4F912909" w14:textId="77777777" w:rsidR="00976836" w:rsidRPr="00123206" w:rsidRDefault="00976836" w:rsidP="008D7EB7">
      <w:pPr>
        <w:jc w:val="both"/>
      </w:pPr>
    </w:p>
    <w:p w14:paraId="39C50D05" w14:textId="252FFC50" w:rsidR="00951CCC" w:rsidRDefault="004A2669" w:rsidP="00951CCC">
      <w:pPr>
        <w:jc w:val="both"/>
      </w:pPr>
      <w:r w:rsidRPr="008D7EB7">
        <w:t xml:space="preserve">La circulaire relative au </w:t>
      </w:r>
      <w:r w:rsidR="008F7977" w:rsidRPr="008D7EB7">
        <w:t>Plan de convergence</w:t>
      </w:r>
      <w:r w:rsidRPr="008D7EB7">
        <w:t xml:space="preserve"> </w:t>
      </w:r>
      <w:r w:rsidR="00CD0273">
        <w:t>précise les modalités y relatives</w:t>
      </w:r>
      <w:r w:rsidRPr="008D7EB7">
        <w:t>.</w:t>
      </w:r>
    </w:p>
    <w:p w14:paraId="57914BD6" w14:textId="77777777" w:rsidR="00B71439" w:rsidRPr="00E83D64" w:rsidRDefault="00B71439" w:rsidP="00E83D64">
      <w:pPr>
        <w:jc w:val="both"/>
        <w:rPr>
          <w:b/>
        </w:rPr>
      </w:pPr>
    </w:p>
    <w:p w14:paraId="7C173478" w14:textId="77777777" w:rsidR="00397D73" w:rsidRDefault="00E83D64" w:rsidP="00E063FD">
      <w:pPr>
        <w:pStyle w:val="Sam4"/>
      </w:pPr>
      <w:bookmarkStart w:id="286" w:name="_Toc74557554"/>
      <w:r>
        <w:t>Crédit budgétaire</w:t>
      </w:r>
      <w:bookmarkEnd w:id="286"/>
    </w:p>
    <w:p w14:paraId="602F749C" w14:textId="77777777" w:rsidR="00493337" w:rsidRDefault="00493337" w:rsidP="004A2669">
      <w:pPr>
        <w:jc w:val="both"/>
      </w:pPr>
      <w:bookmarkStart w:id="287" w:name="_Toc512520142"/>
      <w:bookmarkStart w:id="288" w:name="_Toc512520273"/>
      <w:bookmarkStart w:id="289" w:name="_Toc512520405"/>
      <w:bookmarkStart w:id="290" w:name="_Toc512520536"/>
      <w:bookmarkStart w:id="291" w:name="_Toc512520667"/>
      <w:bookmarkStart w:id="292" w:name="_Toc512520798"/>
      <w:bookmarkStart w:id="293" w:name="_Toc512520929"/>
      <w:bookmarkStart w:id="294" w:name="_Toc512606725"/>
      <w:bookmarkStart w:id="295" w:name="_Toc512520143"/>
      <w:bookmarkStart w:id="296" w:name="_Toc512520274"/>
      <w:bookmarkStart w:id="297" w:name="_Toc512520406"/>
      <w:bookmarkStart w:id="298" w:name="_Toc512520537"/>
      <w:bookmarkStart w:id="299" w:name="_Toc512520668"/>
      <w:bookmarkStart w:id="300" w:name="_Toc512520799"/>
      <w:bookmarkStart w:id="301" w:name="_Toc512520930"/>
      <w:bookmarkStart w:id="302" w:name="_Toc512606726"/>
      <w:bookmarkStart w:id="303" w:name="_Toc512520144"/>
      <w:bookmarkStart w:id="304" w:name="_Toc512520275"/>
      <w:bookmarkStart w:id="305" w:name="_Toc512520407"/>
      <w:bookmarkStart w:id="306" w:name="_Toc512520538"/>
      <w:bookmarkStart w:id="307" w:name="_Toc512520669"/>
      <w:bookmarkStart w:id="308" w:name="_Toc512520800"/>
      <w:bookmarkStart w:id="309" w:name="_Toc512520931"/>
      <w:bookmarkStart w:id="310" w:name="_Toc512606727"/>
      <w:bookmarkStart w:id="311" w:name="_Toc512520145"/>
      <w:bookmarkStart w:id="312" w:name="_Toc512520276"/>
      <w:bookmarkStart w:id="313" w:name="_Toc512520408"/>
      <w:bookmarkStart w:id="314" w:name="_Toc512520539"/>
      <w:bookmarkStart w:id="315" w:name="_Toc512520670"/>
      <w:bookmarkStart w:id="316" w:name="_Toc512520801"/>
      <w:bookmarkStart w:id="317" w:name="_Toc512520932"/>
      <w:bookmarkStart w:id="318" w:name="_Toc512606728"/>
      <w:bookmarkStart w:id="319" w:name="_Toc512520146"/>
      <w:bookmarkStart w:id="320" w:name="_Toc512520277"/>
      <w:bookmarkStart w:id="321" w:name="_Toc512520409"/>
      <w:bookmarkStart w:id="322" w:name="_Toc512520540"/>
      <w:bookmarkStart w:id="323" w:name="_Toc512520671"/>
      <w:bookmarkStart w:id="324" w:name="_Toc512520802"/>
      <w:bookmarkStart w:id="325" w:name="_Toc512520933"/>
      <w:bookmarkStart w:id="326" w:name="_Toc512606729"/>
      <w:bookmarkStart w:id="327" w:name="_Toc512520147"/>
      <w:bookmarkStart w:id="328" w:name="_Toc512520278"/>
      <w:bookmarkStart w:id="329" w:name="_Toc512520410"/>
      <w:bookmarkStart w:id="330" w:name="_Toc512520541"/>
      <w:bookmarkStart w:id="331" w:name="_Toc512520672"/>
      <w:bookmarkStart w:id="332" w:name="_Toc512520803"/>
      <w:bookmarkStart w:id="333" w:name="_Toc512520934"/>
      <w:bookmarkStart w:id="334" w:name="_Toc512606730"/>
      <w:bookmarkStart w:id="335" w:name="_Toc512520148"/>
      <w:bookmarkStart w:id="336" w:name="_Toc512520279"/>
      <w:bookmarkStart w:id="337" w:name="_Toc512520411"/>
      <w:bookmarkStart w:id="338" w:name="_Toc512520542"/>
      <w:bookmarkStart w:id="339" w:name="_Toc512520673"/>
      <w:bookmarkStart w:id="340" w:name="_Toc512520804"/>
      <w:bookmarkStart w:id="341" w:name="_Toc512520935"/>
      <w:bookmarkStart w:id="342" w:name="_Toc512606731"/>
      <w:bookmarkStart w:id="343" w:name="_Toc512520149"/>
      <w:bookmarkStart w:id="344" w:name="_Toc512520280"/>
      <w:bookmarkStart w:id="345" w:name="_Toc512520412"/>
      <w:bookmarkStart w:id="346" w:name="_Toc512520543"/>
      <w:bookmarkStart w:id="347" w:name="_Toc512520674"/>
      <w:bookmarkStart w:id="348" w:name="_Toc512520805"/>
      <w:bookmarkStart w:id="349" w:name="_Toc512520936"/>
      <w:bookmarkStart w:id="350" w:name="_Toc512606732"/>
      <w:bookmarkStart w:id="351" w:name="_Toc512520150"/>
      <w:bookmarkStart w:id="352" w:name="_Toc512520281"/>
      <w:bookmarkStart w:id="353" w:name="_Toc512520413"/>
      <w:bookmarkStart w:id="354" w:name="_Toc512520544"/>
      <w:bookmarkStart w:id="355" w:name="_Toc512520675"/>
      <w:bookmarkStart w:id="356" w:name="_Toc512520806"/>
      <w:bookmarkStart w:id="357" w:name="_Toc512520937"/>
      <w:bookmarkStart w:id="358" w:name="_Toc512606733"/>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144D6BB" w14:textId="0E835A64" w:rsidR="004A2669" w:rsidRPr="001E1353" w:rsidRDefault="004A2669" w:rsidP="004A2669">
      <w:pPr>
        <w:jc w:val="both"/>
      </w:pPr>
      <w:r w:rsidRPr="001E1353">
        <w:t xml:space="preserve">L'approbation d'un crédit budgétaire ne dégage pas les autorités communales de l'application des diverses législations et réglementations applicables à l'opération recouverte par ce crédit. Je songe notamment à l'application de la </w:t>
      </w:r>
      <w:r w:rsidRPr="00256E9F">
        <w:rPr>
          <w:b/>
          <w:bCs/>
        </w:rPr>
        <w:t>législation relative aux marchés publics</w:t>
      </w:r>
      <w:r w:rsidRPr="001E1353">
        <w:t xml:space="preserve"> : il est clair que la présence d'un article budgétaire de dépenses autorise la conclusion effective du marché mais n'exonère pas l'autorité compétente du respect de l'ensemble des étapes imposées par la réglementation.</w:t>
      </w:r>
    </w:p>
    <w:p w14:paraId="68EE9694" w14:textId="77777777" w:rsidR="004A2669" w:rsidRDefault="004A2669" w:rsidP="004A2669">
      <w:pPr>
        <w:jc w:val="both"/>
      </w:pPr>
    </w:p>
    <w:p w14:paraId="24139305" w14:textId="77777777" w:rsidR="00ED22CB" w:rsidRPr="001E1353" w:rsidRDefault="00ED22CB" w:rsidP="00E063FD">
      <w:pPr>
        <w:pStyle w:val="Sam4"/>
      </w:pPr>
      <w:bookmarkStart w:id="359" w:name="_Toc74557555"/>
      <w:proofErr w:type="gramStart"/>
      <w:r>
        <w:t>Classifications fonctionnelle</w:t>
      </w:r>
      <w:proofErr w:type="gramEnd"/>
      <w:r>
        <w:t xml:space="preserve"> et économique</w:t>
      </w:r>
      <w:bookmarkEnd w:id="359"/>
    </w:p>
    <w:p w14:paraId="28279B1A" w14:textId="77777777" w:rsidR="00493337" w:rsidRDefault="00493337" w:rsidP="004A2669">
      <w:pPr>
        <w:jc w:val="both"/>
      </w:pPr>
    </w:p>
    <w:p w14:paraId="1DFBE5D5" w14:textId="52253771" w:rsidR="004A2669" w:rsidRPr="001E1353" w:rsidRDefault="004A2669" w:rsidP="004A2669">
      <w:pPr>
        <w:jc w:val="both"/>
      </w:pPr>
      <w:r w:rsidRPr="001E1353">
        <w:t>La rigueur dans la forme impose notamment la stricte conformité aux classifications fonctionnelle et économique normalisées et à la classification normalisée des comptes généraux et particuliers</w:t>
      </w:r>
      <w:r w:rsidR="00493337">
        <w:rPr>
          <w:rStyle w:val="Appelnotedebasdep"/>
        </w:rPr>
        <w:footnoteReference w:id="5"/>
      </w:r>
      <w:r w:rsidRPr="001E1353">
        <w:t>. Les modèles de documents comptables</w:t>
      </w:r>
      <w:r w:rsidR="000461C0">
        <w:t>,</w:t>
      </w:r>
      <w:r w:rsidRPr="001E1353">
        <w:t xml:space="preserve"> définis par l'arrêté ministériel du 23 septembre 1991, sont de stricte application. Dans cette perspective, la règle de forme devient également une règle de fond.</w:t>
      </w:r>
    </w:p>
    <w:p w14:paraId="63ACED00" w14:textId="77777777" w:rsidR="004A2669" w:rsidRPr="001E1353" w:rsidRDefault="004A2669" w:rsidP="004A2669">
      <w:pPr>
        <w:jc w:val="both"/>
      </w:pPr>
    </w:p>
    <w:p w14:paraId="7C0D03EB" w14:textId="77777777" w:rsidR="00ED22CB" w:rsidRPr="00394F8E" w:rsidRDefault="00ED22CB">
      <w:pPr>
        <w:pStyle w:val="Sam4"/>
      </w:pPr>
      <w:bookmarkStart w:id="360" w:name="_Toc74557556"/>
      <w:r w:rsidRPr="00394F8E">
        <w:t>Rapport synthétisant le projet de budget</w:t>
      </w:r>
      <w:bookmarkEnd w:id="360"/>
    </w:p>
    <w:p w14:paraId="250FEF44" w14:textId="77777777" w:rsidR="00493337" w:rsidRDefault="00493337" w:rsidP="004A2669">
      <w:pPr>
        <w:jc w:val="both"/>
      </w:pPr>
    </w:p>
    <w:p w14:paraId="1A5C564B" w14:textId="589F570D" w:rsidR="009F666C" w:rsidRDefault="004A2669" w:rsidP="005E467C">
      <w:pPr>
        <w:jc w:val="both"/>
      </w:pPr>
      <w:r w:rsidRPr="008D7EB7">
        <w:t>Le budget doit obligatoirement comprendre l'ensemble des prévisions de recettes et de dépenses ainsi que les annexes et le rapport synthétisant le projet de budget et définissant la politique générale et financière de la commune</w:t>
      </w:r>
      <w:r w:rsidR="00394F8E" w:rsidRPr="00900C39">
        <w:rPr>
          <w:vertAlign w:val="superscript"/>
        </w:rPr>
        <w:footnoteReference w:id="6"/>
      </w:r>
      <w:r w:rsidRPr="00900C39">
        <w:rPr>
          <w:vertAlign w:val="superscript"/>
        </w:rPr>
        <w:t>.</w:t>
      </w:r>
      <w:r w:rsidRPr="008D7EB7">
        <w:t xml:space="preserve"> </w:t>
      </w:r>
      <w:r w:rsidR="003A0B7D" w:rsidRPr="008D7EB7">
        <w:t>Ce rapport ne peut se limiter à quelques données ou considérations trop générales mais doit constituer un document véritablement circonstancié qui permette une vision claire et transparente de la gestion communale.</w:t>
      </w:r>
    </w:p>
    <w:p w14:paraId="40C10B36" w14:textId="77777777" w:rsidR="005E467C" w:rsidRPr="005E467C" w:rsidRDefault="005E467C">
      <w:pPr>
        <w:jc w:val="both"/>
      </w:pPr>
    </w:p>
    <w:p w14:paraId="0B581FC6" w14:textId="576DFB53" w:rsidR="004A2669" w:rsidRPr="00B225DE" w:rsidRDefault="001C658D">
      <w:pPr>
        <w:jc w:val="both"/>
      </w:pPr>
      <w:r w:rsidRPr="008D7EB7">
        <w:t>C</w:t>
      </w:r>
      <w:r w:rsidR="004A2669" w:rsidRPr="008D7EB7">
        <w:t>e rapport comprendra un tableau exposant la situation nette de chaque fonction budgétaire</w:t>
      </w:r>
      <w:r w:rsidR="00902F4F">
        <w:t xml:space="preserve"> </w:t>
      </w:r>
      <w:r w:rsidR="00902F4F" w:rsidRPr="00B225DE">
        <w:t>ainsi qu’un tableau de ventilation des recettes et dépenses par groupe économique</w:t>
      </w:r>
      <w:r w:rsidR="004A2669" w:rsidRPr="00B225DE">
        <w:t>.</w:t>
      </w:r>
    </w:p>
    <w:p w14:paraId="314F879B" w14:textId="77777777" w:rsidR="00902F4F" w:rsidRPr="00B225DE" w:rsidRDefault="00902F4F">
      <w:pPr>
        <w:jc w:val="both"/>
      </w:pPr>
    </w:p>
    <w:p w14:paraId="05765406" w14:textId="3EA23726" w:rsidR="004B7CBF" w:rsidRDefault="00902F4F">
      <w:pPr>
        <w:jc w:val="both"/>
      </w:pPr>
      <w:r w:rsidRPr="00B225DE">
        <w:t xml:space="preserve">Un document de base sera </w:t>
      </w:r>
      <w:r w:rsidR="004B7CBF" w:rsidRPr="008D7EB7">
        <w:t xml:space="preserve">produit par le logiciel </w:t>
      </w:r>
      <w:proofErr w:type="spellStart"/>
      <w:r w:rsidR="004B7CBF" w:rsidRPr="008D7EB7">
        <w:t>eComptes</w:t>
      </w:r>
      <w:proofErr w:type="spellEnd"/>
      <w:r w:rsidR="004B7CBF" w:rsidRPr="008D7EB7">
        <w:t>.</w:t>
      </w:r>
    </w:p>
    <w:p w14:paraId="702A79AE" w14:textId="77777777" w:rsidR="006843B9" w:rsidRPr="005E467C" w:rsidRDefault="006843B9">
      <w:pPr>
        <w:jc w:val="both"/>
      </w:pPr>
    </w:p>
    <w:p w14:paraId="2856EDB2" w14:textId="74C18CC1" w:rsidR="00964935" w:rsidRPr="008D7EB7" w:rsidRDefault="00964935" w:rsidP="008D7EB7">
      <w:pPr>
        <w:rPr>
          <w:rFonts w:eastAsiaTheme="minorHAnsi" w:cs="Calibri"/>
          <w:color w:val="000000"/>
          <w:lang w:val="fr-BE" w:eastAsia="en-US"/>
        </w:rPr>
      </w:pPr>
    </w:p>
    <w:p w14:paraId="4EC7B523" w14:textId="7F2778EC" w:rsidR="009F666C" w:rsidRPr="00394F8E" w:rsidRDefault="003A0B7D">
      <w:pPr>
        <w:pStyle w:val="Sam4"/>
      </w:pPr>
      <w:bookmarkStart w:id="361" w:name="_Toc74557557"/>
      <w:r w:rsidRPr="00394F8E">
        <w:t>Commission article 12</w:t>
      </w:r>
      <w:bookmarkEnd w:id="361"/>
    </w:p>
    <w:p w14:paraId="6E1101F6" w14:textId="77777777" w:rsidR="003A0B7D" w:rsidRPr="001E1353" w:rsidRDefault="003A0B7D" w:rsidP="008D7EB7">
      <w:pPr>
        <w:pStyle w:val="Sam4"/>
        <w:numPr>
          <w:ilvl w:val="0"/>
          <w:numId w:val="0"/>
        </w:numPr>
        <w:ind w:left="1985"/>
      </w:pPr>
    </w:p>
    <w:p w14:paraId="63B797D0" w14:textId="4209F665" w:rsidR="0033182F" w:rsidRPr="0033182F" w:rsidRDefault="00D03FA3" w:rsidP="008D7EB7">
      <w:pPr>
        <w:jc w:val="both"/>
      </w:pPr>
      <w:r>
        <w:rPr>
          <w:rFonts w:eastAsiaTheme="minorHAnsi"/>
          <w:lang w:eastAsia="en-US"/>
        </w:rPr>
        <w:t>L</w:t>
      </w:r>
      <w:r w:rsidR="004A2669" w:rsidRPr="008D7EB7">
        <w:rPr>
          <w:rFonts w:eastAsiaTheme="minorHAnsi"/>
          <w:lang w:eastAsia="en-US"/>
        </w:rPr>
        <w:t xml:space="preserve">'avis de </w:t>
      </w:r>
      <w:r>
        <w:rPr>
          <w:rFonts w:eastAsiaTheme="minorHAnsi"/>
          <w:lang w:eastAsia="en-US"/>
        </w:rPr>
        <w:t xml:space="preserve">la </w:t>
      </w:r>
      <w:r w:rsidR="004A2669" w:rsidRPr="008D7EB7">
        <w:rPr>
          <w:rFonts w:eastAsiaTheme="minorHAnsi"/>
          <w:lang w:eastAsia="en-US"/>
        </w:rPr>
        <w:t xml:space="preserve">commission </w:t>
      </w:r>
      <w:r w:rsidRPr="008D7EB7">
        <w:rPr>
          <w:rFonts w:eastAsiaTheme="minorHAnsi"/>
          <w:lang w:eastAsia="en-US"/>
        </w:rPr>
        <w:t xml:space="preserve">visée à l’article 12 du RGCC </w:t>
      </w:r>
      <w:r w:rsidR="004A2669" w:rsidRPr="008D7EB7">
        <w:rPr>
          <w:rFonts w:eastAsiaTheme="minorHAnsi"/>
          <w:lang w:eastAsia="en-US"/>
        </w:rPr>
        <w:t>constitue une formalité essentielle, ledit rapport constituant quant à lui une annexe légale</w:t>
      </w:r>
      <w:r w:rsidR="00DA12E3" w:rsidRPr="008D7EB7">
        <w:rPr>
          <w:rFonts w:eastAsiaTheme="minorHAnsi"/>
          <w:lang w:eastAsia="en-US"/>
        </w:rPr>
        <w:t>,</w:t>
      </w:r>
      <w:r w:rsidR="004A2669" w:rsidRPr="008D7EB7">
        <w:rPr>
          <w:rFonts w:eastAsiaTheme="minorHAnsi"/>
          <w:lang w:eastAsia="en-US"/>
        </w:rPr>
        <w:t xml:space="preserve"> formellement obligatoire</w:t>
      </w:r>
      <w:r w:rsidR="00DA12E3" w:rsidRPr="008D7EB7">
        <w:rPr>
          <w:rFonts w:eastAsiaTheme="minorHAnsi"/>
          <w:lang w:eastAsia="en-US"/>
        </w:rPr>
        <w:t xml:space="preserve"> et</w:t>
      </w:r>
      <w:r w:rsidR="003A4DE9" w:rsidRPr="008D7EB7">
        <w:rPr>
          <w:rFonts w:eastAsiaTheme="minorHAnsi"/>
          <w:lang w:eastAsia="en-US"/>
        </w:rPr>
        <w:t xml:space="preserve"> devant répondre au prescrit légal de l’article 12 du RGCC</w:t>
      </w:r>
      <w:r w:rsidR="00DA12E3" w:rsidRPr="008D7EB7">
        <w:rPr>
          <w:rFonts w:eastAsiaTheme="minorHAnsi"/>
          <w:lang w:eastAsia="en-US"/>
        </w:rPr>
        <w:t xml:space="preserve"> (avis sur la légalité et les implications financières du projet de budget ou de modification budgétaire, avis de chacun des membres, etc.)</w:t>
      </w:r>
      <w:r w:rsidR="004A2669" w:rsidRPr="008D7EB7">
        <w:rPr>
          <w:rFonts w:eastAsiaTheme="minorHAnsi"/>
          <w:lang w:eastAsia="en-US"/>
        </w:rPr>
        <w:t xml:space="preserve">. </w:t>
      </w:r>
      <w:r w:rsidR="0033182F">
        <w:rPr>
          <w:rFonts w:eastAsiaTheme="minorHAnsi"/>
          <w:lang w:eastAsia="en-US"/>
        </w:rPr>
        <w:t>L</w:t>
      </w:r>
      <w:r w:rsidR="0033182F" w:rsidRPr="0072299A">
        <w:t>’avis de la commission accompagnant tout projet budgétaire conformément à l’article 12 du RGCC d</w:t>
      </w:r>
      <w:r w:rsidR="0033182F">
        <w:t>oit</w:t>
      </w:r>
      <w:r w:rsidR="0033182F" w:rsidRPr="0072299A">
        <w:t xml:space="preserve"> être </w:t>
      </w:r>
      <w:r w:rsidR="0033182F">
        <w:t>suffisamment</w:t>
      </w:r>
      <w:r w:rsidR="0033182F" w:rsidRPr="0072299A">
        <w:t xml:space="preserve"> étayé </w:t>
      </w:r>
      <w:r w:rsidR="00A846CB">
        <w:t xml:space="preserve">(notamment par l’inscription des remarques et avis individuels des signataires dudit document) </w:t>
      </w:r>
      <w:r w:rsidR="0033182F" w:rsidRPr="0072299A">
        <w:t>afin de faire bénéficier les conseillers communaux d’une information pertinente. </w:t>
      </w:r>
    </w:p>
    <w:p w14:paraId="5E7CE11F" w14:textId="04F91C19" w:rsidR="004A2669" w:rsidRDefault="004A2669" w:rsidP="008D7EB7">
      <w:pPr>
        <w:jc w:val="both"/>
        <w:rPr>
          <w:rFonts w:eastAsiaTheme="minorHAnsi"/>
          <w:lang w:eastAsia="en-US"/>
        </w:rPr>
      </w:pPr>
      <w:r w:rsidRPr="008D7EB7">
        <w:rPr>
          <w:rFonts w:eastAsiaTheme="minorHAnsi"/>
          <w:lang w:eastAsia="en-US"/>
        </w:rPr>
        <w:t xml:space="preserve">L'absence </w:t>
      </w:r>
      <w:r w:rsidR="009F666C" w:rsidRPr="008D7EB7">
        <w:rPr>
          <w:rFonts w:eastAsiaTheme="minorHAnsi"/>
          <w:lang w:eastAsia="en-US"/>
        </w:rPr>
        <w:t>de cet avis</w:t>
      </w:r>
      <w:r w:rsidRPr="008D7EB7">
        <w:rPr>
          <w:rFonts w:eastAsiaTheme="minorHAnsi"/>
          <w:lang w:eastAsia="en-US"/>
        </w:rPr>
        <w:t xml:space="preserve"> empêche le délai de tutelle de débuter et ne peut que conduire à la non-approbation du budget (ou de la modification budgétaire) concerné(e).</w:t>
      </w:r>
    </w:p>
    <w:p w14:paraId="698C0E5A" w14:textId="77777777" w:rsidR="00574D9B" w:rsidRPr="008D7EB7" w:rsidRDefault="00574D9B">
      <w:pPr>
        <w:jc w:val="both"/>
        <w:rPr>
          <w:rFonts w:eastAsiaTheme="minorHAnsi"/>
          <w:lang w:eastAsia="en-US"/>
        </w:rPr>
      </w:pPr>
    </w:p>
    <w:p w14:paraId="65B9CB3F" w14:textId="3D0F7A3F" w:rsidR="006A073F" w:rsidRDefault="006A073F" w:rsidP="008D7EB7">
      <w:pPr>
        <w:jc w:val="both"/>
        <w:rPr>
          <w:rFonts w:eastAsiaTheme="minorHAnsi"/>
          <w:lang w:eastAsia="en-US"/>
        </w:rPr>
      </w:pPr>
      <w:r w:rsidRPr="008D7EB7">
        <w:rPr>
          <w:rFonts w:eastAsiaTheme="minorHAnsi"/>
          <w:lang w:eastAsia="en-US"/>
        </w:rPr>
        <w:t xml:space="preserve">Le rapport doit être signé </w:t>
      </w:r>
      <w:r w:rsidR="00C84126" w:rsidRPr="008D7EB7">
        <w:rPr>
          <w:rFonts w:eastAsiaTheme="minorHAnsi"/>
          <w:lang w:eastAsia="en-US"/>
        </w:rPr>
        <w:t xml:space="preserve">(de manière manuscrite ou électronique) </w:t>
      </w:r>
      <w:r w:rsidRPr="008D7EB7">
        <w:rPr>
          <w:rFonts w:eastAsiaTheme="minorHAnsi"/>
          <w:lang w:eastAsia="en-US"/>
        </w:rPr>
        <w:t>par chacun des membres de la commission.</w:t>
      </w:r>
    </w:p>
    <w:p w14:paraId="15D19DC7" w14:textId="77777777" w:rsidR="00574D9B" w:rsidRPr="008D7EB7" w:rsidRDefault="00574D9B">
      <w:pPr>
        <w:jc w:val="both"/>
        <w:rPr>
          <w:rFonts w:eastAsiaTheme="minorHAnsi"/>
          <w:lang w:eastAsia="en-US"/>
        </w:rPr>
      </w:pPr>
    </w:p>
    <w:p w14:paraId="4B32FA53" w14:textId="4041C4F2" w:rsidR="004A2669" w:rsidRDefault="004A2669" w:rsidP="00574D9B">
      <w:pPr>
        <w:jc w:val="both"/>
        <w:rPr>
          <w:rFonts w:eastAsiaTheme="minorHAnsi"/>
          <w:lang w:eastAsia="en-US"/>
        </w:rPr>
      </w:pPr>
      <w:r w:rsidRPr="008D7EB7">
        <w:rPr>
          <w:rFonts w:eastAsiaTheme="minorHAnsi"/>
          <w:lang w:eastAsia="en-US"/>
        </w:rPr>
        <w:t xml:space="preserve">Pour rappel, l'article 12 du RGCC insiste sur la nécessité, dans un souci de gestion </w:t>
      </w:r>
      <w:r w:rsidR="00A81F05" w:rsidRPr="00123206">
        <w:rPr>
          <w:rFonts w:eastAsiaTheme="minorHAnsi"/>
          <w:lang w:eastAsia="en-US"/>
        </w:rPr>
        <w:t>raisonnable</w:t>
      </w:r>
      <w:r w:rsidR="00A81F05">
        <w:rPr>
          <w:rFonts w:eastAsiaTheme="minorHAnsi"/>
          <w:lang w:eastAsia="en-US"/>
        </w:rPr>
        <w:t xml:space="preserve"> </w:t>
      </w:r>
      <w:r w:rsidRPr="008D7EB7">
        <w:rPr>
          <w:rFonts w:eastAsiaTheme="minorHAnsi"/>
          <w:lang w:eastAsia="en-US"/>
        </w:rPr>
        <w:t xml:space="preserve">de tenir compte de toutes les charges, produits, ou économies, induites dans le futur par un investissement significatif. L'appréciation de la notion d'investissement significatif est laissée aux autorités communales. Toutefois, je recommande de considérer à tout le moins que tout investissement amortissable en 10 ans ou plus rentre dans cette catégorie. </w:t>
      </w:r>
    </w:p>
    <w:p w14:paraId="34B3DB72" w14:textId="77777777" w:rsidR="00900C39" w:rsidRDefault="00900C39" w:rsidP="00574D9B">
      <w:pPr>
        <w:jc w:val="both"/>
        <w:rPr>
          <w:rFonts w:eastAsiaTheme="minorHAnsi"/>
          <w:lang w:eastAsia="en-US"/>
        </w:rPr>
      </w:pPr>
    </w:p>
    <w:p w14:paraId="50BDB762" w14:textId="77777777" w:rsidR="00574D9B" w:rsidRPr="008D7EB7" w:rsidRDefault="00574D9B">
      <w:pPr>
        <w:jc w:val="both"/>
        <w:rPr>
          <w:rFonts w:eastAsiaTheme="minorHAnsi"/>
          <w:lang w:eastAsia="en-US"/>
        </w:rPr>
      </w:pPr>
    </w:p>
    <w:p w14:paraId="7DBA1000" w14:textId="77777777" w:rsidR="004A2669" w:rsidRPr="001E1353" w:rsidRDefault="004A2669" w:rsidP="008D7EB7">
      <w:pPr>
        <w:pStyle w:val="Sam4"/>
      </w:pPr>
      <w:bookmarkStart w:id="362" w:name="_Toc40185921"/>
      <w:bookmarkStart w:id="363" w:name="_Toc512520154"/>
      <w:bookmarkStart w:id="364" w:name="_Toc512520285"/>
      <w:bookmarkStart w:id="365" w:name="_Toc512520417"/>
      <w:bookmarkStart w:id="366" w:name="_Toc512520548"/>
      <w:bookmarkStart w:id="367" w:name="_Toc512520679"/>
      <w:bookmarkStart w:id="368" w:name="_Toc512520810"/>
      <w:bookmarkStart w:id="369" w:name="_Toc512520941"/>
      <w:bookmarkStart w:id="370" w:name="_Toc512606737"/>
      <w:bookmarkStart w:id="371" w:name="_Toc512606872"/>
      <w:bookmarkStart w:id="372" w:name="_Toc512607007"/>
      <w:bookmarkStart w:id="373" w:name="_Toc515355804"/>
      <w:bookmarkStart w:id="374" w:name="_Toc515355941"/>
      <w:bookmarkStart w:id="375" w:name="_Toc515360351"/>
      <w:bookmarkStart w:id="376" w:name="_Toc515974947"/>
      <w:bookmarkStart w:id="377" w:name="_Toc515978455"/>
      <w:bookmarkStart w:id="378" w:name="_Toc516058839"/>
      <w:bookmarkStart w:id="379" w:name="_Toc516058981"/>
      <w:bookmarkStart w:id="380" w:name="_Toc516227705"/>
      <w:bookmarkStart w:id="381" w:name="_Toc516229518"/>
      <w:bookmarkStart w:id="382" w:name="_Toc516229813"/>
      <w:bookmarkStart w:id="383" w:name="_Toc516230108"/>
      <w:bookmarkStart w:id="384" w:name="_Toc516230403"/>
      <w:bookmarkStart w:id="385" w:name="_Toc516230697"/>
      <w:bookmarkStart w:id="386" w:name="_Toc516230991"/>
      <w:bookmarkStart w:id="387" w:name="_Toc516231286"/>
      <w:bookmarkStart w:id="388" w:name="_Toc516231582"/>
      <w:bookmarkStart w:id="389" w:name="_Toc516242675"/>
      <w:bookmarkStart w:id="390" w:name="_Toc516242978"/>
      <w:bookmarkStart w:id="391" w:name="_Toc516244911"/>
      <w:bookmarkStart w:id="392" w:name="_Toc516473483"/>
      <w:bookmarkStart w:id="393" w:name="_Toc516473793"/>
      <w:bookmarkStart w:id="394" w:name="_Toc516474103"/>
      <w:bookmarkStart w:id="395" w:name="_Toc516474411"/>
      <w:bookmarkStart w:id="396" w:name="_Toc516474742"/>
      <w:bookmarkStart w:id="397" w:name="_Toc516478771"/>
      <w:bookmarkStart w:id="398" w:name="_Toc516479234"/>
      <w:bookmarkStart w:id="399" w:name="_Toc516479551"/>
      <w:bookmarkStart w:id="400" w:name="_Toc516479874"/>
      <w:bookmarkStart w:id="401" w:name="_Toc516480189"/>
      <w:bookmarkStart w:id="402" w:name="_Toc516480503"/>
      <w:bookmarkStart w:id="403" w:name="_Toc516480817"/>
      <w:bookmarkStart w:id="404" w:name="_Toc516481131"/>
      <w:bookmarkStart w:id="405" w:name="_Toc516481445"/>
      <w:bookmarkStart w:id="406" w:name="_Toc516481759"/>
      <w:bookmarkStart w:id="407" w:name="_Toc516482073"/>
      <w:bookmarkStart w:id="408" w:name="_Toc516482387"/>
      <w:bookmarkStart w:id="409" w:name="_Toc516739509"/>
      <w:bookmarkStart w:id="410" w:name="_Toc516751422"/>
      <w:bookmarkStart w:id="411" w:name="_Toc516825493"/>
      <w:bookmarkStart w:id="412" w:name="_Toc516826051"/>
      <w:bookmarkStart w:id="413" w:name="_Toc516837370"/>
      <w:bookmarkStart w:id="414" w:name="_Toc516837929"/>
      <w:bookmarkStart w:id="415" w:name="_Toc516838488"/>
      <w:bookmarkStart w:id="416" w:name="_Toc516839047"/>
      <w:bookmarkStart w:id="417" w:name="_Toc517173143"/>
      <w:bookmarkStart w:id="418" w:name="_Toc517174817"/>
      <w:bookmarkStart w:id="419" w:name="_Toc517175404"/>
      <w:bookmarkStart w:id="420" w:name="_Toc517175992"/>
      <w:bookmarkStart w:id="421" w:name="_Toc517337312"/>
      <w:bookmarkStart w:id="422" w:name="_Toc517360107"/>
      <w:bookmarkStart w:id="423" w:name="_Toc74557558"/>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1E1353">
        <w:t>Numéro de projet extraordinaire</w:t>
      </w:r>
      <w:r w:rsidR="00B12D87" w:rsidRPr="00900C39">
        <w:rPr>
          <w:b w:val="0"/>
          <w:bCs/>
          <w:iCs/>
          <w:u w:val="none"/>
          <w:vertAlign w:val="superscript"/>
        </w:rPr>
        <w:footnoteReference w:id="7"/>
      </w:r>
      <w:bookmarkEnd w:id="423"/>
      <w:r w:rsidRPr="00D0677C">
        <w:rPr>
          <w:b w:val="0"/>
          <w:bCs/>
          <w:i w:val="0"/>
          <w:iCs/>
          <w:u w:val="none"/>
          <w:vertAlign w:val="superscript"/>
        </w:rPr>
        <w:t xml:space="preserve"> </w:t>
      </w:r>
    </w:p>
    <w:p w14:paraId="055D5F70" w14:textId="77777777" w:rsidR="00015454" w:rsidRDefault="00015454" w:rsidP="00574D9B">
      <w:pPr>
        <w:jc w:val="both"/>
        <w:rPr>
          <w:rFonts w:eastAsiaTheme="minorHAnsi"/>
          <w:lang w:eastAsia="en-US"/>
        </w:rPr>
      </w:pPr>
    </w:p>
    <w:p w14:paraId="6604C5A3" w14:textId="39F4F4BA" w:rsidR="004A2669" w:rsidRDefault="004A2669" w:rsidP="00574D9B">
      <w:pPr>
        <w:jc w:val="both"/>
        <w:rPr>
          <w:rFonts w:eastAsiaTheme="minorHAnsi"/>
          <w:lang w:eastAsia="en-US"/>
        </w:rPr>
      </w:pPr>
      <w:r w:rsidRPr="008D7EB7">
        <w:rPr>
          <w:rFonts w:eastAsiaTheme="minorHAnsi"/>
          <w:lang w:eastAsia="en-US"/>
        </w:rPr>
        <w:t>Les recettes et dépenses relatives à un même projet extraordinaire d’investissements sont reprises sous un même numéro de projet extraordinaire référencé informatiquement selon une codification à 8 chiffres, les 4 premiers indiquant l’exercice d’origine et les 4 suivants le numéro d’ordre.</w:t>
      </w:r>
    </w:p>
    <w:p w14:paraId="078FDFB8" w14:textId="77777777" w:rsidR="00574D9B" w:rsidRPr="00256E9F" w:rsidRDefault="00574D9B">
      <w:pPr>
        <w:jc w:val="both"/>
        <w:rPr>
          <w:rFonts w:eastAsiaTheme="minorHAnsi"/>
          <w:sz w:val="10"/>
          <w:szCs w:val="10"/>
          <w:lang w:eastAsia="en-US"/>
        </w:rPr>
      </w:pPr>
    </w:p>
    <w:p w14:paraId="1B5BD6DD" w14:textId="077DC3F0" w:rsidR="004A2669" w:rsidRPr="008D7EB7" w:rsidRDefault="004A2669" w:rsidP="008D7EB7">
      <w:pPr>
        <w:rPr>
          <w:rFonts w:eastAsiaTheme="minorHAnsi"/>
          <w:lang w:eastAsia="en-US"/>
        </w:rPr>
      </w:pPr>
      <w:r w:rsidRPr="008D7EB7">
        <w:rPr>
          <w:rFonts w:eastAsiaTheme="minorHAnsi"/>
          <w:lang w:eastAsia="en-US"/>
        </w:rPr>
        <w:t>En pratique :</w:t>
      </w:r>
    </w:p>
    <w:p w14:paraId="7ED27CCA" w14:textId="77777777" w:rsidR="00493337" w:rsidRPr="00256E9F" w:rsidRDefault="00493337" w:rsidP="004A2669">
      <w:pPr>
        <w:jc w:val="both"/>
        <w:rPr>
          <w:sz w:val="10"/>
          <w:szCs w:val="10"/>
        </w:rPr>
      </w:pPr>
    </w:p>
    <w:p w14:paraId="2D4E93CF" w14:textId="0B415816" w:rsidR="004A2669" w:rsidRPr="00B12D87" w:rsidRDefault="005E467C" w:rsidP="008D7EB7">
      <w:pPr>
        <w:pStyle w:val="Paragraphedeliste"/>
        <w:numPr>
          <w:ilvl w:val="0"/>
          <w:numId w:val="287"/>
        </w:numPr>
      </w:pPr>
      <w:proofErr w:type="gramStart"/>
      <w:r>
        <w:t>s</w:t>
      </w:r>
      <w:r w:rsidRPr="00B12D87">
        <w:t>i</w:t>
      </w:r>
      <w:proofErr w:type="gramEnd"/>
      <w:r w:rsidRPr="00B12D87">
        <w:t xml:space="preserve"> </w:t>
      </w:r>
      <w:r w:rsidR="004A2669" w:rsidRPr="00B12D87">
        <w:t>un projet est engagé en</w:t>
      </w:r>
      <w:r w:rsidR="00A27F98" w:rsidRPr="00493337">
        <w:t xml:space="preserve"> </w:t>
      </w:r>
      <w:r w:rsidR="003C0E2C">
        <w:t>2023</w:t>
      </w:r>
      <w:r w:rsidR="004A2669" w:rsidRPr="00B12D87">
        <w:t xml:space="preserve">, il aura un numéro de projet </w:t>
      </w:r>
      <w:r w:rsidR="003C0E2C">
        <w:t>2023</w:t>
      </w:r>
      <w:r w:rsidR="00D03FA3" w:rsidRPr="00B12D87">
        <w:t xml:space="preserve">xxxx </w:t>
      </w:r>
      <w:r w:rsidR="004A2669" w:rsidRPr="00B12D87">
        <w:t>et par la suite, tout ce qui sera lié à ce projet aura le même numéro.</w:t>
      </w:r>
    </w:p>
    <w:p w14:paraId="3A893687" w14:textId="70AEA55F" w:rsidR="004A2669" w:rsidRPr="00B12D87" w:rsidRDefault="005E467C" w:rsidP="008D7EB7">
      <w:pPr>
        <w:pStyle w:val="Paragraphedeliste"/>
        <w:numPr>
          <w:ilvl w:val="0"/>
          <w:numId w:val="287"/>
        </w:numPr>
      </w:pPr>
      <w:proofErr w:type="gramStart"/>
      <w:r>
        <w:t>s</w:t>
      </w:r>
      <w:r w:rsidRPr="00B12D87">
        <w:t>i</w:t>
      </w:r>
      <w:proofErr w:type="gramEnd"/>
      <w:r w:rsidRPr="00B12D87">
        <w:t xml:space="preserve"> </w:t>
      </w:r>
      <w:r w:rsidR="004A2669" w:rsidRPr="00B12D87">
        <w:t xml:space="preserve">un projet a été prévu en </w:t>
      </w:r>
      <w:r w:rsidR="003C0E2C">
        <w:t>2022</w:t>
      </w:r>
      <w:r w:rsidR="00D03FA3" w:rsidRPr="00B12D87">
        <w:t xml:space="preserve"> </w:t>
      </w:r>
      <w:r w:rsidR="004A2669" w:rsidRPr="00B12D87">
        <w:t xml:space="preserve">(N° </w:t>
      </w:r>
      <w:r w:rsidR="00D03FA3">
        <w:t>2</w:t>
      </w:r>
      <w:r w:rsidR="003C0E2C">
        <w:t>2022</w:t>
      </w:r>
      <w:r w:rsidR="00D03FA3" w:rsidRPr="00B12D87">
        <w:t>xxxx</w:t>
      </w:r>
      <w:r w:rsidR="004A2669" w:rsidRPr="00B12D87">
        <w:t xml:space="preserve">) mais qu'il est attribué seulement en </w:t>
      </w:r>
      <w:r w:rsidR="003C0E2C">
        <w:t xml:space="preserve"> 2023</w:t>
      </w:r>
      <w:r w:rsidR="004A2669" w:rsidRPr="00B12D87">
        <w:t xml:space="preserve">: S'il n'y a aucun engagement, il tombe en </w:t>
      </w:r>
      <w:r w:rsidR="003C0E2C">
        <w:t>2022</w:t>
      </w:r>
      <w:r w:rsidR="00D03FA3">
        <w:t xml:space="preserve"> </w:t>
      </w:r>
      <w:r w:rsidR="004A2669" w:rsidRPr="00B12D87">
        <w:t xml:space="preserve">et doit être réinscrit à l'exercice propre en </w:t>
      </w:r>
      <w:r w:rsidR="003C0E2C">
        <w:t>2023</w:t>
      </w:r>
      <w:r w:rsidR="00D03FA3" w:rsidRPr="00B12D87">
        <w:t xml:space="preserve"> </w:t>
      </w:r>
      <w:r w:rsidR="004A2669" w:rsidRPr="00B12D87">
        <w:t xml:space="preserve">avec un numéro de projet </w:t>
      </w:r>
      <w:r w:rsidR="003C0E2C">
        <w:t>2023</w:t>
      </w:r>
      <w:r w:rsidR="00D03FA3" w:rsidRPr="00B12D87">
        <w:t>xxxx</w:t>
      </w:r>
      <w:r w:rsidR="00493337">
        <w:t>.</w:t>
      </w:r>
    </w:p>
    <w:p w14:paraId="0AB1968E" w14:textId="77777777" w:rsidR="00592408" w:rsidRPr="00256E9F" w:rsidRDefault="00592408" w:rsidP="008D7EB7">
      <w:pPr>
        <w:rPr>
          <w:sz w:val="10"/>
          <w:szCs w:val="10"/>
        </w:rPr>
      </w:pPr>
    </w:p>
    <w:p w14:paraId="6CD84D5B" w14:textId="770B1103" w:rsidR="004A2669" w:rsidRDefault="004A2669" w:rsidP="008D7EB7">
      <w:pPr>
        <w:jc w:val="both"/>
        <w:rPr>
          <w:rFonts w:eastAsiaTheme="minorHAnsi"/>
          <w:lang w:eastAsia="en-US"/>
        </w:rPr>
      </w:pPr>
      <w:r w:rsidRPr="008D7EB7">
        <w:rPr>
          <w:rFonts w:eastAsiaTheme="minorHAnsi"/>
          <w:lang w:eastAsia="en-US"/>
        </w:rPr>
        <w:t xml:space="preserve">S'il y a un engagement ou des droits constatés, par exemple des honoraires d'architecte, il faut garder le même numéro </w:t>
      </w:r>
      <w:r w:rsidR="003C0E2C">
        <w:rPr>
          <w:rFonts w:eastAsiaTheme="minorHAnsi"/>
          <w:lang w:eastAsia="en-US"/>
        </w:rPr>
        <w:t>2022</w:t>
      </w:r>
      <w:r w:rsidR="00302D4E" w:rsidRPr="008D7EB7">
        <w:rPr>
          <w:rFonts w:eastAsiaTheme="minorHAnsi"/>
          <w:lang w:eastAsia="en-US"/>
        </w:rPr>
        <w:t xml:space="preserve">xxxx </w:t>
      </w:r>
      <w:r w:rsidRPr="008D7EB7">
        <w:rPr>
          <w:rFonts w:eastAsiaTheme="minorHAnsi"/>
          <w:lang w:eastAsia="en-US"/>
        </w:rPr>
        <w:t>pour avoir un aperçu des dépenses totales liées au projet.</w:t>
      </w:r>
    </w:p>
    <w:p w14:paraId="48BEE291" w14:textId="77777777" w:rsidR="00574D9B" w:rsidRPr="00256E9F" w:rsidRDefault="00574D9B">
      <w:pPr>
        <w:jc w:val="both"/>
        <w:rPr>
          <w:rFonts w:eastAsiaTheme="minorHAnsi"/>
          <w:sz w:val="10"/>
          <w:szCs w:val="10"/>
          <w:lang w:eastAsia="en-US"/>
        </w:rPr>
      </w:pPr>
    </w:p>
    <w:p w14:paraId="34B6023D" w14:textId="77777777" w:rsidR="004E72AB" w:rsidRDefault="00766255" w:rsidP="004E72AB">
      <w:pPr>
        <w:rPr>
          <w:rFonts w:eastAsiaTheme="minorHAnsi"/>
          <w:lang w:eastAsia="en-US"/>
        </w:rPr>
      </w:pPr>
      <w:r w:rsidRPr="008D7EB7">
        <w:rPr>
          <w:rFonts w:eastAsiaTheme="minorHAnsi"/>
          <w:lang w:eastAsia="en-US"/>
        </w:rPr>
        <w:t xml:space="preserve">Un article peut être éclaté en plusieurs numéros de projet. Il ne s'agit pas d'articles différents, mais de la ventilation d'un seul et même article au sein duquel les crédits peuvent être transférés d'un projet à l'autre. </w:t>
      </w:r>
    </w:p>
    <w:p w14:paraId="0FEF5EF6" w14:textId="7E98A8AE" w:rsidR="004E72AB" w:rsidRDefault="00766255" w:rsidP="004E72AB">
      <w:pPr>
        <w:rPr>
          <w:rFonts w:eastAsiaTheme="minorHAnsi"/>
          <w:lang w:eastAsia="en-US"/>
        </w:rPr>
      </w:pPr>
      <w:r w:rsidRPr="008D7EB7">
        <w:rPr>
          <w:rFonts w:eastAsiaTheme="minorHAnsi"/>
          <w:lang w:eastAsia="en-US"/>
        </w:rPr>
        <w:t>Dans pareil cas</w:t>
      </w:r>
      <w:r w:rsidR="004E72AB">
        <w:rPr>
          <w:rFonts w:eastAsiaTheme="minorHAnsi"/>
          <w:lang w:eastAsia="en-US"/>
        </w:rPr>
        <w:t> :</w:t>
      </w:r>
    </w:p>
    <w:p w14:paraId="5C1E5793" w14:textId="77777777" w:rsidR="004E72AB" w:rsidRPr="004E72AB" w:rsidRDefault="00766255" w:rsidP="004E72AB">
      <w:pPr>
        <w:pStyle w:val="Paragraphedeliste"/>
        <w:numPr>
          <w:ilvl w:val="0"/>
          <w:numId w:val="15"/>
        </w:numPr>
      </w:pPr>
      <w:r w:rsidRPr="004E72AB">
        <w:rPr>
          <w:rFonts w:eastAsiaTheme="minorHAnsi"/>
          <w:lang w:eastAsia="en-US"/>
        </w:rPr>
        <w:t xml:space="preserve"> </w:t>
      </w:r>
      <w:proofErr w:type="gramStart"/>
      <w:r w:rsidRPr="004E72AB">
        <w:rPr>
          <w:rFonts w:eastAsiaTheme="minorHAnsi"/>
          <w:lang w:eastAsia="en-US"/>
        </w:rPr>
        <w:t>il</w:t>
      </w:r>
      <w:proofErr w:type="gramEnd"/>
      <w:r w:rsidRPr="004E72AB">
        <w:rPr>
          <w:rFonts w:eastAsiaTheme="minorHAnsi"/>
          <w:lang w:eastAsia="en-US"/>
        </w:rPr>
        <w:t xml:space="preserve"> convient bien entendu de ne pas inscrire deux fois les montants concernés, une fois sous le code global de l'article de base, une seconde fois sous les codes individualisés. </w:t>
      </w:r>
    </w:p>
    <w:p w14:paraId="7FC65D8D" w14:textId="5ED91403" w:rsidR="002E191A" w:rsidRPr="004E72AB" w:rsidRDefault="004E72AB" w:rsidP="004E72AB">
      <w:pPr>
        <w:pStyle w:val="Paragraphedeliste"/>
        <w:numPr>
          <w:ilvl w:val="0"/>
          <w:numId w:val="15"/>
        </w:numPr>
        <w:jc w:val="both"/>
      </w:pPr>
      <w:proofErr w:type="gramStart"/>
      <w:r w:rsidRPr="004E72AB">
        <w:rPr>
          <w:rFonts w:eastAsiaTheme="minorHAnsi"/>
          <w:lang w:eastAsia="en-US"/>
        </w:rPr>
        <w:lastRenderedPageBreak/>
        <w:t>il</w:t>
      </w:r>
      <w:proofErr w:type="gramEnd"/>
      <w:r w:rsidRPr="004E72AB">
        <w:rPr>
          <w:rFonts w:eastAsiaTheme="minorHAnsi"/>
          <w:lang w:eastAsia="en-US"/>
        </w:rPr>
        <w:t xml:space="preserve"> convient d’avoir une décision du conseil communal qui transfère les crédits sur le projet ad hoc. Il en va de même pour le financement pour lequel il faut une décision de réaffectation. </w:t>
      </w:r>
    </w:p>
    <w:p w14:paraId="55B119CE" w14:textId="0637E56E" w:rsidR="00E66826" w:rsidRDefault="00E66826" w:rsidP="008D7EB7">
      <w:pPr>
        <w:jc w:val="both"/>
        <w:rPr>
          <w:rFonts w:eastAsiaTheme="minorHAnsi"/>
          <w:lang w:eastAsia="en-US"/>
        </w:rPr>
      </w:pPr>
    </w:p>
    <w:p w14:paraId="29696E86" w14:textId="3A6480A3" w:rsidR="00E66826" w:rsidRDefault="00E66826" w:rsidP="008D7EB7">
      <w:pPr>
        <w:jc w:val="both"/>
        <w:rPr>
          <w:rFonts w:eastAsiaTheme="minorHAnsi"/>
          <w:lang w:eastAsia="en-US"/>
        </w:rPr>
      </w:pPr>
      <w:r>
        <w:rPr>
          <w:lang w:val="fr-BE"/>
        </w:rPr>
        <w:t>Le concept de projet extraordinaire sous-entend l’équilibre permanent du projet au niveau budgétaire. Des rééquilibrages s’imposent donc tout au long de la vie du projet, particulièrement lors de l’introduction du résultat du compte et au terme du projet. Pour rappel ces rééquilibrages doivent se faire via modification budgétaire. </w:t>
      </w:r>
    </w:p>
    <w:p w14:paraId="446FAC73" w14:textId="77777777" w:rsidR="00574D9B" w:rsidRPr="008D7EB7" w:rsidRDefault="00574D9B" w:rsidP="008D7EB7">
      <w:pPr>
        <w:rPr>
          <w:rFonts w:eastAsiaTheme="minorHAnsi"/>
          <w:lang w:eastAsia="en-US"/>
        </w:rPr>
      </w:pPr>
    </w:p>
    <w:p w14:paraId="77FFEA7F" w14:textId="288AEFFD" w:rsidR="002E191A" w:rsidRDefault="002E191A" w:rsidP="008D7EB7">
      <w:pPr>
        <w:rPr>
          <w:rFonts w:eastAsiaTheme="minorHAnsi"/>
          <w:lang w:eastAsia="en-US"/>
        </w:rPr>
      </w:pPr>
      <w:r w:rsidRPr="008D7EB7">
        <w:rPr>
          <w:rFonts w:eastAsiaTheme="minorHAnsi"/>
          <w:lang w:eastAsia="en-US"/>
        </w:rPr>
        <w:t>En aucun cas, une commune ne peut procéder à des ajustements internes sans passer par voie de modification budgétaire et ce, conformément aux articles 1, 3°, 7 et 15 du RGCC et L1314-1 du CDLD. En effet, les éventuelles modifications de projets extraordinaires par ajustements internes ne sont admises qu’aux comptes.</w:t>
      </w:r>
    </w:p>
    <w:p w14:paraId="75258669" w14:textId="77777777" w:rsidR="006843B9" w:rsidRPr="008D7EB7" w:rsidRDefault="006843B9" w:rsidP="008D7EB7">
      <w:pPr>
        <w:rPr>
          <w:rFonts w:eastAsiaTheme="minorHAnsi"/>
          <w:lang w:eastAsia="en-US"/>
        </w:rPr>
      </w:pPr>
    </w:p>
    <w:p w14:paraId="2FD40924" w14:textId="77777777" w:rsidR="004A2669" w:rsidRPr="001E1353" w:rsidRDefault="004A2669" w:rsidP="00AE6EFD">
      <w:pPr>
        <w:pStyle w:val="Sam2"/>
        <w:rPr>
          <w:lang w:val="fr-FR"/>
        </w:rPr>
      </w:pPr>
      <w:bookmarkStart w:id="424" w:name="_Toc40185188"/>
      <w:bookmarkStart w:id="425" w:name="_Toc40185923"/>
      <w:bookmarkStart w:id="426" w:name="_Toc40185189"/>
      <w:bookmarkStart w:id="427" w:name="_Toc40185924"/>
      <w:bookmarkStart w:id="428" w:name="_Toc8121637"/>
      <w:bookmarkStart w:id="429" w:name="_Toc8129578"/>
      <w:bookmarkStart w:id="430" w:name="_Toc512520156"/>
      <w:bookmarkStart w:id="431" w:name="_Toc512520287"/>
      <w:bookmarkStart w:id="432" w:name="_Toc512520419"/>
      <w:bookmarkStart w:id="433" w:name="_Toc512520550"/>
      <w:bookmarkStart w:id="434" w:name="_Toc512520681"/>
      <w:bookmarkStart w:id="435" w:name="_Toc512520812"/>
      <w:bookmarkStart w:id="436" w:name="_Toc512520943"/>
      <w:bookmarkStart w:id="437" w:name="_Toc512606739"/>
      <w:bookmarkStart w:id="438" w:name="_Toc512606874"/>
      <w:bookmarkStart w:id="439" w:name="_Toc512607009"/>
      <w:bookmarkStart w:id="440" w:name="_Toc515355806"/>
      <w:bookmarkStart w:id="441" w:name="_Toc515355943"/>
      <w:bookmarkStart w:id="442" w:name="_Toc515360353"/>
      <w:bookmarkStart w:id="443" w:name="_Toc515974949"/>
      <w:bookmarkStart w:id="444" w:name="_Toc515978457"/>
      <w:bookmarkStart w:id="445" w:name="_Toc516058841"/>
      <w:bookmarkStart w:id="446" w:name="_Toc516058983"/>
      <w:bookmarkStart w:id="447" w:name="_Toc516227707"/>
      <w:bookmarkStart w:id="448" w:name="_Toc516229520"/>
      <w:bookmarkStart w:id="449" w:name="_Toc516229815"/>
      <w:bookmarkStart w:id="450" w:name="_Toc516230110"/>
      <w:bookmarkStart w:id="451" w:name="_Toc516230405"/>
      <w:bookmarkStart w:id="452" w:name="_Toc516230699"/>
      <w:bookmarkStart w:id="453" w:name="_Toc516230993"/>
      <w:bookmarkStart w:id="454" w:name="_Toc516231288"/>
      <w:bookmarkStart w:id="455" w:name="_Toc516231584"/>
      <w:bookmarkStart w:id="456" w:name="_Toc516242677"/>
      <w:bookmarkStart w:id="457" w:name="_Toc516242980"/>
      <w:bookmarkStart w:id="458" w:name="_Toc516244913"/>
      <w:bookmarkStart w:id="459" w:name="_Toc516473485"/>
      <w:bookmarkStart w:id="460" w:name="_Toc516473795"/>
      <w:bookmarkStart w:id="461" w:name="_Toc516474105"/>
      <w:bookmarkStart w:id="462" w:name="_Toc516474413"/>
      <w:bookmarkStart w:id="463" w:name="_Toc516474744"/>
      <w:bookmarkStart w:id="464" w:name="_Toc516478773"/>
      <w:bookmarkStart w:id="465" w:name="_Toc516479236"/>
      <w:bookmarkStart w:id="466" w:name="_Toc516479553"/>
      <w:bookmarkStart w:id="467" w:name="_Toc516479876"/>
      <w:bookmarkStart w:id="468" w:name="_Toc516480191"/>
      <w:bookmarkStart w:id="469" w:name="_Toc516480505"/>
      <w:bookmarkStart w:id="470" w:name="_Toc516480819"/>
      <w:bookmarkStart w:id="471" w:name="_Toc516481133"/>
      <w:bookmarkStart w:id="472" w:name="_Toc516481447"/>
      <w:bookmarkStart w:id="473" w:name="_Toc516481761"/>
      <w:bookmarkStart w:id="474" w:name="_Toc516482075"/>
      <w:bookmarkStart w:id="475" w:name="_Toc516482389"/>
      <w:bookmarkStart w:id="476" w:name="_Toc516739511"/>
      <w:bookmarkStart w:id="477" w:name="_Toc516751424"/>
      <w:bookmarkStart w:id="478" w:name="_Toc74557559"/>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1E1353">
        <w:rPr>
          <w:lang w:val="fr-FR"/>
        </w:rPr>
        <w:t>Présentation</w:t>
      </w:r>
      <w:bookmarkEnd w:id="478"/>
    </w:p>
    <w:p w14:paraId="746F7F6B" w14:textId="70CC20C2" w:rsidR="004A2669" w:rsidRPr="00394F8E" w:rsidRDefault="00394F8E" w:rsidP="00256E9F">
      <w:pPr>
        <w:pStyle w:val="Sam3"/>
      </w:pPr>
      <w:bookmarkStart w:id="479" w:name="_Toc74557560"/>
      <w:r>
        <w:t xml:space="preserve">II.3.1 </w:t>
      </w:r>
      <w:r w:rsidR="004A2669" w:rsidRPr="00394F8E">
        <w:t>Forme</w:t>
      </w:r>
      <w:bookmarkEnd w:id="479"/>
      <w:r w:rsidR="004A2669" w:rsidRPr="00394F8E">
        <w:t xml:space="preserve"> </w:t>
      </w:r>
    </w:p>
    <w:p w14:paraId="61ED7D75" w14:textId="77777777" w:rsidR="006843B9" w:rsidRDefault="006843B9" w:rsidP="004A2669">
      <w:pPr>
        <w:jc w:val="both"/>
      </w:pPr>
    </w:p>
    <w:p w14:paraId="747827CD" w14:textId="3BA2719E" w:rsidR="004A2669" w:rsidRDefault="004A2669" w:rsidP="004A2669">
      <w:pPr>
        <w:jc w:val="both"/>
      </w:pPr>
      <w:r w:rsidRPr="001E1353">
        <w:t>Afin d'assurer une bonne lisibilité des documents :</w:t>
      </w:r>
    </w:p>
    <w:p w14:paraId="119AE041" w14:textId="77777777" w:rsidR="00493337" w:rsidRPr="001E1353" w:rsidRDefault="00493337" w:rsidP="004A2669">
      <w:pPr>
        <w:jc w:val="both"/>
      </w:pPr>
    </w:p>
    <w:p w14:paraId="409BCE19" w14:textId="30000B65" w:rsidR="004A2669" w:rsidRPr="00A360FC" w:rsidRDefault="00964935" w:rsidP="008D7EB7">
      <w:pPr>
        <w:pStyle w:val="Paragraphedeliste"/>
        <w:numPr>
          <w:ilvl w:val="0"/>
          <w:numId w:val="288"/>
        </w:numPr>
        <w:jc w:val="both"/>
      </w:pPr>
      <w:proofErr w:type="gramStart"/>
      <w:r>
        <w:t>l</w:t>
      </w:r>
      <w:r w:rsidR="004A2669" w:rsidRPr="00A360FC">
        <w:t>es</w:t>
      </w:r>
      <w:proofErr w:type="gramEnd"/>
      <w:r w:rsidR="004A2669" w:rsidRPr="00A360FC">
        <w:t xml:space="preserve"> budgets ordinaires et extraordinaires doivent être présentés en deux livrets distincts ;</w:t>
      </w:r>
    </w:p>
    <w:p w14:paraId="343E5AD7" w14:textId="0CC1FFCE" w:rsidR="004A2669" w:rsidRPr="00A360FC" w:rsidRDefault="00964935" w:rsidP="008D7EB7">
      <w:pPr>
        <w:pStyle w:val="Paragraphedeliste"/>
        <w:numPr>
          <w:ilvl w:val="0"/>
          <w:numId w:val="288"/>
        </w:numPr>
        <w:jc w:val="both"/>
      </w:pPr>
      <w:proofErr w:type="gramStart"/>
      <w:r>
        <w:t>l</w:t>
      </w:r>
      <w:r w:rsidR="004A2669" w:rsidRPr="00A360FC">
        <w:t>es</w:t>
      </w:r>
      <w:proofErr w:type="gramEnd"/>
      <w:r w:rsidR="004A2669" w:rsidRPr="00A360FC">
        <w:t xml:space="preserve"> dépenses et recettes peuvent être présentées soit sous la forme d'une liste continue (les dépenses précédant les recettes) soit en regard les unes des autres</w:t>
      </w:r>
      <w:r w:rsidR="00A360FC">
        <w:t xml:space="preserve"> </w:t>
      </w:r>
      <w:r w:rsidR="004A2669" w:rsidRPr="00A360FC">
        <w:t>; dans cette hypothèse, il convient que les dépenses figurent sur les pages de gauche et les recettes sur les pages de droite ;</w:t>
      </w:r>
    </w:p>
    <w:p w14:paraId="572FC811" w14:textId="097F3AB6" w:rsidR="004A2669" w:rsidRPr="00A360FC" w:rsidRDefault="00964935" w:rsidP="008D7EB7">
      <w:pPr>
        <w:pStyle w:val="Paragraphedeliste"/>
        <w:numPr>
          <w:ilvl w:val="0"/>
          <w:numId w:val="288"/>
        </w:numPr>
        <w:jc w:val="both"/>
      </w:pPr>
      <w:proofErr w:type="gramStart"/>
      <w:r>
        <w:t>t</w:t>
      </w:r>
      <w:r w:rsidR="004A2669" w:rsidRPr="00A360FC">
        <w:t>oute</w:t>
      </w:r>
      <w:proofErr w:type="gramEnd"/>
      <w:r w:rsidR="004A2669" w:rsidRPr="00A360FC">
        <w:t xml:space="preserve"> modification dans la classification des recettes ou des dépenses rendant inopérante la comparaison avec les exercices antérieurs doit être explicitement mentionnée dans l'annexe</w:t>
      </w:r>
      <w:r w:rsidR="00A360FC">
        <w:t> ;</w:t>
      </w:r>
    </w:p>
    <w:p w14:paraId="5F1B0579" w14:textId="70FC066C" w:rsidR="004A2669" w:rsidRDefault="00964935" w:rsidP="008D7EB7">
      <w:pPr>
        <w:pStyle w:val="Paragraphedeliste"/>
        <w:numPr>
          <w:ilvl w:val="0"/>
          <w:numId w:val="288"/>
        </w:numPr>
        <w:jc w:val="both"/>
      </w:pPr>
      <w:proofErr w:type="gramStart"/>
      <w:r>
        <w:t>d</w:t>
      </w:r>
      <w:r w:rsidRPr="00A360FC">
        <w:t>e</w:t>
      </w:r>
      <w:proofErr w:type="gramEnd"/>
      <w:r w:rsidRPr="00A360FC">
        <w:t xml:space="preserve"> </w:t>
      </w:r>
      <w:r w:rsidR="004A2669" w:rsidRPr="00A360FC">
        <w:t xml:space="preserve">façon générale, mais spécialement dans le cadre de la transmission électronique des budgets et modifications budgétaires, afin de permettre la lecture de tous les documents, il vous est demandé de respecter </w:t>
      </w:r>
      <w:r w:rsidR="004A2669" w:rsidRPr="00E063FD">
        <w:t>strictement</w:t>
      </w:r>
      <w:r w:rsidR="004A2669" w:rsidRPr="00A360FC">
        <w:t xml:space="preserve"> le plan comptable et d'éviter de créer de nouveaux numéros d'article ou d'y ajouter des lettres ou des caractères spéciaux</w:t>
      </w:r>
      <w:r w:rsidR="00A360FC">
        <w:t>.</w:t>
      </w:r>
    </w:p>
    <w:p w14:paraId="76B43B01" w14:textId="327AD3C2" w:rsidR="006843B9" w:rsidRDefault="006843B9" w:rsidP="008D7EB7">
      <w:pPr>
        <w:jc w:val="both"/>
      </w:pPr>
    </w:p>
    <w:p w14:paraId="2AADCFDF" w14:textId="41CDCDBD" w:rsidR="004A2669" w:rsidRPr="001E1353" w:rsidRDefault="00AA2579" w:rsidP="00256E9F">
      <w:pPr>
        <w:pStyle w:val="Sam3"/>
      </w:pPr>
      <w:bookmarkStart w:id="480" w:name="_Toc512520159"/>
      <w:bookmarkStart w:id="481" w:name="_Toc512520290"/>
      <w:bookmarkStart w:id="482" w:name="_Toc512520422"/>
      <w:bookmarkStart w:id="483" w:name="_Toc512520553"/>
      <w:bookmarkStart w:id="484" w:name="_Toc512520684"/>
      <w:bookmarkStart w:id="485" w:name="_Toc512520815"/>
      <w:bookmarkStart w:id="486" w:name="_Toc512520946"/>
      <w:bookmarkStart w:id="487" w:name="_Toc512606742"/>
      <w:bookmarkStart w:id="488" w:name="_Toc512606877"/>
      <w:bookmarkStart w:id="489" w:name="_Toc512607012"/>
      <w:bookmarkStart w:id="490" w:name="_Toc515355809"/>
      <w:bookmarkStart w:id="491" w:name="_Toc515355946"/>
      <w:bookmarkStart w:id="492" w:name="_Toc515360356"/>
      <w:bookmarkStart w:id="493" w:name="_Toc515974952"/>
      <w:bookmarkStart w:id="494" w:name="_Toc515978460"/>
      <w:bookmarkStart w:id="495" w:name="_Toc516058844"/>
      <w:bookmarkStart w:id="496" w:name="_Toc516058986"/>
      <w:bookmarkStart w:id="497" w:name="_Toc516227710"/>
      <w:bookmarkStart w:id="498" w:name="_Toc516229523"/>
      <w:bookmarkStart w:id="499" w:name="_Toc516229818"/>
      <w:bookmarkStart w:id="500" w:name="_Toc516230113"/>
      <w:bookmarkStart w:id="501" w:name="_Toc516230408"/>
      <w:bookmarkStart w:id="502" w:name="_Toc516230702"/>
      <w:bookmarkStart w:id="503" w:name="_Toc516230996"/>
      <w:bookmarkStart w:id="504" w:name="_Toc516231291"/>
      <w:bookmarkStart w:id="505" w:name="_Toc516231587"/>
      <w:bookmarkStart w:id="506" w:name="_Toc516242680"/>
      <w:bookmarkStart w:id="507" w:name="_Toc516242983"/>
      <w:bookmarkStart w:id="508" w:name="_Toc516244916"/>
      <w:bookmarkStart w:id="509" w:name="_Toc516473488"/>
      <w:bookmarkStart w:id="510" w:name="_Toc516473798"/>
      <w:bookmarkStart w:id="511" w:name="_Toc516474108"/>
      <w:bookmarkStart w:id="512" w:name="_Toc516474416"/>
      <w:bookmarkStart w:id="513" w:name="_Toc516474747"/>
      <w:bookmarkStart w:id="514" w:name="_Toc516478776"/>
      <w:bookmarkStart w:id="515" w:name="_Toc516479239"/>
      <w:bookmarkStart w:id="516" w:name="_Toc516479556"/>
      <w:bookmarkStart w:id="517" w:name="_Toc516479879"/>
      <w:bookmarkStart w:id="518" w:name="_Toc516480194"/>
      <w:bookmarkStart w:id="519" w:name="_Toc516480508"/>
      <w:bookmarkStart w:id="520" w:name="_Toc516480822"/>
      <w:bookmarkStart w:id="521" w:name="_Toc516481136"/>
      <w:bookmarkStart w:id="522" w:name="_Toc516481450"/>
      <w:bookmarkStart w:id="523" w:name="_Toc516481764"/>
      <w:bookmarkStart w:id="524" w:name="_Toc516482078"/>
      <w:bookmarkStart w:id="525" w:name="_Toc516482392"/>
      <w:bookmarkStart w:id="526" w:name="_Toc516739514"/>
      <w:bookmarkStart w:id="527" w:name="_Toc516751427"/>
      <w:bookmarkStart w:id="528" w:name="_Toc516825497"/>
      <w:bookmarkStart w:id="529" w:name="_Toc516826055"/>
      <w:bookmarkStart w:id="530" w:name="_Toc516837374"/>
      <w:bookmarkStart w:id="531" w:name="_Toc516837933"/>
      <w:bookmarkStart w:id="532" w:name="_Toc516838492"/>
      <w:bookmarkStart w:id="533" w:name="_Toc516839051"/>
      <w:bookmarkStart w:id="534" w:name="_Toc517173147"/>
      <w:bookmarkStart w:id="535" w:name="_Toc517174821"/>
      <w:bookmarkStart w:id="536" w:name="_Toc517175408"/>
      <w:bookmarkStart w:id="537" w:name="_Toc517175996"/>
      <w:bookmarkStart w:id="538" w:name="_Toc517337316"/>
      <w:bookmarkStart w:id="539" w:name="_Toc517360111"/>
      <w:bookmarkStart w:id="540" w:name="_Toc74557561"/>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t xml:space="preserve">II.3.2 </w:t>
      </w:r>
      <w:r w:rsidR="004A2669" w:rsidRPr="001E1353">
        <w:t>Tableau de synthèse</w:t>
      </w:r>
      <w:bookmarkEnd w:id="540"/>
      <w:r w:rsidR="004A2669" w:rsidRPr="001E1353">
        <w:t xml:space="preserve"> </w:t>
      </w:r>
    </w:p>
    <w:p w14:paraId="2B99BCB7" w14:textId="77777777" w:rsidR="006843B9" w:rsidRDefault="006843B9" w:rsidP="005E467C">
      <w:pPr>
        <w:jc w:val="both"/>
      </w:pPr>
    </w:p>
    <w:p w14:paraId="690C5A7A" w14:textId="659BF884" w:rsidR="004A2669" w:rsidRDefault="004A2669" w:rsidP="005E467C">
      <w:pPr>
        <w:jc w:val="both"/>
      </w:pPr>
      <w:r w:rsidRPr="008D7EB7">
        <w:t>Le tableau de synthèse revêt une importance particulière car il permet d'inscrire aux exercices antérieurs du budget le résultat escompté de l'exercice précédent. Les données qui y sont mentionnées doivent donc être dûment justifiées et, comme l'ensemble des crédits repris au budget, représenter une estimation suffisamment précise</w:t>
      </w:r>
      <w:r w:rsidR="005E467C" w:rsidRPr="00900C39">
        <w:rPr>
          <w:vertAlign w:val="superscript"/>
        </w:rPr>
        <w:footnoteReference w:id="8"/>
      </w:r>
      <w:r w:rsidR="00302D4E">
        <w:t>.</w:t>
      </w:r>
    </w:p>
    <w:p w14:paraId="5A6B7547" w14:textId="77777777" w:rsidR="005E467C" w:rsidRPr="005E467C" w:rsidRDefault="005E467C">
      <w:pPr>
        <w:jc w:val="both"/>
      </w:pPr>
    </w:p>
    <w:p w14:paraId="56EE73E6" w14:textId="677F108A" w:rsidR="004A2669" w:rsidRDefault="004A2669" w:rsidP="005E467C">
      <w:pPr>
        <w:jc w:val="both"/>
      </w:pPr>
      <w:r w:rsidRPr="008D7EB7">
        <w:t xml:space="preserve">Il ne s'agit pas d'une simple annexe au budget, mais d'un élément fondamental et indissociable de celui-ci. Les articles budgétaires relatifs à la reprise des résultats présumés (000/951-01, </w:t>
      </w:r>
      <w:r w:rsidRPr="008D7EB7">
        <w:lastRenderedPageBreak/>
        <w:t>000/951</w:t>
      </w:r>
      <w:r w:rsidRPr="008D7EB7">
        <w:softHyphen/>
      </w:r>
      <w:r w:rsidR="00D70D0A" w:rsidRPr="008D7EB7">
        <w:t>-</w:t>
      </w:r>
      <w:r w:rsidRPr="008D7EB7">
        <w:t>51...) doivent obligatoirement figurer de manière distincte dans le corps du budget, aux exercices antérieurs.</w:t>
      </w:r>
    </w:p>
    <w:p w14:paraId="10AA5F9E" w14:textId="77777777" w:rsidR="005E467C" w:rsidRPr="005E467C" w:rsidRDefault="005E467C">
      <w:pPr>
        <w:jc w:val="both"/>
      </w:pPr>
    </w:p>
    <w:p w14:paraId="19B11508" w14:textId="23A6D23A" w:rsidR="004A2669" w:rsidRPr="005E467C" w:rsidRDefault="004A2669">
      <w:pPr>
        <w:jc w:val="both"/>
      </w:pPr>
      <w:r w:rsidRPr="008D7EB7">
        <w:t>Le tableau de synthèse présente une vue des résultats budgétaires :</w:t>
      </w:r>
    </w:p>
    <w:p w14:paraId="51DBB271" w14:textId="77777777" w:rsidR="00493337" w:rsidRPr="001E1353" w:rsidRDefault="00493337" w:rsidP="004A2669">
      <w:pPr>
        <w:jc w:val="both"/>
      </w:pPr>
    </w:p>
    <w:p w14:paraId="39808E80" w14:textId="709977F2" w:rsidR="00A360FC" w:rsidRPr="001E1353" w:rsidRDefault="004A2669" w:rsidP="008D7EB7">
      <w:pPr>
        <w:pStyle w:val="Paragraphedeliste"/>
        <w:numPr>
          <w:ilvl w:val="0"/>
          <w:numId w:val="181"/>
        </w:numPr>
        <w:jc w:val="both"/>
      </w:pPr>
      <w:proofErr w:type="gramStart"/>
      <w:r w:rsidRPr="001E1353">
        <w:t>réels</w:t>
      </w:r>
      <w:proofErr w:type="gramEnd"/>
      <w:r w:rsidRPr="001E1353">
        <w:t xml:space="preserve"> pour l'année pénultième (résultat budgétaire du compte</w:t>
      </w:r>
      <w:r w:rsidR="001044C0" w:rsidRPr="001E1353">
        <w:t>) ;</w:t>
      </w:r>
    </w:p>
    <w:p w14:paraId="13E79FFE" w14:textId="4A9B8137" w:rsidR="00A360FC" w:rsidRPr="00A360FC" w:rsidRDefault="004A2669" w:rsidP="008D7EB7">
      <w:pPr>
        <w:pStyle w:val="Paragraphedeliste"/>
        <w:numPr>
          <w:ilvl w:val="0"/>
          <w:numId w:val="181"/>
        </w:numPr>
        <w:jc w:val="both"/>
      </w:pPr>
      <w:proofErr w:type="gramStart"/>
      <w:r w:rsidRPr="00A360FC">
        <w:t>présumés</w:t>
      </w:r>
      <w:proofErr w:type="gramEnd"/>
      <w:r w:rsidRPr="00A360FC">
        <w:t xml:space="preserve"> pour l'année précédente (budget avec les dernières modifications budgétaires et adaptations</w:t>
      </w:r>
      <w:r w:rsidR="001044C0" w:rsidRPr="00A360FC">
        <w:t>) ;</w:t>
      </w:r>
    </w:p>
    <w:p w14:paraId="37F17E6F" w14:textId="77777777" w:rsidR="004A2669" w:rsidRPr="00A360FC" w:rsidRDefault="004A2669" w:rsidP="008D7EB7">
      <w:pPr>
        <w:pStyle w:val="Paragraphedeliste"/>
        <w:numPr>
          <w:ilvl w:val="0"/>
          <w:numId w:val="181"/>
        </w:numPr>
        <w:jc w:val="both"/>
      </w:pPr>
      <w:proofErr w:type="gramStart"/>
      <w:r w:rsidRPr="00A360FC">
        <w:t>budgétisés</w:t>
      </w:r>
      <w:proofErr w:type="gramEnd"/>
      <w:r w:rsidRPr="00A360FC">
        <w:t xml:space="preserve"> pour l'année budgétaire en cours.</w:t>
      </w:r>
    </w:p>
    <w:p w14:paraId="468C33C7" w14:textId="77777777" w:rsidR="00534E2F" w:rsidRDefault="00534E2F" w:rsidP="004A2669">
      <w:pPr>
        <w:jc w:val="both"/>
      </w:pPr>
    </w:p>
    <w:p w14:paraId="0BAB2FC4" w14:textId="7322EFEF" w:rsidR="00180096" w:rsidRDefault="004A2669" w:rsidP="008D7EB7">
      <w:pPr>
        <w:jc w:val="both"/>
        <w:rPr>
          <w:rFonts w:eastAsiaTheme="minorHAnsi"/>
          <w:lang w:eastAsia="en-US"/>
        </w:rPr>
      </w:pPr>
      <w:r w:rsidRPr="008D7EB7">
        <w:rPr>
          <w:rFonts w:eastAsiaTheme="minorHAnsi"/>
          <w:lang w:eastAsia="en-US"/>
        </w:rPr>
        <w:t xml:space="preserve">Dans la présentation du tableau, ces trois parties sont indépendantes les unes des autres : les résultats ne doivent pas être additionnés les uns aux autres dans la mesure où ils figurent déjà dans les reports. </w:t>
      </w:r>
    </w:p>
    <w:p w14:paraId="1E5BA53A" w14:textId="77777777" w:rsidR="005E467C" w:rsidRPr="008D7EB7" w:rsidRDefault="005E467C" w:rsidP="008D7EB7">
      <w:pPr>
        <w:rPr>
          <w:rFonts w:eastAsiaTheme="minorHAnsi"/>
          <w:lang w:eastAsia="en-US"/>
        </w:rPr>
      </w:pPr>
    </w:p>
    <w:p w14:paraId="51FD2F7D" w14:textId="77777777" w:rsidR="004A2669" w:rsidRPr="008D7EB7" w:rsidRDefault="004A2669" w:rsidP="008D7EB7">
      <w:pPr>
        <w:rPr>
          <w:rFonts w:eastAsiaTheme="minorHAnsi"/>
          <w:lang w:eastAsia="en-US"/>
        </w:rPr>
      </w:pPr>
      <w:r w:rsidRPr="008D7EB7">
        <w:rPr>
          <w:rFonts w:eastAsiaTheme="minorHAnsi"/>
          <w:lang w:eastAsia="en-US"/>
        </w:rPr>
        <w:t>Le volet du tableau de synthèse relatif à l'année précédant l'exercice (la partie centrale) comprend trois parties distinctes :</w:t>
      </w:r>
    </w:p>
    <w:p w14:paraId="3E0008E4" w14:textId="77777777" w:rsidR="005B4AFA" w:rsidRPr="00256E9F" w:rsidRDefault="005B4AFA" w:rsidP="004A2669">
      <w:pPr>
        <w:jc w:val="both"/>
        <w:rPr>
          <w:sz w:val="10"/>
          <w:szCs w:val="10"/>
        </w:rPr>
      </w:pPr>
    </w:p>
    <w:p w14:paraId="03A5DFDB" w14:textId="77777777" w:rsidR="004A2669" w:rsidRPr="00493337" w:rsidRDefault="00180096" w:rsidP="00E063FD">
      <w:pPr>
        <w:pStyle w:val="Paragraphedeliste"/>
        <w:numPr>
          <w:ilvl w:val="0"/>
          <w:numId w:val="15"/>
        </w:numPr>
        <w:tabs>
          <w:tab w:val="left" w:pos="216"/>
        </w:tabs>
        <w:jc w:val="both"/>
        <w:rPr>
          <w:i/>
          <w:u w:val="single"/>
        </w:rPr>
      </w:pPr>
      <w:r w:rsidRPr="008D7EB7">
        <w:rPr>
          <w:i/>
          <w:u w:val="single"/>
        </w:rPr>
        <w:t>A</w:t>
      </w:r>
      <w:r w:rsidR="004A2669" w:rsidRPr="008D7EB7">
        <w:rPr>
          <w:i/>
          <w:u w:val="single"/>
        </w:rPr>
        <w:t>près la dernière modification budgétaire N-1</w:t>
      </w:r>
    </w:p>
    <w:p w14:paraId="7293C829" w14:textId="77777777" w:rsidR="00493337" w:rsidRPr="00256E9F" w:rsidRDefault="00493337" w:rsidP="004A2669">
      <w:pPr>
        <w:jc w:val="both"/>
        <w:rPr>
          <w:sz w:val="10"/>
          <w:szCs w:val="10"/>
        </w:rPr>
      </w:pPr>
    </w:p>
    <w:p w14:paraId="0D8980D8" w14:textId="6FD251AA" w:rsidR="004A2669" w:rsidRPr="001E1353" w:rsidRDefault="004A2669" w:rsidP="004A2669">
      <w:pPr>
        <w:jc w:val="both"/>
      </w:pPr>
      <w:r w:rsidRPr="001E1353">
        <w:t>Cette partie reprend les prévisions de recettes ainsi que les prévisions de dépenses telles qu'elles ressortent de la dernière modification budgétaire arrêtée par le Conseil communal.</w:t>
      </w:r>
    </w:p>
    <w:p w14:paraId="6F209F5B" w14:textId="77777777" w:rsidR="004A2669" w:rsidRPr="001E1353" w:rsidRDefault="004A2669" w:rsidP="004A2669">
      <w:pPr>
        <w:jc w:val="both"/>
      </w:pPr>
    </w:p>
    <w:p w14:paraId="518E4B70" w14:textId="77777777" w:rsidR="004A2669" w:rsidRPr="00493337" w:rsidRDefault="00180096" w:rsidP="00E063FD">
      <w:pPr>
        <w:pStyle w:val="Paragraphedeliste"/>
        <w:numPr>
          <w:ilvl w:val="0"/>
          <w:numId w:val="15"/>
        </w:numPr>
        <w:tabs>
          <w:tab w:val="left" w:pos="216"/>
        </w:tabs>
        <w:jc w:val="both"/>
        <w:rPr>
          <w:i/>
          <w:u w:val="single"/>
        </w:rPr>
      </w:pPr>
      <w:r w:rsidRPr="008D7EB7">
        <w:rPr>
          <w:i/>
          <w:u w:val="single"/>
        </w:rPr>
        <w:t>A</w:t>
      </w:r>
      <w:r w:rsidR="004A2669" w:rsidRPr="008D7EB7">
        <w:rPr>
          <w:i/>
          <w:u w:val="single"/>
        </w:rPr>
        <w:t>daptations</w:t>
      </w:r>
    </w:p>
    <w:p w14:paraId="081243E7" w14:textId="77777777" w:rsidR="00493337" w:rsidRPr="00256E9F" w:rsidRDefault="00493337" w:rsidP="004A2669">
      <w:pPr>
        <w:jc w:val="both"/>
        <w:rPr>
          <w:sz w:val="10"/>
          <w:szCs w:val="10"/>
        </w:rPr>
      </w:pPr>
    </w:p>
    <w:p w14:paraId="5AF0D862" w14:textId="61C5DB02" w:rsidR="004A2669" w:rsidRDefault="004A2669" w:rsidP="00574D9B">
      <w:pPr>
        <w:jc w:val="both"/>
        <w:rPr>
          <w:rFonts w:eastAsiaTheme="minorHAnsi"/>
          <w:lang w:eastAsia="en-US"/>
        </w:rPr>
      </w:pPr>
      <w:r w:rsidRPr="008D7EB7">
        <w:rPr>
          <w:rFonts w:eastAsiaTheme="minorHAnsi"/>
          <w:lang w:eastAsia="en-US"/>
        </w:rPr>
        <w:t>Cette partie peut reprendre (son utilisation est totalement volontaire) des constats de recettes en plus ou en moins ou de dépenses en plus (uniquement des prélèvements d'office) ou en moins générés par des faits ou des situations qui sont intervenus en fin de l'exercice précédent (N-1) postérieurement à la dernière modification budgétaire (ce sont ces constats qui sont ici appelés « adaptations »).</w:t>
      </w:r>
    </w:p>
    <w:p w14:paraId="7E6FCB37" w14:textId="77777777" w:rsidR="00574D9B" w:rsidRPr="00256E9F" w:rsidRDefault="00574D9B">
      <w:pPr>
        <w:jc w:val="both"/>
        <w:rPr>
          <w:rFonts w:eastAsiaTheme="minorHAnsi"/>
          <w:sz w:val="10"/>
          <w:szCs w:val="10"/>
          <w:lang w:eastAsia="en-US"/>
        </w:rPr>
      </w:pPr>
    </w:p>
    <w:p w14:paraId="6CA0D435" w14:textId="3EDF56C1" w:rsidR="004A2669" w:rsidRDefault="004A2669" w:rsidP="00574D9B">
      <w:pPr>
        <w:jc w:val="both"/>
        <w:rPr>
          <w:rFonts w:eastAsiaTheme="minorHAnsi"/>
          <w:lang w:eastAsia="en-US"/>
        </w:rPr>
      </w:pPr>
      <w:r w:rsidRPr="008D7EB7">
        <w:rPr>
          <w:rFonts w:eastAsiaTheme="minorHAnsi"/>
          <w:lang w:eastAsia="en-US"/>
        </w:rPr>
        <w:t xml:space="preserve">Il ne s'agit donc en aucune façon de nouvelles modifications apportées au budget précédent (pour ce faire, une modification budgétaire classique était indispensable) mais d'une option liée à la nature du tableau de synthèse. </w:t>
      </w:r>
      <w:r w:rsidR="003A6B99" w:rsidRPr="008D7EB7">
        <w:rPr>
          <w:rFonts w:eastAsiaTheme="minorHAnsi"/>
          <w:lang w:eastAsia="en-US"/>
        </w:rPr>
        <w:t>Celui-ci est un document essentiellement technique et informatif (selon les él</w:t>
      </w:r>
      <w:r w:rsidR="00574D9B">
        <w:rPr>
          <w:rFonts w:eastAsiaTheme="minorHAnsi"/>
          <w:lang w:eastAsia="en-US"/>
        </w:rPr>
        <w:t>é</w:t>
      </w:r>
      <w:r w:rsidR="003A6B99" w:rsidRPr="008D7EB7">
        <w:rPr>
          <w:rFonts w:eastAsiaTheme="minorHAnsi"/>
          <w:lang w:eastAsia="en-US"/>
        </w:rPr>
        <w:t xml:space="preserve">ments qui le composent) qui </w:t>
      </w:r>
      <w:r w:rsidRPr="008D7EB7">
        <w:rPr>
          <w:rFonts w:eastAsiaTheme="minorHAnsi"/>
          <w:lang w:eastAsia="en-US"/>
        </w:rPr>
        <w:t>vise à présenter une situation présumée au 31 décembre N-1 la plus proche possible de la réalité</w:t>
      </w:r>
      <w:r w:rsidR="003A6B99" w:rsidRPr="008D7EB7">
        <w:rPr>
          <w:rFonts w:eastAsiaTheme="minorHAnsi"/>
          <w:lang w:eastAsia="en-US"/>
        </w:rPr>
        <w:t xml:space="preserve"> et qui dans ce but permet l’inscription anticipée d’éléments qui seront contenus dans les comptes N-1 (ces éléments constituent les adaptations qui peuvent figurer dans le tableau de synthèse)</w:t>
      </w:r>
      <w:r w:rsidRPr="008D7EB7">
        <w:rPr>
          <w:rFonts w:eastAsiaTheme="minorHAnsi"/>
          <w:lang w:eastAsia="en-US"/>
        </w:rPr>
        <w:t>.</w:t>
      </w:r>
    </w:p>
    <w:p w14:paraId="5E42B332" w14:textId="77777777" w:rsidR="00574D9B" w:rsidRPr="00256E9F" w:rsidRDefault="00574D9B">
      <w:pPr>
        <w:jc w:val="both"/>
        <w:rPr>
          <w:rFonts w:eastAsiaTheme="minorHAnsi"/>
          <w:sz w:val="10"/>
          <w:szCs w:val="10"/>
          <w:lang w:eastAsia="en-US"/>
        </w:rPr>
      </w:pPr>
    </w:p>
    <w:p w14:paraId="17AA36AD" w14:textId="3FE179E7" w:rsidR="003A6B99" w:rsidRDefault="003A6B99" w:rsidP="00574D9B">
      <w:pPr>
        <w:jc w:val="both"/>
        <w:rPr>
          <w:rFonts w:eastAsiaTheme="minorHAnsi"/>
          <w:lang w:eastAsia="en-US"/>
        </w:rPr>
      </w:pPr>
      <w:r w:rsidRPr="008D7EB7">
        <w:rPr>
          <w:rFonts w:eastAsiaTheme="minorHAnsi"/>
          <w:lang w:eastAsia="en-US"/>
        </w:rPr>
        <w:t>Ces adaptations constituent donc, au moment de leur inscription dans le tableau de synthèse, une réalité comptable, qui sera traduite dans les comptes. A ce stade du tableau de synthèse, toutefois, ces adaptations ne constituent qu’un élément informatif qui permet seulement d’affiner la situation présumée au 31 décembre N-1. L’approbation qui sanctionnera le budget de l’année N ne signifie donc pas automatiquement que toutes ces adaptations sont également approuvées. Ceci devra résulter de l’examen ultérieur des comptes N-1, susceptible à ce niveau de rejeter certaines de ces adaptations (à ce stade, ce seront des inscriptions comptables) pour vice de la légalité.</w:t>
      </w:r>
    </w:p>
    <w:p w14:paraId="480E6C9B" w14:textId="77777777" w:rsidR="00574D9B" w:rsidRPr="00256E9F" w:rsidRDefault="00574D9B">
      <w:pPr>
        <w:jc w:val="both"/>
        <w:rPr>
          <w:rFonts w:eastAsiaTheme="minorHAnsi"/>
          <w:sz w:val="10"/>
          <w:szCs w:val="10"/>
          <w:lang w:eastAsia="en-US"/>
        </w:rPr>
      </w:pPr>
    </w:p>
    <w:p w14:paraId="3D731C0C" w14:textId="35EB00AF" w:rsidR="004A2669" w:rsidRDefault="004A2669" w:rsidP="00574D9B">
      <w:pPr>
        <w:jc w:val="both"/>
        <w:rPr>
          <w:rFonts w:eastAsiaTheme="minorHAnsi"/>
          <w:lang w:eastAsia="en-US"/>
        </w:rPr>
      </w:pPr>
      <w:r w:rsidRPr="008D7EB7">
        <w:rPr>
          <w:rFonts w:eastAsiaTheme="minorHAnsi"/>
          <w:lang w:eastAsia="en-US"/>
        </w:rPr>
        <w:t xml:space="preserve">Dans la mesure où les adaptations ainsi apportées au tableau de synthèse constituent l'inscription anticipée d'éléments qui seront contenus dans les comptes N-1, il n'est permis de faire figurer comme adaptations que des enregistrements de droits constatés en plus ou en moins, ou des annulations de dépenses portées en compte après les dernières modifications </w:t>
      </w:r>
      <w:r w:rsidRPr="008D7EB7">
        <w:rPr>
          <w:rFonts w:eastAsiaTheme="minorHAnsi"/>
          <w:lang w:eastAsia="en-US"/>
        </w:rPr>
        <w:lastRenderedPageBreak/>
        <w:t>budgétaires de l'exercice précédent. Il n'est pas permis d'y imputer des augmentations de dépenses qui constitueraient en fait des dépassements de crédits existant (ceux-ci étant illégaux par définition, sauf circonstances spéciales), sauf s'il s'agit de prélèvements d'office.</w:t>
      </w:r>
    </w:p>
    <w:p w14:paraId="13861716" w14:textId="1A3074D8" w:rsidR="00574D9B" w:rsidRDefault="00574D9B" w:rsidP="00574D9B">
      <w:pPr>
        <w:jc w:val="both"/>
        <w:rPr>
          <w:rFonts w:eastAsiaTheme="minorHAnsi"/>
          <w:lang w:eastAsia="en-US"/>
        </w:rPr>
      </w:pPr>
    </w:p>
    <w:p w14:paraId="4FFF51BE" w14:textId="705D563B" w:rsidR="00574D9B" w:rsidRPr="00256E9F" w:rsidRDefault="00574D9B" w:rsidP="00574D9B">
      <w:pPr>
        <w:jc w:val="both"/>
        <w:rPr>
          <w:rFonts w:eastAsiaTheme="minorHAnsi"/>
          <w:b/>
          <w:bCs/>
          <w:lang w:eastAsia="en-US"/>
        </w:rPr>
      </w:pPr>
      <w:r w:rsidRPr="00256E9F">
        <w:rPr>
          <w:rFonts w:eastAsiaTheme="minorHAnsi"/>
          <w:b/>
          <w:bCs/>
          <w:lang w:eastAsia="en-US"/>
        </w:rPr>
        <w:t>Concernant le crédit spécial de recettes, je vous renvoie au chapitre spécifique lui consacré.</w:t>
      </w:r>
    </w:p>
    <w:p w14:paraId="4543D64F" w14:textId="568177AE" w:rsidR="00574D9B" w:rsidRDefault="00574D9B" w:rsidP="008D7EB7">
      <w:pPr>
        <w:rPr>
          <w:rFonts w:eastAsiaTheme="minorHAnsi" w:cs="Calibri"/>
          <w:color w:val="000000"/>
          <w:lang w:eastAsia="en-US"/>
        </w:rPr>
      </w:pPr>
    </w:p>
    <w:p w14:paraId="0407C038" w14:textId="21ED679E" w:rsidR="004A2669" w:rsidRDefault="004A2669">
      <w:pPr>
        <w:jc w:val="both"/>
        <w:rPr>
          <w:rFonts w:eastAsiaTheme="minorHAnsi"/>
          <w:lang w:eastAsia="en-US"/>
        </w:rPr>
      </w:pPr>
      <w:r w:rsidRPr="008D7EB7">
        <w:rPr>
          <w:rFonts w:eastAsiaTheme="minorHAnsi"/>
          <w:lang w:eastAsia="en-US"/>
        </w:rPr>
        <w:t>Ces adaptations seront, comme de coutume, détaillées dans un état récapitulatif signé par le directeur financier qui déclarera en avoir pris connaissance.</w:t>
      </w:r>
    </w:p>
    <w:p w14:paraId="2BACD8C3" w14:textId="77777777" w:rsidR="00C0555A" w:rsidRPr="008D7EB7" w:rsidRDefault="00C0555A">
      <w:pPr>
        <w:jc w:val="both"/>
        <w:rPr>
          <w:rFonts w:eastAsiaTheme="minorHAnsi"/>
          <w:lang w:eastAsia="en-US"/>
        </w:rPr>
      </w:pPr>
    </w:p>
    <w:p w14:paraId="3731F829" w14:textId="53A96CAE" w:rsidR="004A2669" w:rsidRDefault="004A2669" w:rsidP="00574D9B">
      <w:pPr>
        <w:jc w:val="both"/>
        <w:rPr>
          <w:rFonts w:eastAsiaTheme="minorHAnsi"/>
          <w:lang w:eastAsia="en-US"/>
        </w:rPr>
      </w:pPr>
      <w:r w:rsidRPr="008D7EB7">
        <w:rPr>
          <w:rFonts w:eastAsiaTheme="minorHAnsi"/>
          <w:lang w:eastAsia="en-US"/>
        </w:rPr>
        <w:t xml:space="preserve">En ce qui concerne les diminutions de crédits de dépenses, le Collège communal et le directeur financier devront tenir compte des ajustements repris en annexe du tableau de synthèse afin d'éviter d'engager, imputer et payer au-delà des limites des nouveaux crédits. </w:t>
      </w:r>
    </w:p>
    <w:p w14:paraId="25BB3FAE" w14:textId="77777777" w:rsidR="00574D9B" w:rsidRPr="008D7EB7" w:rsidRDefault="00574D9B">
      <w:pPr>
        <w:jc w:val="both"/>
        <w:rPr>
          <w:rFonts w:eastAsiaTheme="minorHAnsi"/>
          <w:lang w:eastAsia="en-US"/>
        </w:rPr>
      </w:pPr>
    </w:p>
    <w:p w14:paraId="015F86C8" w14:textId="1B86C257" w:rsidR="004A2669" w:rsidRDefault="004A2669" w:rsidP="00574D9B">
      <w:pPr>
        <w:jc w:val="both"/>
        <w:rPr>
          <w:rFonts w:eastAsiaTheme="minorHAnsi"/>
          <w:lang w:eastAsia="en-US"/>
        </w:rPr>
      </w:pPr>
      <w:r w:rsidRPr="008D7EB7">
        <w:rPr>
          <w:rFonts w:eastAsiaTheme="minorHAnsi"/>
          <w:lang w:eastAsia="en-US"/>
        </w:rPr>
        <w:t>Les adaptations ainsi reprises au tableau de synthèse ne peuvent venir modifier automatiquement les crédits budgétaires dans les programmes informatiques (ne s'agissant pas en effet de modifications budgétaires de ces crédits budgétaires mais uniquement d'anticipations de procédures comptables contenues ultérieurement dans les comptes du même exercice).</w:t>
      </w:r>
    </w:p>
    <w:p w14:paraId="48C248AC" w14:textId="77777777" w:rsidR="001E178F" w:rsidRPr="001E1353" w:rsidRDefault="001E178F">
      <w:pPr>
        <w:jc w:val="both"/>
      </w:pPr>
    </w:p>
    <w:p w14:paraId="606ADA28" w14:textId="6D831EBF" w:rsidR="004A2669" w:rsidRDefault="004A2669" w:rsidP="00574D9B">
      <w:pPr>
        <w:jc w:val="both"/>
        <w:rPr>
          <w:rFonts w:eastAsiaTheme="minorHAnsi"/>
          <w:lang w:eastAsia="en-US"/>
        </w:rPr>
      </w:pPr>
      <w:r w:rsidRPr="008D7EB7">
        <w:rPr>
          <w:rFonts w:eastAsiaTheme="minorHAnsi"/>
          <w:lang w:eastAsia="en-US"/>
        </w:rPr>
        <w:t>En tout état de cause, l'utilisation de ces adaptations est volontaire, mais il est néanmoins vivement conseillé d'utiliser le tableau de synthèse du service extraordinaire pour adapter à la réalité les investissements et leur financement.</w:t>
      </w:r>
    </w:p>
    <w:p w14:paraId="5A3F6FC9" w14:textId="77777777" w:rsidR="00574D9B" w:rsidRPr="008D7EB7" w:rsidRDefault="00574D9B">
      <w:pPr>
        <w:jc w:val="both"/>
        <w:rPr>
          <w:rFonts w:eastAsiaTheme="minorHAnsi"/>
          <w:lang w:eastAsia="en-US"/>
        </w:rPr>
      </w:pPr>
    </w:p>
    <w:p w14:paraId="7BAC5B3B" w14:textId="4EB04929" w:rsidR="004A2669" w:rsidRDefault="001E178F" w:rsidP="00574D9B">
      <w:pPr>
        <w:jc w:val="both"/>
        <w:rPr>
          <w:rFonts w:eastAsiaTheme="minorHAnsi"/>
          <w:lang w:eastAsia="en-US"/>
        </w:rPr>
      </w:pPr>
      <w:r w:rsidRPr="008D7EB7">
        <w:rPr>
          <w:rFonts w:eastAsiaTheme="minorHAnsi"/>
          <w:lang w:eastAsia="en-US"/>
        </w:rPr>
        <w:t>Enfin,</w:t>
      </w:r>
      <w:r w:rsidR="004A2669" w:rsidRPr="008D7EB7">
        <w:rPr>
          <w:rFonts w:eastAsiaTheme="minorHAnsi"/>
          <w:lang w:eastAsia="en-US"/>
        </w:rPr>
        <w:t xml:space="preserve"> il va de soi que ne peuvent figurer au tableau de synthèse du budget (année N) que des éléments qui se rapportent aux crédits du budget de l'exercice précédent (N-1), pas à des crédits reportés d'un budget antérieur</w:t>
      </w:r>
      <w:r w:rsidR="00A034D6" w:rsidRPr="008D7EB7">
        <w:rPr>
          <w:rFonts w:eastAsiaTheme="minorHAnsi"/>
          <w:lang w:eastAsia="en-US"/>
        </w:rPr>
        <w:t xml:space="preserve"> et que les crédits reportés de l’exercice N-1 ne peuvent pas être modifiés au tableau de synthèse du budget N.</w:t>
      </w:r>
    </w:p>
    <w:p w14:paraId="5BF38D40" w14:textId="213C39C8" w:rsidR="00574D9B" w:rsidRDefault="00574D9B">
      <w:pPr>
        <w:jc w:val="both"/>
        <w:rPr>
          <w:rFonts w:eastAsiaTheme="minorHAnsi"/>
          <w:lang w:eastAsia="en-US"/>
        </w:rPr>
      </w:pPr>
    </w:p>
    <w:p w14:paraId="1E816794" w14:textId="418C2082" w:rsidR="00933C0B" w:rsidRDefault="00933C0B">
      <w:pPr>
        <w:jc w:val="both"/>
        <w:rPr>
          <w:rFonts w:eastAsiaTheme="minorHAnsi"/>
          <w:lang w:eastAsia="en-US"/>
        </w:rPr>
      </w:pPr>
      <w:r>
        <w:rPr>
          <w:lang w:val="fr-BE"/>
        </w:rPr>
        <w:t xml:space="preserve">Je rappelle </w:t>
      </w:r>
      <w:r w:rsidR="00121BB0">
        <w:rPr>
          <w:lang w:val="fr-BE"/>
        </w:rPr>
        <w:t xml:space="preserve">également </w:t>
      </w:r>
      <w:r>
        <w:rPr>
          <w:lang w:val="fr-BE"/>
        </w:rPr>
        <w:t xml:space="preserve">que </w:t>
      </w:r>
      <w:r w:rsidRPr="00121BB0">
        <w:rPr>
          <w:lang w:val="fr-BE"/>
        </w:rPr>
        <w:t xml:space="preserve">le crédit spécial de recettes inscrit au budget N-1 </w:t>
      </w:r>
      <w:r w:rsidR="006D2A01">
        <w:rPr>
          <w:lang w:val="fr-BE"/>
        </w:rPr>
        <w:t>(= 2022) a dû</w:t>
      </w:r>
      <w:r w:rsidR="00CD0273" w:rsidRPr="00121BB0">
        <w:rPr>
          <w:lang w:val="fr-BE"/>
        </w:rPr>
        <w:t xml:space="preserve"> être revu à la baisse progressivement lors de chaque modification budgétaire et </w:t>
      </w:r>
      <w:r w:rsidRPr="00121BB0">
        <w:rPr>
          <w:b/>
          <w:bCs/>
          <w:lang w:val="fr-BE"/>
        </w:rPr>
        <w:t>doit être supprimé</w:t>
      </w:r>
      <w:r w:rsidRPr="00121BB0">
        <w:rPr>
          <w:lang w:val="fr-BE"/>
        </w:rPr>
        <w:t xml:space="preserve"> au </w:t>
      </w:r>
      <w:r w:rsidR="006D2A01">
        <w:rPr>
          <w:lang w:val="fr-BE"/>
        </w:rPr>
        <w:t xml:space="preserve">tableau de synthèse du </w:t>
      </w:r>
      <w:r w:rsidRPr="00121BB0">
        <w:rPr>
          <w:lang w:val="fr-BE"/>
        </w:rPr>
        <w:t>budget de l’exercice N</w:t>
      </w:r>
      <w:r w:rsidR="006D2A01">
        <w:rPr>
          <w:lang w:val="fr-BE"/>
        </w:rPr>
        <w:t xml:space="preserve"> (= 2023)</w:t>
      </w:r>
      <w:r w:rsidRPr="00121BB0">
        <w:rPr>
          <w:lang w:val="fr-BE"/>
        </w:rPr>
        <w:t>.</w:t>
      </w:r>
      <w:r w:rsidR="001B635A" w:rsidRPr="001B635A">
        <w:rPr>
          <w:rFonts w:eastAsiaTheme="minorHAnsi"/>
          <w:lang w:eastAsia="en-US"/>
        </w:rPr>
        <w:t xml:space="preserve"> </w:t>
      </w:r>
      <w:r w:rsidR="001B635A">
        <w:rPr>
          <w:rFonts w:eastAsiaTheme="minorHAnsi"/>
          <w:lang w:eastAsia="en-US"/>
        </w:rPr>
        <w:t xml:space="preserve">Il en est de même de la recette fictive inscrite aux </w:t>
      </w:r>
      <w:r w:rsidR="001B635A" w:rsidRPr="008D7EB7">
        <w:rPr>
          <w:rFonts w:eastAsiaTheme="minorHAnsi"/>
          <w:lang w:eastAsia="en-US"/>
        </w:rPr>
        <w:t>antérieur</w:t>
      </w:r>
      <w:r w:rsidR="001B635A">
        <w:rPr>
          <w:rFonts w:eastAsiaTheme="minorHAnsi"/>
          <w:lang w:eastAsia="en-US"/>
        </w:rPr>
        <w:t>s de maximum 95 % des droits restants à percevoir en matière d’</w:t>
      </w:r>
      <w:r w:rsidR="001B635A" w:rsidRPr="008D7EB7">
        <w:rPr>
          <w:rFonts w:eastAsiaTheme="minorHAnsi"/>
          <w:lang w:eastAsia="en-US"/>
        </w:rPr>
        <w:t>additionnels au précompte immobilier restant à percevoir</w:t>
      </w:r>
      <w:r w:rsidR="007A0411" w:rsidRPr="007A0411">
        <w:rPr>
          <w:b/>
          <w:bCs/>
          <w:lang w:val="fr-BE"/>
        </w:rPr>
        <w:t xml:space="preserve"> </w:t>
      </w:r>
      <w:r w:rsidR="00B60E92">
        <w:rPr>
          <w:b/>
          <w:bCs/>
          <w:lang w:val="fr-BE"/>
        </w:rPr>
        <w:t xml:space="preserve">qui </w:t>
      </w:r>
      <w:r w:rsidR="007A0411" w:rsidRPr="00B225DE">
        <w:rPr>
          <w:b/>
          <w:bCs/>
          <w:lang w:val="fr-BE"/>
        </w:rPr>
        <w:t>doit être supprimé</w:t>
      </w:r>
      <w:r w:rsidR="00B60E92">
        <w:rPr>
          <w:b/>
          <w:bCs/>
          <w:lang w:val="fr-BE"/>
        </w:rPr>
        <w:t>e</w:t>
      </w:r>
      <w:r w:rsidR="007A0411">
        <w:rPr>
          <w:lang w:val="fr-BE"/>
        </w:rPr>
        <w:t xml:space="preserve"> au </w:t>
      </w:r>
      <w:r w:rsidR="006D2A01">
        <w:rPr>
          <w:lang w:val="fr-BE"/>
        </w:rPr>
        <w:t xml:space="preserve">tableau de synthèse du </w:t>
      </w:r>
      <w:r w:rsidR="007A0411">
        <w:rPr>
          <w:lang w:val="fr-BE"/>
        </w:rPr>
        <w:t>budget de l’exercice N</w:t>
      </w:r>
      <w:r w:rsidR="006D2A01">
        <w:rPr>
          <w:lang w:val="fr-BE"/>
        </w:rPr>
        <w:t xml:space="preserve"> (= 2023)</w:t>
      </w:r>
      <w:r w:rsidR="001B635A">
        <w:rPr>
          <w:rFonts w:eastAsiaTheme="minorHAnsi"/>
          <w:lang w:eastAsia="en-US"/>
        </w:rPr>
        <w:t>.</w:t>
      </w:r>
    </w:p>
    <w:p w14:paraId="55433631" w14:textId="4CF9E604" w:rsidR="00D31BBA" w:rsidRDefault="00D31BBA">
      <w:pPr>
        <w:jc w:val="both"/>
        <w:rPr>
          <w:rFonts w:eastAsiaTheme="minorHAnsi"/>
          <w:lang w:eastAsia="en-US"/>
        </w:rPr>
      </w:pPr>
    </w:p>
    <w:p w14:paraId="29F9FB3A" w14:textId="27725CFC" w:rsidR="00D31BBA" w:rsidRDefault="00617612">
      <w:pPr>
        <w:jc w:val="both"/>
        <w:rPr>
          <w:rFonts w:eastAsiaTheme="minorHAnsi"/>
          <w:lang w:eastAsia="en-US"/>
        </w:rPr>
      </w:pPr>
      <w:r>
        <w:rPr>
          <w:rFonts w:eastAsiaTheme="minorHAnsi"/>
          <w:lang w:eastAsia="en-US"/>
        </w:rPr>
        <w:t>Exemple :</w:t>
      </w:r>
    </w:p>
    <w:p w14:paraId="44BC478A" w14:textId="2BC38C31" w:rsidR="00617612" w:rsidRPr="00617612" w:rsidRDefault="00617612" w:rsidP="00256E9F">
      <w:pPr>
        <w:ind w:left="1418" w:hanging="1418"/>
        <w:jc w:val="both"/>
        <w:rPr>
          <w:rFonts w:eastAsiaTheme="minorHAnsi"/>
          <w:lang w:val="fr-BE" w:eastAsia="en-US"/>
        </w:rPr>
      </w:pPr>
      <w:r w:rsidRPr="00617612">
        <w:rPr>
          <w:rFonts w:eastAsiaTheme="minorHAnsi"/>
          <w:lang w:val="fr-BE" w:eastAsia="en-US"/>
        </w:rPr>
        <w:t xml:space="preserve">Budget </w:t>
      </w:r>
      <w:r>
        <w:rPr>
          <w:rFonts w:eastAsiaTheme="minorHAnsi"/>
          <w:lang w:val="fr-BE" w:eastAsia="en-US"/>
        </w:rPr>
        <w:t xml:space="preserve">année </w:t>
      </w:r>
      <w:r w:rsidRPr="00617612">
        <w:rPr>
          <w:rFonts w:eastAsiaTheme="minorHAnsi"/>
          <w:lang w:val="fr-BE" w:eastAsia="en-US"/>
        </w:rPr>
        <w:t xml:space="preserve">x : boni global de 4M qui comprend aux antérieurs un crédit fictif de 95% des droits </w:t>
      </w:r>
      <w:r>
        <w:rPr>
          <w:rFonts w:eastAsiaTheme="minorHAnsi"/>
          <w:lang w:val="fr-BE" w:eastAsia="en-US"/>
        </w:rPr>
        <w:t xml:space="preserve">de </w:t>
      </w:r>
      <w:r w:rsidRPr="00617612">
        <w:rPr>
          <w:rFonts w:eastAsiaTheme="minorHAnsi"/>
          <w:lang w:val="fr-BE" w:eastAsia="en-US"/>
        </w:rPr>
        <w:t>P</w:t>
      </w:r>
      <w:r>
        <w:rPr>
          <w:rFonts w:eastAsiaTheme="minorHAnsi"/>
          <w:lang w:val="fr-BE" w:eastAsia="en-US"/>
        </w:rPr>
        <w:t>récompte immobilier</w:t>
      </w:r>
      <w:r w:rsidRPr="00617612">
        <w:rPr>
          <w:rFonts w:eastAsiaTheme="minorHAnsi"/>
          <w:lang w:val="fr-BE" w:eastAsia="en-US"/>
        </w:rPr>
        <w:t xml:space="preserve"> en instance de 3.5 M – ce crédit fictif n’est pas constaté et s’annule au 31/12</w:t>
      </w:r>
    </w:p>
    <w:p w14:paraId="06115D51" w14:textId="3A357307" w:rsidR="00617612" w:rsidRPr="00617612" w:rsidRDefault="00617612" w:rsidP="00617612">
      <w:pPr>
        <w:jc w:val="both"/>
        <w:rPr>
          <w:rFonts w:eastAsiaTheme="minorHAnsi"/>
          <w:lang w:val="fr-BE" w:eastAsia="en-US"/>
        </w:rPr>
      </w:pPr>
      <w:r>
        <w:rPr>
          <w:rFonts w:eastAsiaTheme="minorHAnsi"/>
          <w:lang w:val="fr-BE" w:eastAsia="en-US"/>
        </w:rPr>
        <w:tab/>
      </w:r>
      <w:r>
        <w:rPr>
          <w:rFonts w:eastAsiaTheme="minorHAnsi"/>
          <w:lang w:val="fr-BE" w:eastAsia="en-US"/>
        </w:rPr>
        <w:tab/>
      </w:r>
      <w:r w:rsidRPr="00617612">
        <w:rPr>
          <w:rFonts w:eastAsiaTheme="minorHAnsi"/>
          <w:lang w:val="fr-BE" w:eastAsia="en-US"/>
        </w:rPr>
        <w:t>Donc</w:t>
      </w:r>
      <w:r>
        <w:rPr>
          <w:rFonts w:eastAsiaTheme="minorHAnsi"/>
          <w:lang w:val="fr-BE" w:eastAsia="en-US"/>
        </w:rPr>
        <w:t xml:space="preserve">, </w:t>
      </w:r>
      <w:proofErr w:type="gramStart"/>
      <w:r w:rsidR="00B60E92">
        <w:rPr>
          <w:rFonts w:eastAsiaTheme="minorHAnsi"/>
          <w:lang w:val="fr-BE" w:eastAsia="en-US"/>
        </w:rPr>
        <w:t>au</w:t>
      </w:r>
      <w:r>
        <w:rPr>
          <w:rFonts w:eastAsiaTheme="minorHAnsi"/>
          <w:lang w:val="fr-BE" w:eastAsia="en-US"/>
        </w:rPr>
        <w:t xml:space="preserve"> final</w:t>
      </w:r>
      <w:proofErr w:type="gramEnd"/>
      <w:r>
        <w:rPr>
          <w:rFonts w:eastAsiaTheme="minorHAnsi"/>
          <w:lang w:val="fr-BE" w:eastAsia="en-US"/>
        </w:rPr>
        <w:t>, il y a un report</w:t>
      </w:r>
      <w:r w:rsidRPr="00617612">
        <w:rPr>
          <w:rFonts w:eastAsiaTheme="minorHAnsi"/>
          <w:lang w:val="fr-BE" w:eastAsia="en-US"/>
        </w:rPr>
        <w:t xml:space="preserve"> </w:t>
      </w:r>
      <w:r>
        <w:rPr>
          <w:rFonts w:eastAsiaTheme="minorHAnsi"/>
          <w:lang w:val="fr-BE" w:eastAsia="en-US"/>
        </w:rPr>
        <w:t>d’</w:t>
      </w:r>
      <w:r w:rsidRPr="00617612">
        <w:rPr>
          <w:rFonts w:eastAsiaTheme="minorHAnsi"/>
          <w:lang w:val="fr-BE" w:eastAsia="en-US"/>
        </w:rPr>
        <w:t>un boni antérieur de 0.5 M au budget x + 1</w:t>
      </w:r>
    </w:p>
    <w:p w14:paraId="1A6C9C4B" w14:textId="25E028E7" w:rsidR="00617612" w:rsidRPr="00617612" w:rsidRDefault="00617612" w:rsidP="00256E9F">
      <w:pPr>
        <w:ind w:left="1418" w:hanging="1418"/>
        <w:jc w:val="both"/>
        <w:rPr>
          <w:rFonts w:eastAsiaTheme="minorHAnsi"/>
          <w:lang w:val="fr-BE" w:eastAsia="en-US"/>
        </w:rPr>
      </w:pPr>
      <w:r w:rsidRPr="00617612">
        <w:rPr>
          <w:rFonts w:eastAsiaTheme="minorHAnsi"/>
          <w:lang w:val="fr-BE" w:eastAsia="en-US"/>
        </w:rPr>
        <w:t xml:space="preserve">Budget x + 1 : </w:t>
      </w:r>
      <w:r w:rsidR="00B060A9">
        <w:rPr>
          <w:rFonts w:eastAsiaTheme="minorHAnsi"/>
          <w:lang w:val="fr-BE" w:eastAsia="en-US"/>
        </w:rPr>
        <w:t>le</w:t>
      </w:r>
      <w:r w:rsidRPr="00617612">
        <w:rPr>
          <w:rFonts w:eastAsiaTheme="minorHAnsi"/>
          <w:lang w:val="fr-BE" w:eastAsia="en-US"/>
        </w:rPr>
        <w:t xml:space="preserve"> boni antérieur n’est plus que de 0.5</w:t>
      </w:r>
      <w:r w:rsidR="00B060A9">
        <w:rPr>
          <w:rFonts w:eastAsiaTheme="minorHAnsi"/>
          <w:lang w:val="fr-BE" w:eastAsia="en-US"/>
        </w:rPr>
        <w:t xml:space="preserve"> M.</w:t>
      </w:r>
      <w:r w:rsidRPr="00617612">
        <w:rPr>
          <w:rFonts w:eastAsiaTheme="minorHAnsi"/>
          <w:lang w:val="fr-BE" w:eastAsia="en-US"/>
        </w:rPr>
        <w:t xml:space="preserve"> </w:t>
      </w:r>
      <w:r w:rsidR="00B060A9">
        <w:rPr>
          <w:rFonts w:eastAsiaTheme="minorHAnsi"/>
          <w:lang w:val="fr-BE" w:eastAsia="en-US"/>
        </w:rPr>
        <w:t>M</w:t>
      </w:r>
      <w:r w:rsidRPr="00617612">
        <w:rPr>
          <w:rFonts w:eastAsiaTheme="minorHAnsi"/>
          <w:lang w:val="fr-BE" w:eastAsia="en-US"/>
        </w:rPr>
        <w:t>ais</w:t>
      </w:r>
      <w:r w:rsidR="00B060A9">
        <w:rPr>
          <w:rFonts w:eastAsiaTheme="minorHAnsi"/>
          <w:lang w:val="fr-BE" w:eastAsia="en-US"/>
        </w:rPr>
        <w:t>, le cas échéant, il est possible de</w:t>
      </w:r>
      <w:r w:rsidRPr="00617612">
        <w:rPr>
          <w:rFonts w:eastAsiaTheme="minorHAnsi"/>
          <w:lang w:val="fr-BE" w:eastAsia="en-US"/>
        </w:rPr>
        <w:t xml:space="preserve"> reprendre un nouveau crédit fictif sur 95% </w:t>
      </w:r>
      <w:r w:rsidR="00B060A9">
        <w:rPr>
          <w:rFonts w:eastAsiaTheme="minorHAnsi"/>
          <w:lang w:val="fr-BE" w:eastAsia="en-US"/>
        </w:rPr>
        <w:t xml:space="preserve">du </w:t>
      </w:r>
      <w:r w:rsidRPr="00617612">
        <w:rPr>
          <w:rFonts w:eastAsiaTheme="minorHAnsi"/>
          <w:lang w:val="fr-BE" w:eastAsia="en-US"/>
        </w:rPr>
        <w:t>P</w:t>
      </w:r>
      <w:r w:rsidR="00B060A9">
        <w:rPr>
          <w:rFonts w:eastAsiaTheme="minorHAnsi"/>
          <w:lang w:val="fr-BE" w:eastAsia="en-US"/>
        </w:rPr>
        <w:t xml:space="preserve">récompte immobilier </w:t>
      </w:r>
      <w:r w:rsidRPr="00617612">
        <w:rPr>
          <w:rFonts w:eastAsiaTheme="minorHAnsi"/>
          <w:lang w:val="fr-BE" w:eastAsia="en-US"/>
        </w:rPr>
        <w:t>en instance</w:t>
      </w:r>
      <w:r w:rsidR="00B060A9">
        <w:rPr>
          <w:rFonts w:eastAsiaTheme="minorHAnsi"/>
          <w:lang w:val="fr-BE" w:eastAsia="en-US"/>
        </w:rPr>
        <w:t>.</w:t>
      </w:r>
    </w:p>
    <w:p w14:paraId="7C257D2A" w14:textId="77777777" w:rsidR="00933C0B" w:rsidRPr="008D7EB7" w:rsidRDefault="00933C0B">
      <w:pPr>
        <w:jc w:val="both"/>
        <w:rPr>
          <w:rFonts w:eastAsiaTheme="minorHAnsi"/>
          <w:lang w:eastAsia="en-US"/>
        </w:rPr>
      </w:pPr>
    </w:p>
    <w:p w14:paraId="1E34D6C1" w14:textId="477B933A" w:rsidR="006A2F4A" w:rsidRPr="008D7EB7" w:rsidRDefault="00E24A33">
      <w:pPr>
        <w:jc w:val="both"/>
        <w:rPr>
          <w:rFonts w:eastAsiaTheme="minorHAnsi"/>
          <w:b/>
          <w:bCs/>
          <w:u w:val="single"/>
          <w:lang w:eastAsia="en-US"/>
        </w:rPr>
      </w:pPr>
      <w:r w:rsidRPr="008D7EB7">
        <w:rPr>
          <w:rFonts w:eastAsiaTheme="minorHAnsi"/>
          <w:b/>
          <w:bCs/>
          <w:u w:val="single"/>
          <w:lang w:eastAsia="en-US"/>
        </w:rPr>
        <w:t xml:space="preserve">La réestimation IPP de l’exercice N-1 doit être intégrée au tableau de synthèse du budget N si elle n’a pas été prise en compte lors des dernières modifications budgétaires N-1. </w:t>
      </w:r>
    </w:p>
    <w:p w14:paraId="148D41DF" w14:textId="77777777" w:rsidR="00493337" w:rsidRDefault="00493337" w:rsidP="008D7EB7">
      <w:pPr>
        <w:jc w:val="both"/>
      </w:pPr>
    </w:p>
    <w:p w14:paraId="6C1F6860" w14:textId="77777777" w:rsidR="004A2669" w:rsidRPr="008D7EB7" w:rsidRDefault="00180096" w:rsidP="00E063FD">
      <w:pPr>
        <w:pStyle w:val="Paragraphedeliste"/>
        <w:numPr>
          <w:ilvl w:val="0"/>
          <w:numId w:val="15"/>
        </w:numPr>
        <w:jc w:val="both"/>
        <w:rPr>
          <w:i/>
          <w:u w:val="single"/>
        </w:rPr>
      </w:pPr>
      <w:r w:rsidRPr="008D7EB7">
        <w:rPr>
          <w:i/>
          <w:u w:val="single"/>
        </w:rPr>
        <w:lastRenderedPageBreak/>
        <w:t>A</w:t>
      </w:r>
      <w:r w:rsidR="004A2669" w:rsidRPr="008D7EB7">
        <w:rPr>
          <w:i/>
          <w:u w:val="single"/>
        </w:rPr>
        <w:t>près adaptations</w:t>
      </w:r>
    </w:p>
    <w:p w14:paraId="5C7EAF23" w14:textId="77777777" w:rsidR="00493337" w:rsidRDefault="00493337" w:rsidP="004A2669">
      <w:pPr>
        <w:jc w:val="both"/>
      </w:pPr>
    </w:p>
    <w:p w14:paraId="0BF428E8" w14:textId="7085EA69" w:rsidR="004A2669" w:rsidRPr="001E1353" w:rsidRDefault="004A2669" w:rsidP="004A2669">
      <w:pPr>
        <w:jc w:val="both"/>
      </w:pPr>
      <w:r w:rsidRPr="001E1353">
        <w:t xml:space="preserve">Cette partie reprend le total des deux parties précédentes. </w:t>
      </w:r>
    </w:p>
    <w:p w14:paraId="30D213D7" w14:textId="77777777" w:rsidR="004A2669" w:rsidRPr="001E1353" w:rsidRDefault="004A2669" w:rsidP="004A2669">
      <w:pPr>
        <w:jc w:val="both"/>
      </w:pPr>
    </w:p>
    <w:p w14:paraId="064FE47E" w14:textId="77777777" w:rsidR="004A2669" w:rsidRPr="001E1353" w:rsidRDefault="004A2669" w:rsidP="004A2669">
      <w:pPr>
        <w:jc w:val="both"/>
      </w:pPr>
      <w:r w:rsidRPr="001E1353">
        <w:t>La partie du tableau de synthèse réservée au budget de l'exercice reprend les prévisions de recettes et de dépenses de l'exercice. La différence entre ces deux éléments donne le résultat budgétaire présumé à la date du 31 décembre de l'exercice (année N).</w:t>
      </w:r>
    </w:p>
    <w:p w14:paraId="41FD70E4" w14:textId="77777777" w:rsidR="004A2669" w:rsidRPr="00397D73" w:rsidRDefault="004A2669" w:rsidP="00AE6EFD">
      <w:pPr>
        <w:pStyle w:val="Sam2"/>
        <w:rPr>
          <w:lang w:val="fr-FR"/>
        </w:rPr>
      </w:pPr>
      <w:bookmarkStart w:id="541" w:name="_Toc74557562"/>
      <w:r w:rsidRPr="00E063FD">
        <w:rPr>
          <w:lang w:val="fr-FR"/>
        </w:rPr>
        <w:t>Annexes</w:t>
      </w:r>
      <w:bookmarkEnd w:id="541"/>
    </w:p>
    <w:p w14:paraId="32E0C0BB" w14:textId="5747750E" w:rsidR="004A2669" w:rsidRDefault="004A2669" w:rsidP="008D7EB7">
      <w:pPr>
        <w:jc w:val="both"/>
      </w:pPr>
      <w:r w:rsidRPr="008D7EB7">
        <w:t>P</w:t>
      </w:r>
      <w:r w:rsidR="001E178F" w:rsidRPr="008D7EB7">
        <w:t>our rappel, le p</w:t>
      </w:r>
      <w:r w:rsidRPr="008D7EB7">
        <w:t>oint de départ du délai de tutelle</w:t>
      </w:r>
      <w:r w:rsidR="001E178F" w:rsidRPr="008D7EB7">
        <w:t xml:space="preserve"> est la</w:t>
      </w:r>
      <w:r w:rsidRPr="008D7EB7">
        <w:t xml:space="preserve"> date de réception de l'ensemble des pièces justificatives</w:t>
      </w:r>
      <w:r w:rsidR="001E178F" w:rsidRPr="008D7EB7">
        <w:t xml:space="preserve">. </w:t>
      </w:r>
    </w:p>
    <w:p w14:paraId="6B626BAE" w14:textId="77777777" w:rsidR="00FD0BF2" w:rsidRPr="00FD0BF2" w:rsidRDefault="00FD0BF2">
      <w:pPr>
        <w:jc w:val="both"/>
      </w:pPr>
    </w:p>
    <w:p w14:paraId="0950B4E0" w14:textId="2B30EECD" w:rsidR="00386116" w:rsidRPr="00FD0BF2" w:rsidRDefault="00386116">
      <w:pPr>
        <w:jc w:val="both"/>
      </w:pPr>
      <w:r w:rsidRPr="008D7EB7">
        <w:t>Vous trouverez ci-dessous la liste des pièces justificatives obligatoires pour les budgets et modifications budgétaires des communes et de leurs régies.</w:t>
      </w:r>
    </w:p>
    <w:p w14:paraId="70FB7447" w14:textId="764B11B9" w:rsidR="00493337" w:rsidRDefault="00493337">
      <w:pPr>
        <w:pStyle w:val="Sam2"/>
        <w:numPr>
          <w:ilvl w:val="0"/>
          <w:numId w:val="0"/>
        </w:num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2"/>
        <w:gridCol w:w="9356"/>
      </w:tblGrid>
      <w:tr w:rsidR="007E25B1" w:rsidRPr="0003325F" w14:paraId="611EA5DF" w14:textId="77777777" w:rsidTr="008D7EB7">
        <w:trPr>
          <w:jc w:val="center"/>
        </w:trPr>
        <w:tc>
          <w:tcPr>
            <w:tcW w:w="10173" w:type="dxa"/>
            <w:gridSpan w:val="3"/>
            <w:shd w:val="pct12" w:color="auto" w:fill="auto"/>
          </w:tcPr>
          <w:p w14:paraId="4C042ADC" w14:textId="77777777" w:rsidR="007E25B1" w:rsidRPr="0003325F" w:rsidRDefault="007E25B1" w:rsidP="00C90985">
            <w:pPr>
              <w:jc w:val="center"/>
              <w:rPr>
                <w:b/>
                <w:lang w:val="fr-BE"/>
              </w:rPr>
            </w:pPr>
            <w:r w:rsidRPr="0003325F">
              <w:rPr>
                <w:b/>
                <w:lang w:val="fr-BE"/>
              </w:rPr>
              <w:t xml:space="preserve">BUDGET INITIAL COMMUNAL </w:t>
            </w:r>
          </w:p>
          <w:p w14:paraId="56ED1A81" w14:textId="77777777" w:rsidR="007E25B1" w:rsidRPr="0003325F" w:rsidRDefault="007E25B1" w:rsidP="00C90985">
            <w:pPr>
              <w:jc w:val="center"/>
              <w:rPr>
                <w:b/>
                <w:lang w:val="fr-BE"/>
              </w:rPr>
            </w:pPr>
            <w:r w:rsidRPr="0003325F">
              <w:rPr>
                <w:b/>
                <w:lang w:val="fr-BE"/>
              </w:rPr>
              <w:t>LISTE DES PIECES JUSTIFICATIVES OBLIGATOIRES</w:t>
            </w:r>
          </w:p>
        </w:tc>
      </w:tr>
      <w:tr w:rsidR="007E25B1" w:rsidRPr="0003325F" w14:paraId="71409D41" w14:textId="77777777" w:rsidTr="008D7EB7">
        <w:trPr>
          <w:jc w:val="center"/>
        </w:trPr>
        <w:tc>
          <w:tcPr>
            <w:tcW w:w="817" w:type="dxa"/>
            <w:gridSpan w:val="2"/>
          </w:tcPr>
          <w:p w14:paraId="6FCE4223" w14:textId="77777777" w:rsidR="007E25B1" w:rsidRPr="0003325F" w:rsidRDefault="007E25B1" w:rsidP="00C90985">
            <w:pPr>
              <w:jc w:val="center"/>
            </w:pPr>
            <w:r w:rsidRPr="0003325F">
              <w:t>1</w:t>
            </w:r>
          </w:p>
        </w:tc>
        <w:tc>
          <w:tcPr>
            <w:tcW w:w="9356" w:type="dxa"/>
          </w:tcPr>
          <w:p w14:paraId="56CC28A8" w14:textId="3BD10A0F" w:rsidR="007E25B1" w:rsidRPr="008D7EB7" w:rsidRDefault="007E25B1" w:rsidP="008D7EB7">
            <w:pPr>
              <w:jc w:val="both"/>
            </w:pPr>
            <w:r w:rsidRPr="008D7EB7">
              <w:t xml:space="preserve">La délibération in extenso du Conseil communal - Modèle disponible sur le portail des pouvoirs locaux </w:t>
            </w:r>
            <w:r w:rsidR="00C701C2" w:rsidRPr="008D7EB7">
              <w:t xml:space="preserve">ou à générer au moyen de l’application </w:t>
            </w:r>
            <w:proofErr w:type="spellStart"/>
            <w:r w:rsidRPr="008D7EB7">
              <w:t>eComptes</w:t>
            </w:r>
            <w:proofErr w:type="spellEnd"/>
            <w:r w:rsidR="00493337">
              <w:t>.</w:t>
            </w:r>
            <w:r w:rsidR="00F23326" w:rsidRPr="008D7EB7">
              <w:t xml:space="preserve"> </w:t>
            </w:r>
          </w:p>
        </w:tc>
      </w:tr>
      <w:tr w:rsidR="007E25B1" w:rsidRPr="0003325F" w14:paraId="2B1D24A1" w14:textId="77777777" w:rsidTr="008D7EB7">
        <w:trPr>
          <w:jc w:val="center"/>
        </w:trPr>
        <w:tc>
          <w:tcPr>
            <w:tcW w:w="817" w:type="dxa"/>
            <w:gridSpan w:val="2"/>
          </w:tcPr>
          <w:p w14:paraId="56DDB9DA" w14:textId="77777777" w:rsidR="007E25B1" w:rsidRPr="0003325F" w:rsidRDefault="007E25B1" w:rsidP="00C90985">
            <w:pPr>
              <w:jc w:val="center"/>
            </w:pPr>
            <w:r w:rsidRPr="0003325F">
              <w:t>2</w:t>
            </w:r>
          </w:p>
        </w:tc>
        <w:tc>
          <w:tcPr>
            <w:tcW w:w="9356" w:type="dxa"/>
          </w:tcPr>
          <w:p w14:paraId="132FC820" w14:textId="12FA7D95" w:rsidR="007E25B1" w:rsidRPr="0003325F" w:rsidRDefault="007E25B1" w:rsidP="008D7EB7">
            <w:pPr>
              <w:jc w:val="both"/>
            </w:pPr>
            <w:r w:rsidRPr="0003325F">
              <w:t>Le fichier SIC</w:t>
            </w:r>
            <w:r w:rsidR="0096501C">
              <w:t xml:space="preserve"> </w:t>
            </w:r>
            <w:r w:rsidR="0096501C" w:rsidRPr="008D7EB7">
              <w:t xml:space="preserve">généré par l’application </w:t>
            </w:r>
            <w:proofErr w:type="spellStart"/>
            <w:r w:rsidR="0096501C" w:rsidRPr="008D7EB7">
              <w:t>eComptes</w:t>
            </w:r>
            <w:proofErr w:type="spellEnd"/>
            <w:r w:rsidR="00493337">
              <w:t>.</w:t>
            </w:r>
          </w:p>
        </w:tc>
      </w:tr>
      <w:tr w:rsidR="007E25B1" w:rsidRPr="0003325F" w14:paraId="79E2F86A" w14:textId="77777777" w:rsidTr="008D7EB7">
        <w:trPr>
          <w:jc w:val="center"/>
        </w:trPr>
        <w:tc>
          <w:tcPr>
            <w:tcW w:w="817" w:type="dxa"/>
            <w:gridSpan w:val="2"/>
          </w:tcPr>
          <w:p w14:paraId="18130663" w14:textId="77777777" w:rsidR="007E25B1" w:rsidRPr="0003325F" w:rsidRDefault="007E25B1" w:rsidP="00C90985">
            <w:pPr>
              <w:jc w:val="center"/>
            </w:pPr>
            <w:r w:rsidRPr="0003325F">
              <w:t>3</w:t>
            </w:r>
          </w:p>
        </w:tc>
        <w:tc>
          <w:tcPr>
            <w:tcW w:w="9356" w:type="dxa"/>
          </w:tcPr>
          <w:p w14:paraId="2CE8CBE6" w14:textId="4D0BF7D2" w:rsidR="007E25B1" w:rsidRPr="008D7EB7" w:rsidRDefault="007E25B1" w:rsidP="008D7EB7">
            <w:pPr>
              <w:jc w:val="both"/>
            </w:pPr>
            <w:r w:rsidRPr="008D7EB7">
              <w:t>La version Word du budget</w:t>
            </w:r>
            <w:r w:rsidR="00493337">
              <w:t>.</w:t>
            </w:r>
          </w:p>
        </w:tc>
      </w:tr>
      <w:tr w:rsidR="007E25B1" w:rsidRPr="0003325F" w14:paraId="3C4BF46E" w14:textId="77777777" w:rsidTr="008D7EB7">
        <w:trPr>
          <w:jc w:val="center"/>
        </w:trPr>
        <w:tc>
          <w:tcPr>
            <w:tcW w:w="817" w:type="dxa"/>
            <w:gridSpan w:val="2"/>
          </w:tcPr>
          <w:p w14:paraId="1360EDC0" w14:textId="77777777" w:rsidR="007E25B1" w:rsidRPr="0003325F" w:rsidRDefault="007E25B1" w:rsidP="00C90985">
            <w:pPr>
              <w:jc w:val="center"/>
            </w:pPr>
            <w:r w:rsidRPr="0003325F">
              <w:t>4</w:t>
            </w:r>
          </w:p>
        </w:tc>
        <w:tc>
          <w:tcPr>
            <w:tcW w:w="9356" w:type="dxa"/>
          </w:tcPr>
          <w:p w14:paraId="088DA051" w14:textId="54143E2F" w:rsidR="007E25B1" w:rsidRPr="008D7EB7" w:rsidRDefault="007E25B1" w:rsidP="008D7EB7">
            <w:pPr>
              <w:jc w:val="both"/>
            </w:pPr>
            <w:r w:rsidRPr="008D7EB7">
              <w:t>Le rapport tel que prévu par l’article L1122-23 du CDLD</w:t>
            </w:r>
            <w:r w:rsidR="00493337">
              <w:t>.</w:t>
            </w:r>
          </w:p>
        </w:tc>
      </w:tr>
      <w:tr w:rsidR="007E25B1" w:rsidRPr="0003325F" w14:paraId="441C2F6C" w14:textId="77777777" w:rsidTr="008D7EB7">
        <w:trPr>
          <w:jc w:val="center"/>
        </w:trPr>
        <w:tc>
          <w:tcPr>
            <w:tcW w:w="817" w:type="dxa"/>
            <w:gridSpan w:val="2"/>
          </w:tcPr>
          <w:p w14:paraId="48ECF1DB" w14:textId="77777777" w:rsidR="007E25B1" w:rsidRPr="0003325F" w:rsidRDefault="007E25B1" w:rsidP="00C90985">
            <w:pPr>
              <w:jc w:val="center"/>
            </w:pPr>
            <w:r w:rsidRPr="0003325F">
              <w:t>5</w:t>
            </w:r>
          </w:p>
        </w:tc>
        <w:tc>
          <w:tcPr>
            <w:tcW w:w="9356" w:type="dxa"/>
          </w:tcPr>
          <w:p w14:paraId="45074CDA" w14:textId="4D56079D" w:rsidR="007E25B1" w:rsidRPr="008D7EB7" w:rsidRDefault="007E25B1" w:rsidP="008D7EB7">
            <w:pPr>
              <w:jc w:val="both"/>
            </w:pPr>
            <w:r w:rsidRPr="0003325F">
              <w:t>L</w:t>
            </w:r>
            <w:r w:rsidR="00493337">
              <w:t>’</w:t>
            </w:r>
            <w:r w:rsidRPr="0003325F">
              <w:t xml:space="preserve">avis de la commission article 12 du Règlement général de la comptabilité communale </w:t>
            </w:r>
            <w:r w:rsidR="00493337">
              <w:t>–</w:t>
            </w:r>
            <w:r w:rsidRPr="0003325F">
              <w:t xml:space="preserve"> </w:t>
            </w:r>
            <w:r w:rsidRPr="008D7EB7">
              <w:t xml:space="preserve">Modèles disponible sur le portail des pouvoirs locaux ou </w:t>
            </w:r>
            <w:r w:rsidR="0067660A" w:rsidRPr="008D7EB7">
              <w:t xml:space="preserve">à générer au moyen de l’application </w:t>
            </w:r>
            <w:proofErr w:type="spellStart"/>
            <w:r w:rsidRPr="008D7EB7">
              <w:t>eComptes</w:t>
            </w:r>
            <w:proofErr w:type="spellEnd"/>
            <w:r w:rsidR="00493337">
              <w:t>.</w:t>
            </w:r>
            <w:r w:rsidR="0067660A" w:rsidRPr="008D7EB7">
              <w:t xml:space="preserve"> </w:t>
            </w:r>
          </w:p>
        </w:tc>
      </w:tr>
      <w:tr w:rsidR="007E25B1" w:rsidRPr="0003325F" w14:paraId="44300FB5" w14:textId="77777777" w:rsidTr="008D7EB7">
        <w:trPr>
          <w:jc w:val="center"/>
        </w:trPr>
        <w:tc>
          <w:tcPr>
            <w:tcW w:w="817" w:type="dxa"/>
            <w:gridSpan w:val="2"/>
          </w:tcPr>
          <w:p w14:paraId="08540F1D" w14:textId="77777777" w:rsidR="007E25B1" w:rsidRPr="0003325F" w:rsidRDefault="007E25B1" w:rsidP="00C90985">
            <w:pPr>
              <w:jc w:val="center"/>
            </w:pPr>
            <w:r w:rsidRPr="0003325F">
              <w:t>6</w:t>
            </w:r>
          </w:p>
        </w:tc>
        <w:tc>
          <w:tcPr>
            <w:tcW w:w="9356" w:type="dxa"/>
          </w:tcPr>
          <w:p w14:paraId="1BD48CF3" w14:textId="57091F84" w:rsidR="007E25B1" w:rsidRPr="0003325F" w:rsidRDefault="007E25B1" w:rsidP="008D7EB7">
            <w:pPr>
              <w:jc w:val="both"/>
            </w:pPr>
            <w:r w:rsidRPr="0003325F">
              <w:t>Les tableaux de synthèse ordinaire et extraordinaire et leurs adaptations dûment signées par le directeur financier</w:t>
            </w:r>
            <w:r w:rsidR="00493337">
              <w:t>.</w:t>
            </w:r>
          </w:p>
        </w:tc>
      </w:tr>
      <w:tr w:rsidR="007E25B1" w:rsidRPr="0003325F" w14:paraId="52A6AFC8" w14:textId="77777777" w:rsidTr="008D7EB7">
        <w:trPr>
          <w:jc w:val="center"/>
        </w:trPr>
        <w:tc>
          <w:tcPr>
            <w:tcW w:w="817" w:type="dxa"/>
            <w:gridSpan w:val="2"/>
          </w:tcPr>
          <w:p w14:paraId="02D76CE6" w14:textId="77777777" w:rsidR="007E25B1" w:rsidRPr="0003325F" w:rsidRDefault="007E25B1" w:rsidP="00C90985">
            <w:pPr>
              <w:jc w:val="center"/>
            </w:pPr>
            <w:r w:rsidRPr="0003325F">
              <w:t>7</w:t>
            </w:r>
          </w:p>
        </w:tc>
        <w:tc>
          <w:tcPr>
            <w:tcW w:w="9356" w:type="dxa"/>
          </w:tcPr>
          <w:p w14:paraId="1D795460" w14:textId="100C3333" w:rsidR="007E25B1" w:rsidRPr="0003325F" w:rsidRDefault="007E25B1" w:rsidP="008D7EB7">
            <w:pPr>
              <w:jc w:val="both"/>
            </w:pPr>
            <w:r w:rsidRPr="0003325F">
              <w:t>Le tableau des voies et moyens issu du système informatique trié par numéros de projets ventilés par articles budgétaires, tableau intitulé : « tableau budgétaire récapitulatif des projets extraordinaires et leur voies et moyens »</w:t>
            </w:r>
            <w:r w:rsidR="006D2A01">
              <w:t xml:space="preserve"> reprenant l’ensemble des projets extraordinaires non clôturés</w:t>
            </w:r>
            <w:r w:rsidRPr="0003325F">
              <w:t>.</w:t>
            </w:r>
          </w:p>
        </w:tc>
      </w:tr>
      <w:tr w:rsidR="007E25B1" w:rsidRPr="0003325F" w14:paraId="79E525C8" w14:textId="77777777" w:rsidTr="008D7EB7">
        <w:trPr>
          <w:jc w:val="center"/>
        </w:trPr>
        <w:tc>
          <w:tcPr>
            <w:tcW w:w="817" w:type="dxa"/>
            <w:gridSpan w:val="2"/>
          </w:tcPr>
          <w:p w14:paraId="5FB27262" w14:textId="77777777" w:rsidR="007E25B1" w:rsidRPr="0003325F" w:rsidRDefault="007E25B1" w:rsidP="00C90985">
            <w:pPr>
              <w:jc w:val="center"/>
            </w:pPr>
            <w:r w:rsidRPr="0003325F">
              <w:t>8</w:t>
            </w:r>
          </w:p>
        </w:tc>
        <w:tc>
          <w:tcPr>
            <w:tcW w:w="9356" w:type="dxa"/>
            <w:shd w:val="clear" w:color="auto" w:fill="auto"/>
          </w:tcPr>
          <w:p w14:paraId="5BDAF490" w14:textId="75EEF5B0" w:rsidR="007E25B1" w:rsidRPr="0003325F" w:rsidRDefault="007E25B1" w:rsidP="008D7EB7">
            <w:pPr>
              <w:jc w:val="both"/>
            </w:pPr>
            <w:r w:rsidRPr="0003325F">
              <w:t xml:space="preserve">Le/Les tableau(x) des emprunts communaux contractés et à contracter </w:t>
            </w:r>
            <w:proofErr w:type="gramStart"/>
            <w:r w:rsidRPr="0003325F">
              <w:t>présenté</w:t>
            </w:r>
            <w:proofErr w:type="gramEnd"/>
            <w:r w:rsidRPr="0003325F">
              <w:t>(s) par emprunt avec récapitulation</w:t>
            </w:r>
            <w:r w:rsidR="00493337">
              <w:t>.</w:t>
            </w:r>
          </w:p>
        </w:tc>
      </w:tr>
      <w:tr w:rsidR="007E25B1" w:rsidRPr="0003325F" w14:paraId="5814237C" w14:textId="77777777" w:rsidTr="008D7EB7">
        <w:trPr>
          <w:jc w:val="center"/>
        </w:trPr>
        <w:tc>
          <w:tcPr>
            <w:tcW w:w="817" w:type="dxa"/>
            <w:gridSpan w:val="2"/>
          </w:tcPr>
          <w:p w14:paraId="66E751F4" w14:textId="77777777" w:rsidR="007E25B1" w:rsidRPr="0003325F" w:rsidRDefault="007E25B1" w:rsidP="00C90985">
            <w:pPr>
              <w:jc w:val="center"/>
            </w:pPr>
            <w:r w:rsidRPr="0003325F">
              <w:t>9</w:t>
            </w:r>
          </w:p>
        </w:tc>
        <w:tc>
          <w:tcPr>
            <w:tcW w:w="9356" w:type="dxa"/>
          </w:tcPr>
          <w:p w14:paraId="533FF7D9" w14:textId="786F0127" w:rsidR="007E25B1" w:rsidRPr="0003325F" w:rsidRDefault="007E25B1" w:rsidP="008D7EB7">
            <w:pPr>
              <w:jc w:val="both"/>
            </w:pPr>
            <w:r w:rsidRPr="0003325F">
              <w:t xml:space="preserve">Stabilité de la charge de la dette : tableau justifiant la stabilité + tableau reprenant, par exercice, les montants qui ont servi à l'autofinancement du service extraordinaire ainsi que les montants affectés à des remboursements anticipés d'emprunts (soit sur boni extraordinaire, soit par transfert direct de service, soit par prélèvement via un fonds de réserve) </w:t>
            </w:r>
            <w:r w:rsidRPr="004A340E">
              <w:t xml:space="preserve">- </w:t>
            </w:r>
            <w:r w:rsidRPr="008D7EB7">
              <w:t>Modèle disponible sur le portail des pouvoirs locaux</w:t>
            </w:r>
            <w:r w:rsidR="0096501C" w:rsidRPr="008D7EB7">
              <w:t xml:space="preserve"> ou à générer au moyen de l’application </w:t>
            </w:r>
            <w:proofErr w:type="spellStart"/>
            <w:r w:rsidR="0096501C" w:rsidRPr="008D7EB7">
              <w:t>eComptes</w:t>
            </w:r>
            <w:proofErr w:type="spellEnd"/>
            <w:r w:rsidR="00493337">
              <w:t>.</w:t>
            </w:r>
          </w:p>
        </w:tc>
      </w:tr>
      <w:tr w:rsidR="007E25B1" w:rsidRPr="0003325F" w14:paraId="2B712686" w14:textId="77777777" w:rsidTr="008D7EB7">
        <w:trPr>
          <w:jc w:val="center"/>
        </w:trPr>
        <w:tc>
          <w:tcPr>
            <w:tcW w:w="817" w:type="dxa"/>
            <w:gridSpan w:val="2"/>
          </w:tcPr>
          <w:p w14:paraId="17A23C38" w14:textId="77777777" w:rsidR="007E25B1" w:rsidRPr="0003325F" w:rsidRDefault="007E25B1" w:rsidP="00C90985">
            <w:pPr>
              <w:jc w:val="center"/>
            </w:pPr>
            <w:r w:rsidRPr="0003325F">
              <w:t>10</w:t>
            </w:r>
          </w:p>
        </w:tc>
        <w:tc>
          <w:tcPr>
            <w:tcW w:w="9356" w:type="dxa"/>
          </w:tcPr>
          <w:p w14:paraId="45ECE099" w14:textId="7B4D98D8" w:rsidR="007E25B1" w:rsidRPr="0003325F" w:rsidRDefault="007E25B1" w:rsidP="008D7EB7">
            <w:pPr>
              <w:jc w:val="both"/>
            </w:pPr>
            <w:r w:rsidRPr="0003325F">
              <w:t>La liste des participations à libérer au cours de l</w:t>
            </w:r>
            <w:r w:rsidR="00493337">
              <w:t>’</w:t>
            </w:r>
            <w:r w:rsidRPr="0003325F">
              <w:t>année pour la SPGE/AIDE</w:t>
            </w:r>
            <w:r w:rsidRPr="008D7EB7">
              <w:t xml:space="preserve"> </w:t>
            </w:r>
            <w:r w:rsidR="00493337">
              <w:t>–</w:t>
            </w:r>
            <w:r w:rsidRPr="008D7EB7">
              <w:t xml:space="preserve"> Modèle disponible sur le portail des pouvoirs locaux</w:t>
            </w:r>
            <w:r w:rsidR="00493337">
              <w:t>.</w:t>
            </w:r>
            <w:r w:rsidRPr="0003325F">
              <w:t xml:space="preserve"> </w:t>
            </w:r>
          </w:p>
        </w:tc>
      </w:tr>
      <w:tr w:rsidR="007E25B1" w:rsidRPr="0003325F" w14:paraId="7C9F9E46" w14:textId="77777777" w:rsidTr="008D7EB7">
        <w:trPr>
          <w:jc w:val="center"/>
        </w:trPr>
        <w:tc>
          <w:tcPr>
            <w:tcW w:w="817" w:type="dxa"/>
            <w:gridSpan w:val="2"/>
          </w:tcPr>
          <w:p w14:paraId="2EDFAD76" w14:textId="77777777" w:rsidR="007E25B1" w:rsidRPr="0003325F" w:rsidRDefault="007E25B1" w:rsidP="00C90985">
            <w:pPr>
              <w:jc w:val="center"/>
            </w:pPr>
            <w:r w:rsidRPr="0003325F">
              <w:t>11</w:t>
            </w:r>
          </w:p>
        </w:tc>
        <w:tc>
          <w:tcPr>
            <w:tcW w:w="9356" w:type="dxa"/>
          </w:tcPr>
          <w:p w14:paraId="560E45FB" w14:textId="6AED904D" w:rsidR="007E25B1" w:rsidRPr="0003325F" w:rsidRDefault="007E25B1" w:rsidP="008D7EB7">
            <w:pPr>
              <w:jc w:val="both"/>
            </w:pPr>
            <w:r w:rsidRPr="0003325F">
              <w:t xml:space="preserve">Les mouvements des réserves et provisions </w:t>
            </w:r>
            <w:r w:rsidR="00D6788D" w:rsidRPr="00493337">
              <w:t>(</w:t>
            </w:r>
            <w:r w:rsidR="00A37993" w:rsidRPr="00493337">
              <w:t>les fonds de réserves extraordinaires devant être ventilés entre fonds de réserves extraordinaires classiques et fonds de réserve extraordinaires FRIC – les provisions devant être ventilées en fonction de leur objet)</w:t>
            </w:r>
            <w:r w:rsidR="00A37993">
              <w:t xml:space="preserve"> </w:t>
            </w:r>
            <w:r w:rsidRPr="0003325F">
              <w:t xml:space="preserve">- </w:t>
            </w:r>
            <w:r w:rsidRPr="008D7EB7">
              <w:t xml:space="preserve">Modèle disponible sur le portail des pouvoirs locaux ou </w:t>
            </w:r>
            <w:r w:rsidR="009041F6" w:rsidRPr="008D7EB7">
              <w:t xml:space="preserve">à générer au moyen de l’application </w:t>
            </w:r>
            <w:proofErr w:type="spellStart"/>
            <w:r w:rsidRPr="008D7EB7">
              <w:t>eComptes</w:t>
            </w:r>
            <w:proofErr w:type="spellEnd"/>
            <w:r w:rsidR="00493337">
              <w:t>.</w:t>
            </w:r>
          </w:p>
        </w:tc>
      </w:tr>
      <w:tr w:rsidR="007E25B1" w:rsidRPr="0003325F" w14:paraId="200D7FD0" w14:textId="77777777" w:rsidTr="008D7EB7">
        <w:trPr>
          <w:jc w:val="center"/>
        </w:trPr>
        <w:tc>
          <w:tcPr>
            <w:tcW w:w="817" w:type="dxa"/>
            <w:gridSpan w:val="2"/>
          </w:tcPr>
          <w:p w14:paraId="1287D972" w14:textId="77777777" w:rsidR="007E25B1" w:rsidRPr="0003325F" w:rsidRDefault="007E25B1" w:rsidP="00C90985">
            <w:pPr>
              <w:jc w:val="center"/>
            </w:pPr>
            <w:r w:rsidRPr="0003325F">
              <w:lastRenderedPageBreak/>
              <w:t>12</w:t>
            </w:r>
          </w:p>
        </w:tc>
        <w:tc>
          <w:tcPr>
            <w:tcW w:w="9356" w:type="dxa"/>
          </w:tcPr>
          <w:p w14:paraId="00ADA131" w14:textId="36C5C14D" w:rsidR="007E25B1" w:rsidRPr="0003325F" w:rsidRDefault="007E25B1" w:rsidP="008D7EB7">
            <w:pPr>
              <w:jc w:val="both"/>
            </w:pPr>
            <w:r w:rsidRPr="0003325F">
              <w:t>La liste des garanties de bonne fin accordées par la commune à des tiers</w:t>
            </w:r>
            <w:r w:rsidRPr="008D7EB7">
              <w:t xml:space="preserve"> </w:t>
            </w:r>
            <w:r w:rsidR="00493337">
              <w:t>–</w:t>
            </w:r>
            <w:r w:rsidRPr="008D7EB7">
              <w:t xml:space="preserve"> Modèle disponible sur le portail des pouvoirs locaux</w:t>
            </w:r>
            <w:r w:rsidR="00493337">
              <w:t>.</w:t>
            </w:r>
            <w:r w:rsidRPr="0003325F">
              <w:t xml:space="preserve"> </w:t>
            </w:r>
          </w:p>
        </w:tc>
      </w:tr>
      <w:tr w:rsidR="007E25B1" w:rsidRPr="0003325F" w14:paraId="3C773230" w14:textId="77777777" w:rsidTr="008D7EB7">
        <w:trPr>
          <w:jc w:val="center"/>
        </w:trPr>
        <w:tc>
          <w:tcPr>
            <w:tcW w:w="817" w:type="dxa"/>
            <w:gridSpan w:val="2"/>
          </w:tcPr>
          <w:p w14:paraId="40ED0C14" w14:textId="77777777" w:rsidR="007E25B1" w:rsidRPr="0003325F" w:rsidRDefault="007E25B1" w:rsidP="00C90985">
            <w:pPr>
              <w:jc w:val="center"/>
            </w:pPr>
            <w:r w:rsidRPr="0003325F">
              <w:t>13</w:t>
            </w:r>
          </w:p>
        </w:tc>
        <w:tc>
          <w:tcPr>
            <w:tcW w:w="9356" w:type="dxa"/>
          </w:tcPr>
          <w:p w14:paraId="60F5457A" w14:textId="5B956D07" w:rsidR="007E25B1" w:rsidRPr="0003325F" w:rsidRDefault="007E25B1" w:rsidP="008D7EB7">
            <w:pPr>
              <w:jc w:val="both"/>
            </w:pPr>
            <w:r w:rsidRPr="0003325F">
              <w:t>Le tableau du personnel communal comprenant tous les éléments chiffrés de la rémunération</w:t>
            </w:r>
            <w:r w:rsidR="00766645">
              <w:t> </w:t>
            </w:r>
            <w:r w:rsidR="00766645" w:rsidRPr="00493337">
              <w:t>; il convient de reprendre, par fonction, le nombre d’agents, leur grade, leur régime par semaine, leur traitement (</w:t>
            </w:r>
            <w:r w:rsidR="00766645" w:rsidRPr="008D7EB7">
              <w:t>le but étant de pouvoir vérifier que la somme de tous les traitements des agents d’une fonction est bien repris au budget)</w:t>
            </w:r>
            <w:r w:rsidR="00493337">
              <w:t>.</w:t>
            </w:r>
          </w:p>
        </w:tc>
      </w:tr>
      <w:tr w:rsidR="007E25B1" w:rsidRPr="0003325F" w14:paraId="106430C5" w14:textId="77777777" w:rsidTr="008D7EB7">
        <w:trPr>
          <w:jc w:val="center"/>
        </w:trPr>
        <w:tc>
          <w:tcPr>
            <w:tcW w:w="817" w:type="dxa"/>
            <w:gridSpan w:val="2"/>
          </w:tcPr>
          <w:p w14:paraId="43CD1F3F" w14:textId="0E849F61" w:rsidR="007E25B1" w:rsidRPr="008D7EB7" w:rsidRDefault="000E6871" w:rsidP="00C90985">
            <w:pPr>
              <w:jc w:val="center"/>
              <w:rPr>
                <w:highlight w:val="cyan"/>
              </w:rPr>
            </w:pPr>
            <w:r w:rsidRPr="008D7EB7">
              <w:t>14</w:t>
            </w:r>
          </w:p>
        </w:tc>
        <w:tc>
          <w:tcPr>
            <w:tcW w:w="9356" w:type="dxa"/>
          </w:tcPr>
          <w:p w14:paraId="2F349C7D" w14:textId="126E6CF1" w:rsidR="007E25B1" w:rsidRPr="00493337" w:rsidRDefault="000E6871" w:rsidP="008D7EB7">
            <w:pPr>
              <w:jc w:val="both"/>
            </w:pPr>
            <w:r w:rsidRPr="008D7EB7">
              <w:t xml:space="preserve">La note concernant le plan de mouvement du personnel </w:t>
            </w:r>
            <w:r w:rsidR="001461BD" w:rsidRPr="008D7EB7">
              <w:t xml:space="preserve">et d’embauche sur minimum 2 ans </w:t>
            </w:r>
            <w:r w:rsidR="006D2A01" w:rsidRPr="006D2A01">
              <w:t xml:space="preserve">comportant des prévisions chiffrées permettant de mesurer l’impact financier des mouvements de personnel planifiés </w:t>
            </w:r>
            <w:r w:rsidR="001461BD" w:rsidRPr="008D7EB7">
              <w:t>- Modèle disponible sur le portail des pouvoirs locaux</w:t>
            </w:r>
            <w:r w:rsidR="00493337">
              <w:t>.</w:t>
            </w:r>
          </w:p>
        </w:tc>
      </w:tr>
      <w:tr w:rsidR="007E25B1" w:rsidRPr="0003325F" w14:paraId="6D479550" w14:textId="77777777" w:rsidTr="008D7EB7">
        <w:trPr>
          <w:jc w:val="center"/>
        </w:trPr>
        <w:tc>
          <w:tcPr>
            <w:tcW w:w="817" w:type="dxa"/>
            <w:gridSpan w:val="2"/>
          </w:tcPr>
          <w:p w14:paraId="6EAFA25F" w14:textId="77777777" w:rsidR="007E25B1" w:rsidRPr="0003325F" w:rsidRDefault="007E25B1" w:rsidP="00C90985">
            <w:pPr>
              <w:jc w:val="center"/>
            </w:pPr>
            <w:r w:rsidRPr="0003325F">
              <w:t>15</w:t>
            </w:r>
          </w:p>
        </w:tc>
        <w:tc>
          <w:tcPr>
            <w:tcW w:w="9356" w:type="dxa"/>
          </w:tcPr>
          <w:p w14:paraId="62F5082D" w14:textId="49DB6F81" w:rsidR="007E25B1" w:rsidRPr="0003325F" w:rsidRDefault="007E25B1" w:rsidP="008D7EB7">
            <w:pPr>
              <w:jc w:val="both"/>
            </w:pPr>
            <w:r w:rsidRPr="0003325F">
              <w:t>Le tableau figurant normalement en tête du budget et portant les renseignements généraux sur la commune</w:t>
            </w:r>
            <w:r w:rsidRPr="0003325F">
              <w:rPr>
                <w:lang w:val="fr-BE"/>
              </w:rPr>
              <w:t xml:space="preserve"> - Modèle disponible sur le portail des pouvoirs locaux</w:t>
            </w:r>
            <w:r w:rsidR="00493337">
              <w:rPr>
                <w:lang w:val="fr-BE"/>
              </w:rPr>
              <w:t>.</w:t>
            </w:r>
            <w:r>
              <w:rPr>
                <w:lang w:val="fr-BE"/>
              </w:rPr>
              <w:t xml:space="preserve"> </w:t>
            </w:r>
          </w:p>
        </w:tc>
      </w:tr>
      <w:tr w:rsidR="007E25B1" w:rsidRPr="0003325F" w14:paraId="5E5895CB" w14:textId="77777777" w:rsidTr="008D7EB7">
        <w:trPr>
          <w:jc w:val="center"/>
        </w:trPr>
        <w:tc>
          <w:tcPr>
            <w:tcW w:w="817" w:type="dxa"/>
            <w:gridSpan w:val="2"/>
          </w:tcPr>
          <w:p w14:paraId="6E381EA3" w14:textId="77777777" w:rsidR="007E25B1" w:rsidRPr="0003325F" w:rsidRDefault="007E25B1" w:rsidP="00C90985">
            <w:pPr>
              <w:jc w:val="center"/>
            </w:pPr>
            <w:r w:rsidRPr="0003325F">
              <w:t>16</w:t>
            </w:r>
          </w:p>
        </w:tc>
        <w:tc>
          <w:tcPr>
            <w:tcW w:w="9356" w:type="dxa"/>
          </w:tcPr>
          <w:p w14:paraId="79FC47BA" w14:textId="4D39C61F" w:rsidR="007E25B1" w:rsidRPr="0003325F" w:rsidRDefault="00371A15" w:rsidP="008D7EB7">
            <w:pPr>
              <w:jc w:val="both"/>
            </w:pPr>
            <w:r w:rsidRPr="0003325F">
              <w:t>Les informations pour l'inscription IPP</w:t>
            </w:r>
            <w:r>
              <w:t>.</w:t>
            </w:r>
          </w:p>
        </w:tc>
      </w:tr>
      <w:tr w:rsidR="007E25B1" w:rsidRPr="0003325F" w14:paraId="4F53F295" w14:textId="77777777" w:rsidTr="008D7EB7">
        <w:trPr>
          <w:jc w:val="center"/>
        </w:trPr>
        <w:tc>
          <w:tcPr>
            <w:tcW w:w="817" w:type="dxa"/>
            <w:gridSpan w:val="2"/>
          </w:tcPr>
          <w:p w14:paraId="077763E4" w14:textId="77777777" w:rsidR="007E25B1" w:rsidRPr="0003325F" w:rsidRDefault="007E25B1" w:rsidP="00C90985">
            <w:pPr>
              <w:jc w:val="center"/>
            </w:pPr>
            <w:r w:rsidRPr="0003325F">
              <w:t>17</w:t>
            </w:r>
          </w:p>
        </w:tc>
        <w:tc>
          <w:tcPr>
            <w:tcW w:w="9356" w:type="dxa"/>
          </w:tcPr>
          <w:p w14:paraId="0A3FDED3" w14:textId="5BFAC228" w:rsidR="007E25B1" w:rsidRPr="0003325F" w:rsidRDefault="00371A15" w:rsidP="008D7EB7">
            <w:pPr>
              <w:jc w:val="both"/>
            </w:pPr>
            <w:r w:rsidRPr="0003325F">
              <w:t>La copie des documents en provenance des intercommunales déterminant les dividendes et redevances (voirie - gaz) à inscrire au budget de l'exercice, dans toute la mesure décomposé</w:t>
            </w:r>
            <w:r>
              <w:t>e</w:t>
            </w:r>
            <w:r w:rsidRPr="0003325F">
              <w:t xml:space="preserve"> par type de recette (dividende normal - redevance).</w:t>
            </w:r>
          </w:p>
        </w:tc>
      </w:tr>
      <w:tr w:rsidR="00371A15" w:rsidRPr="0003325F" w14:paraId="17CEAD3E" w14:textId="77777777" w:rsidTr="008D7EB7">
        <w:trPr>
          <w:jc w:val="center"/>
        </w:trPr>
        <w:tc>
          <w:tcPr>
            <w:tcW w:w="817" w:type="dxa"/>
            <w:gridSpan w:val="2"/>
          </w:tcPr>
          <w:p w14:paraId="628E253A" w14:textId="77777777" w:rsidR="00371A15" w:rsidRPr="0003325F" w:rsidRDefault="00371A15" w:rsidP="00371A15">
            <w:pPr>
              <w:jc w:val="center"/>
            </w:pPr>
            <w:r w:rsidRPr="0003325F">
              <w:t>18</w:t>
            </w:r>
          </w:p>
        </w:tc>
        <w:tc>
          <w:tcPr>
            <w:tcW w:w="9356" w:type="dxa"/>
          </w:tcPr>
          <w:p w14:paraId="02371FE1" w14:textId="4B00CFE2" w:rsidR="00371A15" w:rsidRPr="0003325F" w:rsidRDefault="00371A15" w:rsidP="00371A15">
            <w:pPr>
              <w:jc w:val="both"/>
            </w:pPr>
            <w:r w:rsidRPr="0003325F">
              <w:t>Quand il existe, l’avis du Directeur financier rendu en application de l’article L1124-40 du CDLD</w:t>
            </w:r>
            <w:r>
              <w:t>.</w:t>
            </w:r>
          </w:p>
        </w:tc>
      </w:tr>
      <w:tr w:rsidR="00371A15" w:rsidRPr="0003325F" w14:paraId="49390069" w14:textId="77777777" w:rsidTr="008D7EB7">
        <w:trPr>
          <w:jc w:val="center"/>
        </w:trPr>
        <w:tc>
          <w:tcPr>
            <w:tcW w:w="817" w:type="dxa"/>
            <w:gridSpan w:val="2"/>
          </w:tcPr>
          <w:p w14:paraId="6ED8E755" w14:textId="77777777" w:rsidR="00371A15" w:rsidRPr="0003325F" w:rsidRDefault="00371A15" w:rsidP="00371A15">
            <w:pPr>
              <w:jc w:val="center"/>
            </w:pPr>
            <w:r w:rsidRPr="0003325F">
              <w:t>19</w:t>
            </w:r>
          </w:p>
        </w:tc>
        <w:tc>
          <w:tcPr>
            <w:tcW w:w="9356" w:type="dxa"/>
          </w:tcPr>
          <w:p w14:paraId="122FA77C" w14:textId="69E79061" w:rsidR="00371A15" w:rsidRPr="0003325F" w:rsidRDefault="00371A15" w:rsidP="00371A15">
            <w:pPr>
              <w:jc w:val="both"/>
            </w:pPr>
            <w:r w:rsidRPr="00123206">
              <w:t xml:space="preserve">L’accusé de réception de l’envoi </w:t>
            </w:r>
            <w:r>
              <w:t xml:space="preserve">via l’application </w:t>
            </w:r>
            <w:proofErr w:type="spellStart"/>
            <w:r>
              <w:t>eComptes</w:t>
            </w:r>
            <w:proofErr w:type="spellEnd"/>
            <w:r>
              <w:t xml:space="preserve"> </w:t>
            </w:r>
            <w:r w:rsidRPr="00123206">
              <w:t>du fichier des prévisions pluriannuelles</w:t>
            </w:r>
          </w:p>
        </w:tc>
      </w:tr>
      <w:tr w:rsidR="00371A15" w:rsidRPr="0003325F" w14:paraId="79429017" w14:textId="77777777" w:rsidTr="008D7EB7">
        <w:trPr>
          <w:jc w:val="center"/>
        </w:trPr>
        <w:tc>
          <w:tcPr>
            <w:tcW w:w="817" w:type="dxa"/>
            <w:gridSpan w:val="2"/>
          </w:tcPr>
          <w:p w14:paraId="2AD1971C" w14:textId="37C7FA76" w:rsidR="00371A15" w:rsidRPr="0003325F" w:rsidRDefault="00121BB0" w:rsidP="00371A15">
            <w:pPr>
              <w:jc w:val="center"/>
            </w:pPr>
            <w:r>
              <w:t>20</w:t>
            </w:r>
          </w:p>
        </w:tc>
        <w:tc>
          <w:tcPr>
            <w:tcW w:w="9356" w:type="dxa"/>
          </w:tcPr>
          <w:p w14:paraId="5475E427" w14:textId="77777777" w:rsidR="00D6592D" w:rsidRDefault="00D6592D" w:rsidP="00371A15">
            <w:pPr>
              <w:jc w:val="both"/>
            </w:pPr>
            <w:r>
              <w:t xml:space="preserve">Deux documents : </w:t>
            </w:r>
          </w:p>
          <w:p w14:paraId="40BFC115" w14:textId="77777777" w:rsidR="00D6592D" w:rsidRDefault="00D6592D" w:rsidP="00371A15">
            <w:pPr>
              <w:jc w:val="both"/>
              <w:rPr>
                <w:lang w:val="fr-BE"/>
              </w:rPr>
            </w:pPr>
            <w:r>
              <w:t xml:space="preserve">1. </w:t>
            </w:r>
            <w:r w:rsidR="00DC2E24" w:rsidRPr="0003325F">
              <w:t xml:space="preserve">Le tableau permettant de vérifier le </w:t>
            </w:r>
            <w:r w:rsidR="00DC2E24">
              <w:t xml:space="preserve">respect de la balise d’emprunt </w:t>
            </w:r>
            <w:r w:rsidR="00DC2E24" w:rsidRPr="0003325F">
              <w:t xml:space="preserve">- </w:t>
            </w:r>
            <w:r w:rsidR="00DC2E24" w:rsidRPr="0003325F">
              <w:rPr>
                <w:lang w:val="fr-BE"/>
              </w:rPr>
              <w:t>Modèle disponible sur le portail des pouvoirs locaux</w:t>
            </w:r>
            <w:r w:rsidR="00DC2E24">
              <w:rPr>
                <w:lang w:val="fr-BE"/>
              </w:rPr>
              <w:t xml:space="preserve"> ainsi que </w:t>
            </w:r>
          </w:p>
          <w:p w14:paraId="459ED447" w14:textId="1122D208" w:rsidR="00371A15" w:rsidRPr="0003325F" w:rsidRDefault="00D6592D" w:rsidP="00371A15">
            <w:pPr>
              <w:jc w:val="both"/>
            </w:pPr>
            <w:r>
              <w:rPr>
                <w:lang w:val="fr-BE"/>
              </w:rPr>
              <w:t xml:space="preserve">2. </w:t>
            </w:r>
            <w:r w:rsidR="00DC2E24">
              <w:rPr>
                <w:lang w:val="fr-BE"/>
              </w:rPr>
              <w:t>l</w:t>
            </w:r>
            <w:r w:rsidR="00121BB0">
              <w:t>’annexe relative au</w:t>
            </w:r>
            <w:r w:rsidR="00121BB0" w:rsidRPr="00121BB0">
              <w:t xml:space="preserve"> calcul des ratios d’investissements</w:t>
            </w:r>
            <w:r w:rsidR="00121BB0">
              <w:t xml:space="preserve"> (modèle disponible sur le portail des pouvoirs locaux)</w:t>
            </w:r>
          </w:p>
        </w:tc>
      </w:tr>
      <w:tr w:rsidR="00371A15" w:rsidRPr="0003325F" w14:paraId="749D6EC2" w14:textId="77777777" w:rsidTr="008D7EB7">
        <w:trPr>
          <w:trHeight w:val="704"/>
          <w:jc w:val="center"/>
        </w:trPr>
        <w:tc>
          <w:tcPr>
            <w:tcW w:w="10173" w:type="dxa"/>
            <w:gridSpan w:val="3"/>
            <w:shd w:val="pct12" w:color="auto" w:fill="auto"/>
          </w:tcPr>
          <w:p w14:paraId="4DA1B120" w14:textId="77777777" w:rsidR="00371A15" w:rsidRPr="0003325F" w:rsidRDefault="00371A15" w:rsidP="00371A15">
            <w:pPr>
              <w:spacing w:line="274" w:lineRule="exact"/>
              <w:jc w:val="both"/>
              <w:textAlignment w:val="baseline"/>
              <w:rPr>
                <w:b/>
                <w:spacing w:val="7"/>
              </w:rPr>
            </w:pPr>
            <w:r w:rsidRPr="0003325F">
              <w:rPr>
                <w:b/>
                <w:spacing w:val="7"/>
              </w:rPr>
              <w:t xml:space="preserve">Si vous n'utilisez pas le modèle de délibération </w:t>
            </w:r>
            <w:r w:rsidRPr="0003325F">
              <w:rPr>
                <w:b/>
                <w:color w:val="000000"/>
                <w:lang w:val="fr-BE"/>
              </w:rPr>
              <w:t>in extenso du Conseil communal</w:t>
            </w:r>
            <w:r w:rsidRPr="0003325F">
              <w:rPr>
                <w:color w:val="000000"/>
                <w:lang w:val="fr-BE"/>
              </w:rPr>
              <w:t xml:space="preserve"> </w:t>
            </w:r>
            <w:r w:rsidRPr="0003325F">
              <w:rPr>
                <w:b/>
                <w:spacing w:val="7"/>
              </w:rPr>
              <w:t>vous êtes tenus d'envoyer à la tutelle les pièces justificatives complémentaires suivantes :</w:t>
            </w:r>
          </w:p>
          <w:p w14:paraId="4F15063F" w14:textId="77777777" w:rsidR="00371A15" w:rsidRPr="0003325F" w:rsidRDefault="00371A15" w:rsidP="00371A15">
            <w:pPr>
              <w:tabs>
                <w:tab w:val="left" w:pos="864"/>
              </w:tabs>
              <w:spacing w:before="16" w:line="268" w:lineRule="exact"/>
              <w:jc w:val="both"/>
              <w:textAlignment w:val="baseline"/>
              <w:rPr>
                <w:b/>
              </w:rPr>
            </w:pPr>
          </w:p>
        </w:tc>
      </w:tr>
      <w:tr w:rsidR="00371A15" w:rsidRPr="0003325F" w14:paraId="263D1C23" w14:textId="77777777" w:rsidTr="00C90985">
        <w:trPr>
          <w:trHeight w:val="391"/>
          <w:jc w:val="center"/>
        </w:trPr>
        <w:tc>
          <w:tcPr>
            <w:tcW w:w="805" w:type="dxa"/>
          </w:tcPr>
          <w:p w14:paraId="56AEFA71" w14:textId="77777777" w:rsidR="00371A15" w:rsidRPr="0003325F" w:rsidRDefault="00371A15" w:rsidP="00371A15">
            <w:pPr>
              <w:spacing w:after="240" w:line="273" w:lineRule="exact"/>
              <w:jc w:val="center"/>
              <w:textAlignment w:val="baseline"/>
            </w:pPr>
            <w:r w:rsidRPr="0003325F">
              <w:t>1</w:t>
            </w:r>
          </w:p>
        </w:tc>
        <w:tc>
          <w:tcPr>
            <w:tcW w:w="9368" w:type="dxa"/>
            <w:gridSpan w:val="2"/>
            <w:vAlign w:val="center"/>
          </w:tcPr>
          <w:p w14:paraId="11CAA588" w14:textId="5C606693" w:rsidR="00371A15" w:rsidRPr="0003325F" w:rsidRDefault="00371A15" w:rsidP="00371A15">
            <w:pPr>
              <w:spacing w:after="240" w:line="273" w:lineRule="exact"/>
              <w:jc w:val="both"/>
              <w:textAlignment w:val="baseline"/>
            </w:pPr>
            <w:r w:rsidRPr="0003325F">
              <w:t>L’avis de publication</w:t>
            </w:r>
            <w:r>
              <w:t>.</w:t>
            </w:r>
            <w:r w:rsidRPr="0003325F">
              <w:t xml:space="preserve"> </w:t>
            </w:r>
          </w:p>
        </w:tc>
      </w:tr>
      <w:tr w:rsidR="00371A15" w:rsidRPr="0003325F" w14:paraId="06C5F53D" w14:textId="77777777" w:rsidTr="00C90985">
        <w:trPr>
          <w:jc w:val="center"/>
        </w:trPr>
        <w:tc>
          <w:tcPr>
            <w:tcW w:w="805" w:type="dxa"/>
          </w:tcPr>
          <w:p w14:paraId="116D3A5E" w14:textId="7FE02943" w:rsidR="00371A15" w:rsidRPr="0003325F" w:rsidRDefault="00371A15" w:rsidP="00371A15">
            <w:pPr>
              <w:spacing w:after="240" w:line="273" w:lineRule="exact"/>
              <w:jc w:val="center"/>
              <w:textAlignment w:val="baseline"/>
            </w:pPr>
          </w:p>
        </w:tc>
        <w:tc>
          <w:tcPr>
            <w:tcW w:w="9368" w:type="dxa"/>
            <w:gridSpan w:val="2"/>
          </w:tcPr>
          <w:p w14:paraId="2664DED9" w14:textId="559BDD8F" w:rsidR="00371A15" w:rsidRPr="000F015D" w:rsidRDefault="00371A15" w:rsidP="00371A15">
            <w:pPr>
              <w:tabs>
                <w:tab w:val="left" w:pos="720"/>
                <w:tab w:val="left" w:pos="864"/>
              </w:tabs>
              <w:spacing w:line="293" w:lineRule="exact"/>
              <w:jc w:val="both"/>
              <w:textAlignment w:val="baseline"/>
              <w:rPr>
                <w:spacing w:val="4"/>
              </w:rPr>
            </w:pPr>
          </w:p>
        </w:tc>
      </w:tr>
      <w:tr w:rsidR="00371A15" w:rsidRPr="0003325F" w14:paraId="6E0D2943" w14:textId="77777777" w:rsidTr="00C90985">
        <w:trPr>
          <w:jc w:val="center"/>
        </w:trPr>
        <w:tc>
          <w:tcPr>
            <w:tcW w:w="805" w:type="dxa"/>
          </w:tcPr>
          <w:p w14:paraId="735DE6CB" w14:textId="40C28DC6" w:rsidR="00371A15" w:rsidRPr="0003325F" w:rsidRDefault="00371A15" w:rsidP="00371A15">
            <w:pPr>
              <w:spacing w:after="240" w:line="273" w:lineRule="exact"/>
              <w:jc w:val="center"/>
              <w:textAlignment w:val="baseline"/>
            </w:pPr>
            <w:r>
              <w:t>2</w:t>
            </w:r>
          </w:p>
        </w:tc>
        <w:tc>
          <w:tcPr>
            <w:tcW w:w="9368" w:type="dxa"/>
            <w:gridSpan w:val="2"/>
          </w:tcPr>
          <w:p w14:paraId="746BFE71" w14:textId="02C5AC6A" w:rsidR="00371A15" w:rsidRPr="0003325F" w:rsidRDefault="00371A15" w:rsidP="00371A15">
            <w:pPr>
              <w:tabs>
                <w:tab w:val="left" w:pos="720"/>
                <w:tab w:val="left" w:pos="864"/>
              </w:tabs>
              <w:spacing w:before="10" w:line="274" w:lineRule="exact"/>
              <w:jc w:val="both"/>
              <w:textAlignment w:val="baseline"/>
            </w:pPr>
            <w:r w:rsidRPr="0003325F">
              <w:t xml:space="preserve">La preuve de la communication aux organisations syndicales des documents budgétaires et </w:t>
            </w:r>
            <w:r>
              <w:t xml:space="preserve">la certification que, </w:t>
            </w:r>
            <w:r w:rsidRPr="0003325F">
              <w:t>si ces organisations en ont fait la demande, une réunion d'information</w:t>
            </w:r>
            <w:r>
              <w:t xml:space="preserve"> sera tenue</w:t>
            </w:r>
            <w:r w:rsidRPr="0003325F">
              <w:t>.</w:t>
            </w:r>
          </w:p>
        </w:tc>
      </w:tr>
      <w:tr w:rsidR="00371A15" w:rsidRPr="0003325F" w14:paraId="1D343731" w14:textId="77777777" w:rsidTr="00C90985">
        <w:trPr>
          <w:jc w:val="center"/>
        </w:trPr>
        <w:tc>
          <w:tcPr>
            <w:tcW w:w="805" w:type="dxa"/>
          </w:tcPr>
          <w:p w14:paraId="09F4E50E" w14:textId="74741CEC" w:rsidR="00371A15" w:rsidRPr="0003325F" w:rsidRDefault="00371A15" w:rsidP="00371A15">
            <w:pPr>
              <w:spacing w:after="240" w:line="273" w:lineRule="exact"/>
              <w:jc w:val="center"/>
              <w:textAlignment w:val="baseline"/>
            </w:pPr>
            <w:r>
              <w:t>3</w:t>
            </w:r>
          </w:p>
        </w:tc>
        <w:tc>
          <w:tcPr>
            <w:tcW w:w="9368" w:type="dxa"/>
            <w:gridSpan w:val="2"/>
          </w:tcPr>
          <w:p w14:paraId="13040B5A" w14:textId="59B634E6" w:rsidR="00371A15" w:rsidRPr="0003325F" w:rsidRDefault="00371A15" w:rsidP="00371A15">
            <w:pPr>
              <w:tabs>
                <w:tab w:val="left" w:pos="720"/>
                <w:tab w:val="left" w:pos="864"/>
              </w:tabs>
              <w:spacing w:before="16" w:line="268" w:lineRule="exact"/>
              <w:jc w:val="both"/>
              <w:textAlignment w:val="baseline"/>
            </w:pPr>
            <w:r w:rsidRPr="0003325F">
              <w:t>La copie de la page du budget du CPAS ou la délibération du comité de concertation portant sur les montants de la dotation communale</w:t>
            </w:r>
            <w:r>
              <w:t>.</w:t>
            </w:r>
          </w:p>
        </w:tc>
      </w:tr>
      <w:tr w:rsidR="00371A15" w:rsidRPr="0003325F" w14:paraId="0F537723" w14:textId="77777777" w:rsidTr="00C90985">
        <w:trPr>
          <w:jc w:val="center"/>
        </w:trPr>
        <w:tc>
          <w:tcPr>
            <w:tcW w:w="805" w:type="dxa"/>
          </w:tcPr>
          <w:p w14:paraId="6641366F" w14:textId="25866F57" w:rsidR="00371A15" w:rsidRPr="00493337" w:rsidRDefault="00371A15" w:rsidP="00371A15">
            <w:pPr>
              <w:spacing w:after="240" w:line="273" w:lineRule="exact"/>
              <w:jc w:val="center"/>
              <w:textAlignment w:val="baseline"/>
            </w:pPr>
            <w:r>
              <w:t>4</w:t>
            </w:r>
          </w:p>
        </w:tc>
        <w:tc>
          <w:tcPr>
            <w:tcW w:w="9368" w:type="dxa"/>
            <w:gridSpan w:val="2"/>
          </w:tcPr>
          <w:p w14:paraId="6ED227F3" w14:textId="773ADDA0" w:rsidR="00371A15" w:rsidRPr="00493337" w:rsidRDefault="00371A15" w:rsidP="00371A15">
            <w:pPr>
              <w:tabs>
                <w:tab w:val="left" w:pos="720"/>
                <w:tab w:val="left" w:pos="864"/>
              </w:tabs>
              <w:spacing w:before="16" w:line="268" w:lineRule="exact"/>
              <w:jc w:val="both"/>
              <w:textAlignment w:val="baseline"/>
            </w:pPr>
            <w:r w:rsidRPr="00493337">
              <w:t>Le rapport annuel sur les synergies commune-CPAS conformément à l’article L1122-11 du CDLD</w:t>
            </w:r>
            <w:r>
              <w:t>.</w:t>
            </w:r>
          </w:p>
        </w:tc>
      </w:tr>
    </w:tbl>
    <w:p w14:paraId="6FE354B8" w14:textId="523E3E11" w:rsidR="00493337" w:rsidRDefault="00493337" w:rsidP="008D7EB7"/>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9368"/>
      </w:tblGrid>
      <w:tr w:rsidR="007E25B1" w:rsidRPr="0003325F" w14:paraId="37F8C7AD" w14:textId="77777777" w:rsidTr="008D7EB7">
        <w:trPr>
          <w:trHeight w:val="704"/>
          <w:jc w:val="center"/>
        </w:trPr>
        <w:tc>
          <w:tcPr>
            <w:tcW w:w="10173" w:type="dxa"/>
            <w:gridSpan w:val="2"/>
            <w:shd w:val="pct12" w:color="auto" w:fill="auto"/>
          </w:tcPr>
          <w:p w14:paraId="7F360D27" w14:textId="77777777" w:rsidR="007E25B1" w:rsidRPr="0003325F" w:rsidRDefault="007E25B1" w:rsidP="00C90985">
            <w:pPr>
              <w:jc w:val="center"/>
              <w:rPr>
                <w:b/>
                <w:lang w:val="fr-BE"/>
              </w:rPr>
            </w:pPr>
            <w:r w:rsidRPr="0003325F">
              <w:rPr>
                <w:b/>
                <w:lang w:val="fr-BE"/>
              </w:rPr>
              <w:t>MODIFICATIONS BUDGETAIRES COMMUNALES</w:t>
            </w:r>
          </w:p>
          <w:p w14:paraId="57A38A2D" w14:textId="77777777" w:rsidR="007E25B1" w:rsidRPr="0003325F" w:rsidRDefault="007E25B1" w:rsidP="00C90985">
            <w:pPr>
              <w:jc w:val="center"/>
              <w:rPr>
                <w:b/>
                <w:lang w:val="fr-BE"/>
              </w:rPr>
            </w:pPr>
            <w:r w:rsidRPr="0003325F">
              <w:rPr>
                <w:b/>
                <w:lang w:val="fr-BE"/>
              </w:rPr>
              <w:t>LISTE DES PIÈCES JUSTIFICATIVES OBLIGATOIRES</w:t>
            </w:r>
          </w:p>
        </w:tc>
      </w:tr>
      <w:tr w:rsidR="007E25B1" w:rsidRPr="0003325F" w14:paraId="46B6C309" w14:textId="77777777" w:rsidTr="00C90985">
        <w:trPr>
          <w:trHeight w:val="562"/>
          <w:jc w:val="center"/>
        </w:trPr>
        <w:tc>
          <w:tcPr>
            <w:tcW w:w="805" w:type="dxa"/>
          </w:tcPr>
          <w:p w14:paraId="5E10FDD4" w14:textId="77777777" w:rsidR="007E25B1" w:rsidRPr="0003325F" w:rsidRDefault="007E25B1" w:rsidP="00C90985">
            <w:pPr>
              <w:spacing w:after="240" w:line="273" w:lineRule="exact"/>
              <w:jc w:val="center"/>
              <w:textAlignment w:val="baseline"/>
            </w:pPr>
            <w:r w:rsidRPr="0003325F">
              <w:t>1</w:t>
            </w:r>
          </w:p>
        </w:tc>
        <w:tc>
          <w:tcPr>
            <w:tcW w:w="9368" w:type="dxa"/>
            <w:vAlign w:val="center"/>
          </w:tcPr>
          <w:p w14:paraId="4CE6A0E1" w14:textId="0B7A4905" w:rsidR="007E25B1" w:rsidRPr="0003325F" w:rsidRDefault="007E25B1" w:rsidP="008D7EB7">
            <w:pPr>
              <w:spacing w:after="240" w:line="273" w:lineRule="exact"/>
              <w:jc w:val="both"/>
              <w:textAlignment w:val="baseline"/>
            </w:pPr>
            <w:r w:rsidRPr="0003325F">
              <w:t xml:space="preserve">La délibération in extenso du Conseil communal – </w:t>
            </w:r>
            <w:r w:rsidRPr="008D7EB7">
              <w:t>Modèle disponible sur le portail des pouvoirs locaux</w:t>
            </w:r>
            <w:r w:rsidRPr="0003325F">
              <w:t xml:space="preserve"> </w:t>
            </w:r>
            <w:r w:rsidR="0011344D" w:rsidRPr="00493337">
              <w:t>et possibilité de génération automatisée</w:t>
            </w:r>
            <w:r w:rsidR="0096501C" w:rsidRPr="00493337">
              <w:t xml:space="preserve"> dans le logiciel</w:t>
            </w:r>
            <w:r w:rsidR="0011344D">
              <w:t xml:space="preserve"> </w:t>
            </w:r>
            <w:proofErr w:type="spellStart"/>
            <w:r w:rsidRPr="0003325F">
              <w:t>eComptes</w:t>
            </w:r>
            <w:proofErr w:type="spellEnd"/>
            <w:r w:rsidR="00493337">
              <w:t>.</w:t>
            </w:r>
          </w:p>
        </w:tc>
      </w:tr>
      <w:tr w:rsidR="007E25B1" w:rsidRPr="0003325F" w14:paraId="3FEB52E3" w14:textId="77777777" w:rsidTr="00C90985">
        <w:trPr>
          <w:trHeight w:val="333"/>
          <w:jc w:val="center"/>
        </w:trPr>
        <w:tc>
          <w:tcPr>
            <w:tcW w:w="805" w:type="dxa"/>
          </w:tcPr>
          <w:p w14:paraId="6C650E4D" w14:textId="77777777" w:rsidR="007E25B1" w:rsidRPr="0003325F" w:rsidRDefault="007E25B1" w:rsidP="00C90985">
            <w:pPr>
              <w:spacing w:after="240" w:line="273" w:lineRule="exact"/>
              <w:jc w:val="center"/>
              <w:textAlignment w:val="baseline"/>
            </w:pPr>
            <w:r w:rsidRPr="0003325F">
              <w:t>2</w:t>
            </w:r>
          </w:p>
        </w:tc>
        <w:tc>
          <w:tcPr>
            <w:tcW w:w="9368" w:type="dxa"/>
            <w:vAlign w:val="center"/>
          </w:tcPr>
          <w:p w14:paraId="7BE29E99" w14:textId="7C7711BC" w:rsidR="007E25B1" w:rsidRPr="0003325F" w:rsidRDefault="007E25B1" w:rsidP="008D7EB7">
            <w:pPr>
              <w:spacing w:after="240" w:line="273" w:lineRule="exact"/>
              <w:jc w:val="both"/>
              <w:textAlignment w:val="baseline"/>
            </w:pPr>
            <w:r w:rsidRPr="0003325F">
              <w:t>Le fichier SIC</w:t>
            </w:r>
            <w:r w:rsidR="000470DD">
              <w:t xml:space="preserve"> </w:t>
            </w:r>
            <w:r w:rsidR="000470DD" w:rsidRPr="00493337">
              <w:t xml:space="preserve">généré par l’application </w:t>
            </w:r>
            <w:proofErr w:type="spellStart"/>
            <w:r w:rsidR="000470DD" w:rsidRPr="00493337">
              <w:t>eComptes</w:t>
            </w:r>
            <w:proofErr w:type="spellEnd"/>
            <w:r w:rsidR="00493337">
              <w:t>.</w:t>
            </w:r>
          </w:p>
        </w:tc>
      </w:tr>
      <w:tr w:rsidR="007E25B1" w:rsidRPr="0003325F" w14:paraId="30988DFC" w14:textId="77777777" w:rsidTr="00C90985">
        <w:trPr>
          <w:jc w:val="center"/>
        </w:trPr>
        <w:tc>
          <w:tcPr>
            <w:tcW w:w="805" w:type="dxa"/>
          </w:tcPr>
          <w:p w14:paraId="41D79952" w14:textId="77777777" w:rsidR="007E25B1" w:rsidRPr="0003325F" w:rsidRDefault="007E25B1" w:rsidP="00C90985">
            <w:pPr>
              <w:spacing w:after="240" w:line="273" w:lineRule="exact"/>
              <w:jc w:val="center"/>
              <w:textAlignment w:val="baseline"/>
            </w:pPr>
            <w:r w:rsidRPr="0003325F">
              <w:t>3</w:t>
            </w:r>
          </w:p>
        </w:tc>
        <w:tc>
          <w:tcPr>
            <w:tcW w:w="9368" w:type="dxa"/>
            <w:vAlign w:val="center"/>
          </w:tcPr>
          <w:p w14:paraId="0721A3E0" w14:textId="6D5004A8" w:rsidR="007E25B1" w:rsidRPr="0003325F" w:rsidRDefault="007E25B1" w:rsidP="008D7EB7">
            <w:pPr>
              <w:spacing w:after="240" w:line="273" w:lineRule="exact"/>
              <w:jc w:val="both"/>
              <w:textAlignment w:val="baseline"/>
            </w:pPr>
            <w:r w:rsidRPr="0003325F">
              <w:t xml:space="preserve">La version « </w:t>
            </w:r>
            <w:r w:rsidR="00FD0BF2">
              <w:t>W</w:t>
            </w:r>
            <w:r w:rsidR="00FD0BF2" w:rsidRPr="0003325F">
              <w:t xml:space="preserve">ord </w:t>
            </w:r>
            <w:r w:rsidRPr="0003325F">
              <w:t>» de la/des modification(s) budgétaire(s)</w:t>
            </w:r>
            <w:r w:rsidR="00493337">
              <w:t>.</w:t>
            </w:r>
          </w:p>
        </w:tc>
      </w:tr>
      <w:tr w:rsidR="007E25B1" w:rsidRPr="0003325F" w14:paraId="54BBC7ED" w14:textId="77777777" w:rsidTr="00C90985">
        <w:trPr>
          <w:jc w:val="center"/>
        </w:trPr>
        <w:tc>
          <w:tcPr>
            <w:tcW w:w="805" w:type="dxa"/>
          </w:tcPr>
          <w:p w14:paraId="678BCC91" w14:textId="77777777" w:rsidR="007E25B1" w:rsidRPr="0003325F" w:rsidRDefault="007E25B1" w:rsidP="00C90985">
            <w:pPr>
              <w:spacing w:after="240" w:line="273" w:lineRule="exact"/>
              <w:jc w:val="center"/>
              <w:textAlignment w:val="baseline"/>
            </w:pPr>
            <w:r w:rsidRPr="0003325F">
              <w:lastRenderedPageBreak/>
              <w:t>4</w:t>
            </w:r>
          </w:p>
        </w:tc>
        <w:tc>
          <w:tcPr>
            <w:tcW w:w="9368" w:type="dxa"/>
            <w:vAlign w:val="center"/>
          </w:tcPr>
          <w:p w14:paraId="7933D693" w14:textId="6D653982" w:rsidR="007E25B1" w:rsidRPr="0003325F" w:rsidRDefault="007E25B1" w:rsidP="008D7EB7">
            <w:pPr>
              <w:spacing w:after="240" w:line="273" w:lineRule="exact"/>
              <w:jc w:val="both"/>
              <w:textAlignment w:val="baseline"/>
            </w:pPr>
            <w:r w:rsidRPr="0003325F">
              <w:t>L</w:t>
            </w:r>
            <w:r w:rsidR="00493337">
              <w:t>’</w:t>
            </w:r>
            <w:r w:rsidRPr="0003325F">
              <w:t xml:space="preserve">avis de la commission article 12 du Règlement général de la comptabilité communale </w:t>
            </w:r>
            <w:r w:rsidR="00493337">
              <w:t>–</w:t>
            </w:r>
            <w:r w:rsidRPr="0003325F">
              <w:t xml:space="preserve"> </w:t>
            </w:r>
            <w:r w:rsidRPr="008D7EB7">
              <w:t xml:space="preserve">Modèles disponible sur le portail des pouvoirs locaux </w:t>
            </w:r>
            <w:r w:rsidRPr="0040699C">
              <w:t>ou</w:t>
            </w:r>
            <w:r w:rsidRPr="0003325F">
              <w:t xml:space="preserve"> </w:t>
            </w:r>
            <w:r w:rsidR="000470DD" w:rsidRPr="00493337">
              <w:t xml:space="preserve">à générer au moyen de l’application </w:t>
            </w:r>
            <w:proofErr w:type="spellStart"/>
            <w:r w:rsidRPr="008D7EB7">
              <w:t>eComptes</w:t>
            </w:r>
            <w:proofErr w:type="spellEnd"/>
            <w:r w:rsidR="00493337" w:rsidRPr="008D7EB7">
              <w:t>.</w:t>
            </w:r>
            <w:r w:rsidRPr="008D7EB7">
              <w:t xml:space="preserve"> </w:t>
            </w:r>
          </w:p>
        </w:tc>
      </w:tr>
      <w:tr w:rsidR="007E25B1" w:rsidRPr="0003325F" w14:paraId="15C4B9B3" w14:textId="77777777" w:rsidTr="00C90985">
        <w:trPr>
          <w:jc w:val="center"/>
        </w:trPr>
        <w:tc>
          <w:tcPr>
            <w:tcW w:w="805" w:type="dxa"/>
          </w:tcPr>
          <w:p w14:paraId="42F1B91F" w14:textId="77777777" w:rsidR="007E25B1" w:rsidRPr="0003325F" w:rsidRDefault="007E25B1" w:rsidP="00C90985">
            <w:pPr>
              <w:spacing w:after="240" w:line="273" w:lineRule="exact"/>
              <w:jc w:val="center"/>
              <w:textAlignment w:val="baseline"/>
            </w:pPr>
            <w:r w:rsidRPr="0003325F">
              <w:t>5</w:t>
            </w:r>
          </w:p>
        </w:tc>
        <w:tc>
          <w:tcPr>
            <w:tcW w:w="9368" w:type="dxa"/>
            <w:vAlign w:val="center"/>
          </w:tcPr>
          <w:p w14:paraId="4E57B4ED" w14:textId="0A372E42" w:rsidR="007E25B1" w:rsidRPr="0003325F" w:rsidRDefault="007E25B1" w:rsidP="008D7EB7">
            <w:pPr>
              <w:spacing w:after="240" w:line="273" w:lineRule="exact"/>
              <w:jc w:val="both"/>
              <w:textAlignment w:val="baseline"/>
            </w:pPr>
            <w:r w:rsidRPr="0003325F">
              <w:t xml:space="preserve">Le </w:t>
            </w:r>
            <w:r w:rsidR="004C4DC1">
              <w:rPr>
                <w:lang w:val="fr-BE"/>
              </w:rPr>
              <w:t>tableau – balance des recettes et des dépenses reprenant les derniers montants arrêtés ainsi que les modifications dans les présentes MB pour le service ordinaire et extraordinaire</w:t>
            </w:r>
          </w:p>
        </w:tc>
      </w:tr>
      <w:tr w:rsidR="007E25B1" w:rsidRPr="0003325F" w14:paraId="288E0EFC" w14:textId="77777777" w:rsidTr="00C90985">
        <w:trPr>
          <w:jc w:val="center"/>
        </w:trPr>
        <w:tc>
          <w:tcPr>
            <w:tcW w:w="805" w:type="dxa"/>
          </w:tcPr>
          <w:p w14:paraId="3714B416" w14:textId="77777777" w:rsidR="007E25B1" w:rsidRPr="0003325F" w:rsidRDefault="007E25B1" w:rsidP="00C90985">
            <w:pPr>
              <w:spacing w:after="240" w:line="273" w:lineRule="exact"/>
              <w:jc w:val="center"/>
              <w:textAlignment w:val="baseline"/>
            </w:pPr>
            <w:r w:rsidRPr="0003325F">
              <w:t>6</w:t>
            </w:r>
          </w:p>
        </w:tc>
        <w:tc>
          <w:tcPr>
            <w:tcW w:w="9368" w:type="dxa"/>
            <w:vAlign w:val="center"/>
          </w:tcPr>
          <w:p w14:paraId="304D8257" w14:textId="20F90CB3" w:rsidR="007E25B1" w:rsidRPr="008D7EB7" w:rsidRDefault="007E25B1" w:rsidP="008D7EB7">
            <w:pPr>
              <w:spacing w:after="240" w:line="273" w:lineRule="exact"/>
              <w:jc w:val="both"/>
              <w:textAlignment w:val="baseline"/>
            </w:pPr>
            <w:r w:rsidRPr="0003325F">
              <w:t>Le tableau des voies et moyens issu du système informatique trié par numéros de projets ventilés par articles budgétaires, tableau intitulé : « tableau budgétaire récapitulatif des projets extraordinaires et leur voies et moyens »</w:t>
            </w:r>
            <w:r w:rsidR="00D6592D">
              <w:t xml:space="preserve"> reprenant l’ensemble des projets extraordinaires mouvementés</w:t>
            </w:r>
            <w:r w:rsidRPr="0003325F">
              <w:t>.</w:t>
            </w:r>
          </w:p>
        </w:tc>
      </w:tr>
      <w:tr w:rsidR="007E25B1" w:rsidRPr="0003325F" w14:paraId="486267B1" w14:textId="77777777" w:rsidTr="00C90985">
        <w:trPr>
          <w:jc w:val="center"/>
        </w:trPr>
        <w:tc>
          <w:tcPr>
            <w:tcW w:w="805" w:type="dxa"/>
          </w:tcPr>
          <w:p w14:paraId="6CE1A90B" w14:textId="77777777" w:rsidR="007E25B1" w:rsidRPr="0003325F" w:rsidRDefault="007E25B1" w:rsidP="00C90985">
            <w:pPr>
              <w:spacing w:after="240" w:line="273" w:lineRule="exact"/>
              <w:jc w:val="center"/>
              <w:textAlignment w:val="baseline"/>
            </w:pPr>
            <w:r w:rsidRPr="0003325F">
              <w:t>7</w:t>
            </w:r>
          </w:p>
        </w:tc>
        <w:tc>
          <w:tcPr>
            <w:tcW w:w="9368" w:type="dxa"/>
            <w:vAlign w:val="center"/>
          </w:tcPr>
          <w:p w14:paraId="281F007C" w14:textId="2969B4A9" w:rsidR="007E25B1" w:rsidRPr="0003325F" w:rsidRDefault="007E25B1" w:rsidP="008D7EB7">
            <w:pPr>
              <w:spacing w:after="240" w:line="273" w:lineRule="exact"/>
              <w:jc w:val="both"/>
              <w:textAlignment w:val="baseline"/>
            </w:pPr>
            <w:r w:rsidRPr="0003325F">
              <w:t xml:space="preserve">Les mouvements des réserves et provisions selon le </w:t>
            </w:r>
            <w:r w:rsidRPr="008D7EB7">
              <w:t xml:space="preserve">modèle disponible sur le portail des pouvoirs </w:t>
            </w:r>
            <w:r w:rsidR="001044C0" w:rsidRPr="00493337">
              <w:t>locaux</w:t>
            </w:r>
            <w:r w:rsidR="00BA754A">
              <w:t xml:space="preserve"> </w:t>
            </w:r>
            <w:r w:rsidR="001044C0" w:rsidRPr="00493337">
              <w:t>ou</w:t>
            </w:r>
            <w:r w:rsidRPr="008D7EB7">
              <w:t xml:space="preserve"> </w:t>
            </w:r>
            <w:r w:rsidR="008F78A6" w:rsidRPr="008D7EB7">
              <w:t xml:space="preserve">à générer au moyen de l’application </w:t>
            </w:r>
            <w:proofErr w:type="spellStart"/>
            <w:r w:rsidR="008F78A6" w:rsidRPr="008D7EB7">
              <w:t>eComptes</w:t>
            </w:r>
            <w:proofErr w:type="spellEnd"/>
            <w:r w:rsidR="00493337" w:rsidRPr="008D7EB7">
              <w:t>.</w:t>
            </w:r>
          </w:p>
        </w:tc>
      </w:tr>
      <w:tr w:rsidR="007E25B1" w:rsidRPr="0003325F" w14:paraId="7335AA91" w14:textId="77777777" w:rsidTr="00C90985">
        <w:trPr>
          <w:jc w:val="center"/>
        </w:trPr>
        <w:tc>
          <w:tcPr>
            <w:tcW w:w="805" w:type="dxa"/>
          </w:tcPr>
          <w:p w14:paraId="0230D88E" w14:textId="77777777" w:rsidR="007E25B1" w:rsidRPr="0003325F" w:rsidRDefault="007E25B1" w:rsidP="00C90985">
            <w:pPr>
              <w:spacing w:after="240" w:line="273" w:lineRule="exact"/>
              <w:jc w:val="center"/>
              <w:textAlignment w:val="baseline"/>
            </w:pPr>
            <w:r w:rsidRPr="0003325F">
              <w:t>8</w:t>
            </w:r>
          </w:p>
        </w:tc>
        <w:tc>
          <w:tcPr>
            <w:tcW w:w="9368" w:type="dxa"/>
            <w:vAlign w:val="center"/>
          </w:tcPr>
          <w:p w14:paraId="26F07E9A" w14:textId="4709D3C9" w:rsidR="007E25B1" w:rsidRPr="0003325F" w:rsidRDefault="007E25B1" w:rsidP="008D7EB7">
            <w:pPr>
              <w:spacing w:after="240" w:line="273" w:lineRule="exact"/>
              <w:jc w:val="both"/>
              <w:textAlignment w:val="baseline"/>
            </w:pPr>
            <w:r w:rsidRPr="0003325F">
              <w:t>Quand il existe, l’avis du Directeur financier rendu en application de l’article L1124-40 du CDLD</w:t>
            </w:r>
            <w:r w:rsidR="00493337">
              <w:t>.</w:t>
            </w:r>
          </w:p>
        </w:tc>
      </w:tr>
      <w:tr w:rsidR="007E25B1" w:rsidRPr="0003325F" w14:paraId="4E25F9D6" w14:textId="77777777" w:rsidTr="00C90985">
        <w:trPr>
          <w:jc w:val="center"/>
        </w:trPr>
        <w:tc>
          <w:tcPr>
            <w:tcW w:w="805" w:type="dxa"/>
          </w:tcPr>
          <w:p w14:paraId="6CDD7E99" w14:textId="77777777" w:rsidR="007E25B1" w:rsidRPr="0003325F" w:rsidRDefault="007E25B1" w:rsidP="00C90985">
            <w:pPr>
              <w:spacing w:after="240" w:line="273" w:lineRule="exact"/>
              <w:jc w:val="center"/>
              <w:textAlignment w:val="baseline"/>
            </w:pPr>
            <w:r w:rsidRPr="0003325F">
              <w:t>9</w:t>
            </w:r>
          </w:p>
        </w:tc>
        <w:tc>
          <w:tcPr>
            <w:tcW w:w="9368" w:type="dxa"/>
            <w:vAlign w:val="center"/>
          </w:tcPr>
          <w:p w14:paraId="084EB297" w14:textId="56D77AA8" w:rsidR="007E25B1" w:rsidRPr="0003325F" w:rsidRDefault="00DC2E24" w:rsidP="008D7EB7">
            <w:pPr>
              <w:spacing w:after="240" w:line="273" w:lineRule="exact"/>
              <w:jc w:val="both"/>
              <w:textAlignment w:val="baseline"/>
            </w:pPr>
            <w:r w:rsidRPr="00DC2E24">
              <w:t xml:space="preserve">Le tableau permettant de vérifier le respect de la balise d’emprunt – Modèle disponible sur le portail des pouvoirs locaux </w:t>
            </w:r>
            <w:r>
              <w:t>ainsi que l</w:t>
            </w:r>
            <w:r w:rsidR="006C6AB2" w:rsidRPr="006C6AB2">
              <w:t>’annexe relative au calcul des ratios d’investissements (modèle disponible sur le portail des pouvoirs locaux)</w:t>
            </w:r>
            <w:r w:rsidR="00493337" w:rsidRPr="008D7EB7">
              <w:t>.</w:t>
            </w:r>
            <w:r w:rsidR="007E25B1" w:rsidRPr="0003325F">
              <w:t xml:space="preserve"> </w:t>
            </w:r>
          </w:p>
        </w:tc>
      </w:tr>
      <w:tr w:rsidR="007E25B1" w:rsidRPr="0003325F" w14:paraId="61C9CF18" w14:textId="77777777" w:rsidTr="00C90985">
        <w:trPr>
          <w:jc w:val="center"/>
        </w:trPr>
        <w:tc>
          <w:tcPr>
            <w:tcW w:w="805" w:type="dxa"/>
          </w:tcPr>
          <w:p w14:paraId="21EE5C50" w14:textId="77777777" w:rsidR="007E25B1" w:rsidRPr="0003325F" w:rsidRDefault="007E25B1" w:rsidP="00C90985">
            <w:pPr>
              <w:spacing w:after="240" w:line="273" w:lineRule="exact"/>
              <w:jc w:val="center"/>
              <w:textAlignment w:val="baseline"/>
            </w:pPr>
            <w:r>
              <w:t>10</w:t>
            </w:r>
          </w:p>
        </w:tc>
        <w:tc>
          <w:tcPr>
            <w:tcW w:w="9368" w:type="dxa"/>
            <w:vAlign w:val="center"/>
          </w:tcPr>
          <w:p w14:paraId="50582D2C" w14:textId="5744713D" w:rsidR="007E25B1" w:rsidRPr="00123206" w:rsidRDefault="00BA754A" w:rsidP="008D7EB7">
            <w:pPr>
              <w:spacing w:after="240" w:line="273" w:lineRule="exact"/>
              <w:jc w:val="both"/>
              <w:textAlignment w:val="baseline"/>
            </w:pPr>
            <w:r w:rsidRPr="00123206">
              <w:t>L</w:t>
            </w:r>
            <w:r w:rsidR="008F78A6" w:rsidRPr="00123206">
              <w:t>’accusé de réception de l’envoi du fichier des prévisions pluriannuelles</w:t>
            </w:r>
            <w:r w:rsidR="00493337" w:rsidRPr="00123206">
              <w:t>.</w:t>
            </w:r>
          </w:p>
        </w:tc>
      </w:tr>
      <w:tr w:rsidR="007E25B1" w:rsidRPr="0003325F" w14:paraId="2C5DBDFE" w14:textId="77777777" w:rsidTr="008D7EB7">
        <w:trPr>
          <w:trHeight w:val="704"/>
          <w:jc w:val="center"/>
        </w:trPr>
        <w:tc>
          <w:tcPr>
            <w:tcW w:w="10173" w:type="dxa"/>
            <w:gridSpan w:val="2"/>
            <w:shd w:val="pct12" w:color="auto" w:fill="auto"/>
          </w:tcPr>
          <w:p w14:paraId="181D2750" w14:textId="77777777" w:rsidR="007E25B1" w:rsidRPr="0003325F" w:rsidRDefault="007E25B1" w:rsidP="00C90985">
            <w:pPr>
              <w:spacing w:line="274" w:lineRule="exact"/>
              <w:jc w:val="both"/>
              <w:textAlignment w:val="baseline"/>
              <w:rPr>
                <w:b/>
                <w:spacing w:val="7"/>
              </w:rPr>
            </w:pPr>
            <w:r w:rsidRPr="0003325F">
              <w:rPr>
                <w:b/>
                <w:spacing w:val="7"/>
              </w:rPr>
              <w:t xml:space="preserve">Si vous n'utilisez pas le modèle de délibération </w:t>
            </w:r>
            <w:r w:rsidRPr="0003325F">
              <w:rPr>
                <w:b/>
                <w:color w:val="000000"/>
                <w:lang w:val="fr-BE"/>
              </w:rPr>
              <w:t>in extenso du Conseil communal,</w:t>
            </w:r>
            <w:r w:rsidRPr="0003325F">
              <w:rPr>
                <w:color w:val="000000"/>
                <w:lang w:val="fr-BE"/>
              </w:rPr>
              <w:t xml:space="preserve"> </w:t>
            </w:r>
            <w:r w:rsidRPr="0003325F">
              <w:rPr>
                <w:b/>
                <w:spacing w:val="7"/>
              </w:rPr>
              <w:t>vous êtes tenus d'envoyer à la tutelle les pièces justificatives complémentaires suivantes :</w:t>
            </w:r>
          </w:p>
          <w:p w14:paraId="3179E548" w14:textId="77777777" w:rsidR="007E25B1" w:rsidRPr="0003325F" w:rsidRDefault="007E25B1" w:rsidP="00C90985">
            <w:pPr>
              <w:tabs>
                <w:tab w:val="left" w:pos="864"/>
              </w:tabs>
              <w:spacing w:before="16" w:line="268" w:lineRule="exact"/>
              <w:jc w:val="both"/>
              <w:textAlignment w:val="baseline"/>
              <w:rPr>
                <w:b/>
              </w:rPr>
            </w:pPr>
          </w:p>
        </w:tc>
      </w:tr>
      <w:tr w:rsidR="007E25B1" w:rsidRPr="0003325F" w14:paraId="10126E56" w14:textId="77777777" w:rsidTr="00C90985">
        <w:trPr>
          <w:jc w:val="center"/>
        </w:trPr>
        <w:tc>
          <w:tcPr>
            <w:tcW w:w="805" w:type="dxa"/>
          </w:tcPr>
          <w:p w14:paraId="234E9404" w14:textId="77777777" w:rsidR="007E25B1" w:rsidRPr="0003325F" w:rsidRDefault="007E25B1" w:rsidP="00C90985">
            <w:pPr>
              <w:spacing w:after="240" w:line="273" w:lineRule="exact"/>
              <w:jc w:val="center"/>
              <w:textAlignment w:val="baseline"/>
            </w:pPr>
            <w:r w:rsidRPr="0003325F">
              <w:t>1</w:t>
            </w:r>
          </w:p>
        </w:tc>
        <w:tc>
          <w:tcPr>
            <w:tcW w:w="9368" w:type="dxa"/>
            <w:vAlign w:val="center"/>
          </w:tcPr>
          <w:p w14:paraId="18910FA8" w14:textId="77777777" w:rsidR="007E25B1" w:rsidRPr="0003325F" w:rsidRDefault="007E25B1" w:rsidP="008D7EB7">
            <w:pPr>
              <w:spacing w:after="240" w:line="273" w:lineRule="exact"/>
              <w:jc w:val="both"/>
              <w:textAlignment w:val="baseline"/>
            </w:pPr>
            <w:r w:rsidRPr="0003325F">
              <w:t xml:space="preserve">L’avis de publication </w:t>
            </w:r>
          </w:p>
        </w:tc>
      </w:tr>
      <w:tr w:rsidR="007E25B1" w:rsidRPr="0003325F" w14:paraId="3B0592B3" w14:textId="77777777" w:rsidTr="00C90985">
        <w:trPr>
          <w:jc w:val="center"/>
        </w:trPr>
        <w:tc>
          <w:tcPr>
            <w:tcW w:w="805" w:type="dxa"/>
          </w:tcPr>
          <w:p w14:paraId="4510F7EE" w14:textId="7203073E" w:rsidR="007E25B1" w:rsidRPr="0003325F" w:rsidRDefault="007A0411" w:rsidP="00C90985">
            <w:pPr>
              <w:spacing w:after="240" w:line="273" w:lineRule="exact"/>
              <w:jc w:val="center"/>
              <w:textAlignment w:val="baseline"/>
            </w:pPr>
            <w:r>
              <w:t>2</w:t>
            </w:r>
          </w:p>
        </w:tc>
        <w:tc>
          <w:tcPr>
            <w:tcW w:w="9368" w:type="dxa"/>
            <w:vAlign w:val="center"/>
          </w:tcPr>
          <w:p w14:paraId="37044CDD" w14:textId="22C4AD6A" w:rsidR="007E25B1" w:rsidRPr="0003325F" w:rsidRDefault="007E25B1" w:rsidP="00493337">
            <w:pPr>
              <w:tabs>
                <w:tab w:val="left" w:pos="720"/>
                <w:tab w:val="left" w:pos="864"/>
              </w:tabs>
              <w:spacing w:before="10" w:line="274" w:lineRule="exact"/>
              <w:jc w:val="both"/>
              <w:textAlignment w:val="baseline"/>
            </w:pPr>
            <w:r w:rsidRPr="0003325F">
              <w:t xml:space="preserve">La preuve de la communication aux organisations syndicales des documents budgétaires et </w:t>
            </w:r>
            <w:r w:rsidR="003C0CE2">
              <w:t xml:space="preserve">la certification que, </w:t>
            </w:r>
            <w:r w:rsidRPr="0003325F">
              <w:t>si ces organisations en ont fait la demande, une réunion d'information</w:t>
            </w:r>
            <w:r w:rsidR="003C0CE2">
              <w:t xml:space="preserve"> aura lieu</w:t>
            </w:r>
            <w:r w:rsidRPr="0003325F">
              <w:t>.</w:t>
            </w:r>
          </w:p>
        </w:tc>
      </w:tr>
      <w:tr w:rsidR="007E25B1" w:rsidRPr="0003325F" w14:paraId="30B82C60" w14:textId="77777777" w:rsidTr="00C90985">
        <w:trPr>
          <w:jc w:val="center"/>
        </w:trPr>
        <w:tc>
          <w:tcPr>
            <w:tcW w:w="805" w:type="dxa"/>
          </w:tcPr>
          <w:p w14:paraId="5FD9C3C1" w14:textId="7939D6D9" w:rsidR="007E25B1" w:rsidRPr="0003325F" w:rsidRDefault="007A0411" w:rsidP="00C90985">
            <w:pPr>
              <w:spacing w:after="240" w:line="273" w:lineRule="exact"/>
              <w:jc w:val="center"/>
              <w:textAlignment w:val="baseline"/>
            </w:pPr>
            <w:r>
              <w:t>3</w:t>
            </w:r>
          </w:p>
        </w:tc>
        <w:tc>
          <w:tcPr>
            <w:tcW w:w="9368" w:type="dxa"/>
            <w:vAlign w:val="center"/>
          </w:tcPr>
          <w:p w14:paraId="40379E14" w14:textId="77777777" w:rsidR="007E25B1" w:rsidRPr="0003325F" w:rsidRDefault="007E25B1" w:rsidP="00493337">
            <w:pPr>
              <w:tabs>
                <w:tab w:val="left" w:pos="720"/>
                <w:tab w:val="left" w:pos="864"/>
              </w:tabs>
              <w:spacing w:before="16" w:line="268" w:lineRule="exact"/>
              <w:jc w:val="both"/>
              <w:textAlignment w:val="baseline"/>
            </w:pPr>
            <w:r w:rsidRPr="0003325F">
              <w:t>La copie de la page du budget du CPAS ou la délibération du comité de concertation portant sur les montants de la dotation communale si celle-ci est modifiée</w:t>
            </w:r>
          </w:p>
        </w:tc>
      </w:tr>
    </w:tbl>
    <w:p w14:paraId="248B20D0" w14:textId="39C6E6A3" w:rsidR="00493337" w:rsidRDefault="00493337" w:rsidP="008D7EB7"/>
    <w:p w14:paraId="08769F69" w14:textId="10CCDAE4" w:rsidR="007E25B1" w:rsidRPr="0003325F" w:rsidRDefault="007E25B1" w:rsidP="008D7EB7"/>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9368"/>
      </w:tblGrid>
      <w:tr w:rsidR="007E25B1" w:rsidRPr="0003325F" w14:paraId="07F15E7F" w14:textId="77777777" w:rsidTr="008D7EB7">
        <w:trPr>
          <w:jc w:val="center"/>
        </w:trPr>
        <w:tc>
          <w:tcPr>
            <w:tcW w:w="10173" w:type="dxa"/>
            <w:gridSpan w:val="2"/>
            <w:shd w:val="pct12" w:color="auto" w:fill="auto"/>
          </w:tcPr>
          <w:p w14:paraId="49CE3C70" w14:textId="36C1CC7E" w:rsidR="007E25B1" w:rsidRPr="0003325F" w:rsidRDefault="007E25B1" w:rsidP="00C90985">
            <w:pPr>
              <w:jc w:val="center"/>
              <w:rPr>
                <w:b/>
                <w:lang w:val="fr-BE"/>
              </w:rPr>
            </w:pPr>
            <w:r w:rsidRPr="0003325F">
              <w:rPr>
                <w:b/>
                <w:lang w:val="fr-BE"/>
              </w:rPr>
              <w:t xml:space="preserve">UNIQUEMENT POUR LA MODIFICATION BUDGÉTAIRE COMMUNALE QUI INTRODUIT LES RÉSULTATS DES COMPTES ET UNIQUEMENT SI LES COMPTES </w:t>
            </w:r>
            <w:r w:rsidR="00D6592D">
              <w:rPr>
                <w:b/>
                <w:lang w:val="fr-BE"/>
              </w:rPr>
              <w:t>N’ONT PAS</w:t>
            </w:r>
            <w:r w:rsidR="00D6592D" w:rsidRPr="00256E9F">
              <w:rPr>
                <w:b/>
                <w:caps/>
                <w:lang w:val="fr-BE"/>
              </w:rPr>
              <w:t xml:space="preserve"> déjà été ou </w:t>
            </w:r>
            <w:r w:rsidRPr="0003325F">
              <w:rPr>
                <w:b/>
                <w:lang w:val="fr-BE"/>
              </w:rPr>
              <w:t xml:space="preserve">NE SONT PAS PRESENTÉS EN MÊME TEMPS A LA TUTELLE </w:t>
            </w:r>
            <w:r>
              <w:rPr>
                <w:b/>
                <w:lang w:val="fr-BE"/>
              </w:rPr>
              <w:t xml:space="preserve">- </w:t>
            </w:r>
            <w:r w:rsidRPr="0003325F">
              <w:rPr>
                <w:b/>
                <w:lang w:val="fr-BE"/>
              </w:rPr>
              <w:t>Liste des pièces justificatives obligatoires à fournir en plus</w:t>
            </w:r>
          </w:p>
        </w:tc>
      </w:tr>
      <w:tr w:rsidR="007E25B1" w:rsidRPr="0003325F" w14:paraId="47B7D0D8" w14:textId="77777777" w:rsidTr="00C90985">
        <w:trPr>
          <w:jc w:val="center"/>
        </w:trPr>
        <w:tc>
          <w:tcPr>
            <w:tcW w:w="805" w:type="dxa"/>
            <w:vAlign w:val="center"/>
          </w:tcPr>
          <w:p w14:paraId="51C2DE64" w14:textId="77777777" w:rsidR="007E25B1" w:rsidRPr="0003325F" w:rsidRDefault="007E25B1" w:rsidP="00C90985">
            <w:pPr>
              <w:spacing w:after="240" w:line="273" w:lineRule="exact"/>
              <w:jc w:val="center"/>
              <w:textAlignment w:val="baseline"/>
            </w:pPr>
            <w:r w:rsidRPr="0003325F">
              <w:t>1</w:t>
            </w:r>
          </w:p>
        </w:tc>
        <w:tc>
          <w:tcPr>
            <w:tcW w:w="9368" w:type="dxa"/>
          </w:tcPr>
          <w:p w14:paraId="3BDA7B45" w14:textId="310EC858" w:rsidR="007E25B1" w:rsidRPr="0003325F" w:rsidRDefault="007E25B1" w:rsidP="00493337">
            <w:pPr>
              <w:spacing w:after="240" w:line="273" w:lineRule="exact"/>
              <w:jc w:val="both"/>
              <w:textAlignment w:val="baseline"/>
            </w:pPr>
            <w:r w:rsidRPr="0003325F">
              <w:t>Le tableau de synthèse du compte</w:t>
            </w:r>
            <w:r w:rsidR="00493337">
              <w:t>.</w:t>
            </w:r>
          </w:p>
        </w:tc>
      </w:tr>
      <w:tr w:rsidR="007E25B1" w:rsidRPr="0003325F" w14:paraId="38FEE260" w14:textId="77777777" w:rsidTr="00C90985">
        <w:trPr>
          <w:jc w:val="center"/>
        </w:trPr>
        <w:tc>
          <w:tcPr>
            <w:tcW w:w="805" w:type="dxa"/>
            <w:vAlign w:val="center"/>
          </w:tcPr>
          <w:p w14:paraId="71D3D2F2" w14:textId="77777777" w:rsidR="007E25B1" w:rsidRPr="0003325F" w:rsidRDefault="007E25B1" w:rsidP="00C90985">
            <w:pPr>
              <w:spacing w:after="240" w:line="273" w:lineRule="exact"/>
              <w:jc w:val="center"/>
              <w:textAlignment w:val="baseline"/>
            </w:pPr>
            <w:r w:rsidRPr="0003325F">
              <w:t>2</w:t>
            </w:r>
          </w:p>
        </w:tc>
        <w:tc>
          <w:tcPr>
            <w:tcW w:w="9368" w:type="dxa"/>
          </w:tcPr>
          <w:p w14:paraId="66507E01" w14:textId="77777777" w:rsidR="007E25B1" w:rsidRPr="0003325F" w:rsidRDefault="007E25B1" w:rsidP="00493337">
            <w:pPr>
              <w:spacing w:after="240" w:line="273" w:lineRule="exact"/>
              <w:jc w:val="both"/>
              <w:textAlignment w:val="baseline"/>
            </w:pPr>
            <w:r w:rsidRPr="0003325F">
              <w:t>La délibération du</w:t>
            </w:r>
            <w:r w:rsidRPr="0003325F">
              <w:rPr>
                <w:color w:val="1F497D"/>
                <w:lang w:val="fr-BE"/>
              </w:rPr>
              <w:t xml:space="preserve"> </w:t>
            </w:r>
            <w:r w:rsidRPr="0003325F">
              <w:t>Conseil arrêtant ledit compte conforme au modèle disponible sur le portail des pouvoirs locaux sinon, joindre à la délibération la copie du bilan.</w:t>
            </w:r>
          </w:p>
        </w:tc>
      </w:tr>
      <w:tr w:rsidR="007E25B1" w:rsidRPr="0003325F" w14:paraId="22F186DC" w14:textId="77777777" w:rsidTr="00C90985">
        <w:trPr>
          <w:jc w:val="center"/>
        </w:trPr>
        <w:tc>
          <w:tcPr>
            <w:tcW w:w="805" w:type="dxa"/>
            <w:vAlign w:val="center"/>
          </w:tcPr>
          <w:p w14:paraId="253F59F0" w14:textId="77777777" w:rsidR="007E25B1" w:rsidRPr="0003325F" w:rsidRDefault="007E25B1" w:rsidP="00C90985">
            <w:pPr>
              <w:spacing w:after="240" w:line="273" w:lineRule="exact"/>
              <w:jc w:val="center"/>
              <w:textAlignment w:val="baseline"/>
            </w:pPr>
            <w:r w:rsidRPr="0003325F">
              <w:t>3</w:t>
            </w:r>
          </w:p>
        </w:tc>
        <w:tc>
          <w:tcPr>
            <w:tcW w:w="9368" w:type="dxa"/>
          </w:tcPr>
          <w:p w14:paraId="0A6A1698" w14:textId="47A4C6AF" w:rsidR="007E25B1" w:rsidRPr="0003325F" w:rsidRDefault="007E25B1" w:rsidP="00493337">
            <w:pPr>
              <w:spacing w:after="240" w:line="273" w:lineRule="exact"/>
              <w:jc w:val="both"/>
              <w:textAlignment w:val="baseline"/>
              <w:rPr>
                <w:strike/>
              </w:rPr>
            </w:pPr>
            <w:r w:rsidRPr="0003325F">
              <w:t xml:space="preserve">Le tableau des voies et moyens issu du système informatique trié par numéros de projets ventilés par articles budgétaires, tableau intitulé : « tableau budgétaire récapitulatif des projets extraordinaires et leur voies et moyens » (il s'agit ici de la même pièce que celle reprise au point 12 des comptes annuels dans la circulaire du </w:t>
            </w:r>
            <w:r>
              <w:t>21 janvier 2019</w:t>
            </w:r>
            <w:r w:rsidRPr="0003325F">
              <w:t xml:space="preserve"> sur les pièces justificatives)</w:t>
            </w:r>
            <w:r w:rsidR="00493337">
              <w:t>.</w:t>
            </w:r>
          </w:p>
        </w:tc>
      </w:tr>
    </w:tbl>
    <w:p w14:paraId="26CF5DE5" w14:textId="77777777" w:rsidR="007E25B1" w:rsidRDefault="007E25B1" w:rsidP="007E25B1">
      <w:pPr>
        <w:jc w:val="both"/>
        <w:rPr>
          <w:lang w:val="fr-BE"/>
        </w:rPr>
      </w:pPr>
    </w:p>
    <w:p w14:paraId="7C51E7F7" w14:textId="1DF61C4B" w:rsidR="007E25B1" w:rsidRPr="0003325F" w:rsidRDefault="007E25B1" w:rsidP="008D7EB7"/>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9368"/>
      </w:tblGrid>
      <w:tr w:rsidR="007E25B1" w:rsidRPr="0003325F" w14:paraId="3A09AF0F" w14:textId="77777777" w:rsidTr="008D7EB7">
        <w:trPr>
          <w:trHeight w:val="770"/>
          <w:jc w:val="center"/>
        </w:trPr>
        <w:tc>
          <w:tcPr>
            <w:tcW w:w="10173" w:type="dxa"/>
            <w:gridSpan w:val="2"/>
            <w:shd w:val="pct12" w:color="auto" w:fill="auto"/>
          </w:tcPr>
          <w:p w14:paraId="6D3CDD66" w14:textId="77777777" w:rsidR="007E25B1" w:rsidRPr="0003325F" w:rsidRDefault="007E25B1" w:rsidP="00C90985">
            <w:pPr>
              <w:jc w:val="center"/>
              <w:rPr>
                <w:b/>
                <w:lang w:val="fr-BE"/>
              </w:rPr>
            </w:pPr>
            <w:r w:rsidRPr="0003325F">
              <w:rPr>
                <w:b/>
                <w:lang w:val="fr-BE"/>
              </w:rPr>
              <w:lastRenderedPageBreak/>
              <w:t>BUDGET et MODIFICATIONS BUDGETAIRES DE REGIE</w:t>
            </w:r>
          </w:p>
          <w:p w14:paraId="530676D5" w14:textId="77777777" w:rsidR="007E25B1" w:rsidRPr="0003325F" w:rsidRDefault="007E25B1" w:rsidP="00C90985">
            <w:pPr>
              <w:jc w:val="center"/>
              <w:rPr>
                <w:b/>
                <w:lang w:val="fr-BE"/>
              </w:rPr>
            </w:pPr>
            <w:proofErr w:type="gramStart"/>
            <w:r w:rsidRPr="0003325F">
              <w:rPr>
                <w:b/>
                <w:lang w:val="fr-BE"/>
              </w:rPr>
              <w:t>Listing</w:t>
            </w:r>
            <w:proofErr w:type="gramEnd"/>
            <w:r w:rsidRPr="0003325F">
              <w:rPr>
                <w:b/>
                <w:lang w:val="fr-BE"/>
              </w:rPr>
              <w:t xml:space="preserve"> des pièces justificatives obligatoires</w:t>
            </w:r>
          </w:p>
        </w:tc>
      </w:tr>
      <w:tr w:rsidR="007E25B1" w:rsidRPr="0003325F" w14:paraId="3022ABBB" w14:textId="77777777" w:rsidTr="00C90985">
        <w:trPr>
          <w:trHeight w:val="412"/>
          <w:jc w:val="center"/>
        </w:trPr>
        <w:tc>
          <w:tcPr>
            <w:tcW w:w="805" w:type="dxa"/>
            <w:vAlign w:val="center"/>
          </w:tcPr>
          <w:p w14:paraId="208D9896" w14:textId="77777777" w:rsidR="007E25B1" w:rsidRPr="0003325F" w:rsidRDefault="007E25B1" w:rsidP="00C90985">
            <w:pPr>
              <w:jc w:val="center"/>
            </w:pPr>
            <w:r w:rsidRPr="0003325F">
              <w:t>1</w:t>
            </w:r>
          </w:p>
        </w:tc>
        <w:tc>
          <w:tcPr>
            <w:tcW w:w="9368" w:type="dxa"/>
            <w:vAlign w:val="center"/>
          </w:tcPr>
          <w:p w14:paraId="73236691" w14:textId="2840B4D9" w:rsidR="007E25B1" w:rsidRPr="0003325F" w:rsidRDefault="007E25B1" w:rsidP="008D7EB7">
            <w:pPr>
              <w:jc w:val="both"/>
              <w:rPr>
                <w:lang w:val="fr-BE"/>
              </w:rPr>
            </w:pPr>
            <w:r w:rsidRPr="0003325F">
              <w:t xml:space="preserve">La délibération in extenso du Conseil communal - </w:t>
            </w:r>
            <w:r w:rsidRPr="0003325F">
              <w:rPr>
                <w:lang w:val="fr-BE"/>
              </w:rPr>
              <w:t>Modèle sur le portail des pouvoirs locaux</w:t>
            </w:r>
            <w:r w:rsidR="00493337">
              <w:rPr>
                <w:lang w:val="fr-BE"/>
              </w:rPr>
              <w:t>.</w:t>
            </w:r>
          </w:p>
        </w:tc>
      </w:tr>
      <w:tr w:rsidR="007E25B1" w:rsidRPr="0003325F" w14:paraId="6AD4E4E6" w14:textId="77777777" w:rsidTr="00C90985">
        <w:trPr>
          <w:trHeight w:val="418"/>
          <w:jc w:val="center"/>
        </w:trPr>
        <w:tc>
          <w:tcPr>
            <w:tcW w:w="805" w:type="dxa"/>
            <w:vAlign w:val="center"/>
          </w:tcPr>
          <w:p w14:paraId="3D2303DE" w14:textId="77777777" w:rsidR="007E25B1" w:rsidRPr="0003325F" w:rsidRDefault="007E25B1" w:rsidP="00C90985">
            <w:pPr>
              <w:jc w:val="center"/>
            </w:pPr>
            <w:r w:rsidRPr="0003325F">
              <w:t>2</w:t>
            </w:r>
          </w:p>
        </w:tc>
        <w:tc>
          <w:tcPr>
            <w:tcW w:w="9368" w:type="dxa"/>
            <w:vAlign w:val="center"/>
          </w:tcPr>
          <w:p w14:paraId="03583AD0" w14:textId="22451EA0" w:rsidR="007E25B1" w:rsidRPr="0003325F" w:rsidRDefault="007E25B1" w:rsidP="008D7EB7">
            <w:pPr>
              <w:jc w:val="both"/>
            </w:pPr>
            <w:r w:rsidRPr="0003325F">
              <w:rPr>
                <w:lang w:val="fr-BE"/>
              </w:rPr>
              <w:t>L</w:t>
            </w:r>
            <w:r w:rsidRPr="0003325F">
              <w:t xml:space="preserve">a version « </w:t>
            </w:r>
            <w:r w:rsidR="00FD0BF2">
              <w:t>W</w:t>
            </w:r>
            <w:r w:rsidR="00FD0BF2" w:rsidRPr="0003325F">
              <w:t xml:space="preserve">ord </w:t>
            </w:r>
            <w:r w:rsidRPr="0003325F">
              <w:t xml:space="preserve">» ou « </w:t>
            </w:r>
            <w:r w:rsidR="00FD0BF2">
              <w:t>E</w:t>
            </w:r>
            <w:r w:rsidR="00FD0BF2" w:rsidRPr="0003325F">
              <w:t xml:space="preserve">xcel </w:t>
            </w:r>
            <w:r w:rsidRPr="0003325F">
              <w:t>» du budget ou de la modification budgétaire</w:t>
            </w:r>
            <w:r w:rsidR="00493337">
              <w:t>.</w:t>
            </w:r>
          </w:p>
        </w:tc>
      </w:tr>
      <w:tr w:rsidR="007E25B1" w:rsidRPr="0003325F" w14:paraId="5598FFF2" w14:textId="77777777" w:rsidTr="00C90985">
        <w:trPr>
          <w:trHeight w:val="418"/>
          <w:jc w:val="center"/>
        </w:trPr>
        <w:tc>
          <w:tcPr>
            <w:tcW w:w="805" w:type="dxa"/>
            <w:vAlign w:val="center"/>
          </w:tcPr>
          <w:p w14:paraId="045E3342" w14:textId="77777777" w:rsidR="007E25B1" w:rsidRPr="0003325F" w:rsidRDefault="007E25B1" w:rsidP="00C90985">
            <w:pPr>
              <w:jc w:val="center"/>
            </w:pPr>
            <w:r w:rsidRPr="0003325F">
              <w:t>3</w:t>
            </w:r>
          </w:p>
        </w:tc>
        <w:tc>
          <w:tcPr>
            <w:tcW w:w="9368" w:type="dxa"/>
            <w:vAlign w:val="center"/>
          </w:tcPr>
          <w:p w14:paraId="2CE12D70" w14:textId="6490DC7F" w:rsidR="007E25B1" w:rsidRPr="0003325F" w:rsidRDefault="007E25B1" w:rsidP="008D7EB7">
            <w:pPr>
              <w:jc w:val="both"/>
              <w:rPr>
                <w:lang w:val="fr-BE"/>
              </w:rPr>
            </w:pPr>
            <w:r w:rsidRPr="0003325F">
              <w:t>Les états de recettes et dépenses (budget de trésorerie)</w:t>
            </w:r>
            <w:r w:rsidR="00493337">
              <w:t>.</w:t>
            </w:r>
          </w:p>
        </w:tc>
      </w:tr>
      <w:tr w:rsidR="007E25B1" w:rsidRPr="0003325F" w14:paraId="6D871933" w14:textId="77777777" w:rsidTr="00C90985">
        <w:trPr>
          <w:trHeight w:val="411"/>
          <w:jc w:val="center"/>
        </w:trPr>
        <w:tc>
          <w:tcPr>
            <w:tcW w:w="805" w:type="dxa"/>
            <w:vAlign w:val="center"/>
          </w:tcPr>
          <w:p w14:paraId="699FD415" w14:textId="77777777" w:rsidR="007E25B1" w:rsidRPr="0003325F" w:rsidRDefault="007E25B1" w:rsidP="00C90985">
            <w:pPr>
              <w:jc w:val="center"/>
            </w:pPr>
            <w:r w:rsidRPr="0003325F">
              <w:t>4</w:t>
            </w:r>
          </w:p>
        </w:tc>
        <w:tc>
          <w:tcPr>
            <w:tcW w:w="9368" w:type="dxa"/>
            <w:vAlign w:val="center"/>
          </w:tcPr>
          <w:p w14:paraId="33981C6C" w14:textId="14F652D2" w:rsidR="007E25B1" w:rsidRPr="0003325F" w:rsidRDefault="007E25B1" w:rsidP="008D7EB7">
            <w:pPr>
              <w:jc w:val="both"/>
              <w:rPr>
                <w:lang w:val="fr-BE"/>
              </w:rPr>
            </w:pPr>
            <w:r w:rsidRPr="0003325F">
              <w:t>Le tableau du personnel de la régie comprenant tous les éléments chiffrés de la rémunération</w:t>
            </w:r>
            <w:r w:rsidR="00493337">
              <w:t>.</w:t>
            </w:r>
          </w:p>
        </w:tc>
      </w:tr>
      <w:tr w:rsidR="007E25B1" w:rsidRPr="0003325F" w14:paraId="7312515B" w14:textId="77777777" w:rsidTr="00C90985">
        <w:trPr>
          <w:trHeight w:val="618"/>
          <w:jc w:val="center"/>
        </w:trPr>
        <w:tc>
          <w:tcPr>
            <w:tcW w:w="805" w:type="dxa"/>
            <w:vAlign w:val="center"/>
          </w:tcPr>
          <w:p w14:paraId="72DE9BAE" w14:textId="77777777" w:rsidR="007E25B1" w:rsidRPr="0003325F" w:rsidRDefault="007E25B1" w:rsidP="00C90985">
            <w:pPr>
              <w:jc w:val="center"/>
            </w:pPr>
            <w:r w:rsidRPr="0003325F">
              <w:t>5</w:t>
            </w:r>
          </w:p>
        </w:tc>
        <w:tc>
          <w:tcPr>
            <w:tcW w:w="9368" w:type="dxa"/>
            <w:vAlign w:val="center"/>
          </w:tcPr>
          <w:p w14:paraId="6107609D" w14:textId="67F6F07E" w:rsidR="007E25B1" w:rsidRPr="0003325F" w:rsidRDefault="007E25B1" w:rsidP="008D7EB7">
            <w:pPr>
              <w:jc w:val="both"/>
              <w:rPr>
                <w:lang w:val="fr-BE"/>
              </w:rPr>
            </w:pPr>
            <w:r w:rsidRPr="0003325F">
              <w:t>Le tableau des emprunts de la régie contractés et à contracter présenté par emprunt avec récapitulation</w:t>
            </w:r>
            <w:r w:rsidR="00493337">
              <w:t>.</w:t>
            </w:r>
          </w:p>
        </w:tc>
      </w:tr>
      <w:tr w:rsidR="007E25B1" w:rsidRPr="0003325F" w14:paraId="26722C54" w14:textId="77777777" w:rsidTr="00C90985">
        <w:trPr>
          <w:trHeight w:val="618"/>
          <w:jc w:val="center"/>
        </w:trPr>
        <w:tc>
          <w:tcPr>
            <w:tcW w:w="805" w:type="dxa"/>
            <w:vAlign w:val="center"/>
          </w:tcPr>
          <w:p w14:paraId="20C80699" w14:textId="77777777" w:rsidR="007E25B1" w:rsidRPr="0003325F" w:rsidRDefault="007E25B1" w:rsidP="00C90985">
            <w:pPr>
              <w:jc w:val="center"/>
            </w:pPr>
            <w:r w:rsidRPr="0003325F">
              <w:t>6</w:t>
            </w:r>
          </w:p>
        </w:tc>
        <w:tc>
          <w:tcPr>
            <w:tcW w:w="9368" w:type="dxa"/>
            <w:vAlign w:val="center"/>
          </w:tcPr>
          <w:p w14:paraId="34B1DCD8" w14:textId="55AFB395" w:rsidR="007E25B1" w:rsidRPr="0003325F" w:rsidRDefault="007E25B1" w:rsidP="008D7EB7">
            <w:pPr>
              <w:jc w:val="both"/>
            </w:pPr>
            <w:r w:rsidRPr="0003325F">
              <w:t>Quand il existe, l’avis du Directeur financier rendu en application de l’article L1124-40 du CDLD</w:t>
            </w:r>
            <w:r w:rsidR="00493337">
              <w:t>.</w:t>
            </w:r>
          </w:p>
        </w:tc>
      </w:tr>
    </w:tbl>
    <w:p w14:paraId="2155A88C" w14:textId="77777777" w:rsidR="00493337" w:rsidRDefault="00493337" w:rsidP="007E25B1">
      <w:pPr>
        <w:spacing w:after="200" w:line="276" w:lineRule="auto"/>
      </w:pPr>
    </w:p>
    <w:p w14:paraId="460C1638" w14:textId="5B15B4BA" w:rsidR="004A2669" w:rsidRDefault="004A2669" w:rsidP="008D7EB7">
      <w:pPr>
        <w:jc w:val="both"/>
        <w:rPr>
          <w:rFonts w:eastAsiaTheme="minorHAnsi"/>
          <w:lang w:eastAsia="en-US"/>
        </w:rPr>
      </w:pPr>
      <w:r w:rsidRPr="008D7EB7">
        <w:rPr>
          <w:rFonts w:eastAsiaTheme="minorHAnsi"/>
          <w:lang w:eastAsia="en-US"/>
        </w:rPr>
        <w:t>Les documents budgétaires sont soumis à une tutelle d'approbation. Avant son approbation définitive ou l'expiration du délai d'approbation, le budget n'est pas exécutoire, c'est-à-dire qu'il ne peut être mis à exécution.</w:t>
      </w:r>
    </w:p>
    <w:p w14:paraId="6AC32F9D" w14:textId="77777777" w:rsidR="00FD0BF2" w:rsidRPr="008D7EB7" w:rsidRDefault="00FD0BF2">
      <w:pPr>
        <w:jc w:val="both"/>
        <w:rPr>
          <w:rFonts w:eastAsiaTheme="minorHAnsi"/>
          <w:lang w:eastAsia="en-US"/>
        </w:rPr>
      </w:pPr>
    </w:p>
    <w:p w14:paraId="725B1784" w14:textId="13981894" w:rsidR="00BC56F0" w:rsidRDefault="004A2669" w:rsidP="008D7EB7">
      <w:pPr>
        <w:jc w:val="both"/>
        <w:rPr>
          <w:rFonts w:eastAsiaTheme="minorHAnsi"/>
          <w:lang w:eastAsia="en-US"/>
        </w:rPr>
      </w:pPr>
      <w:r w:rsidRPr="008D7EB7">
        <w:rPr>
          <w:rFonts w:eastAsiaTheme="minorHAnsi"/>
          <w:lang w:eastAsia="en-US"/>
        </w:rPr>
        <w:t>Ces documents budgétaires devront être accompagnés de toutes les pièces justificatives (en un seul exemplaire) permettant leur analyse complète préalable à leur approbation, et en particulier la délibération in extenso du Conseil communal</w:t>
      </w:r>
      <w:r w:rsidR="00FD0BF2">
        <w:rPr>
          <w:rStyle w:val="Appelnotedebasdep"/>
          <w:rFonts w:eastAsiaTheme="minorHAnsi"/>
          <w:lang w:eastAsia="en-US"/>
        </w:rPr>
        <w:footnoteReference w:id="9"/>
      </w:r>
      <w:r w:rsidRPr="008D7EB7">
        <w:rPr>
          <w:rFonts w:eastAsiaTheme="minorHAnsi"/>
          <w:lang w:eastAsia="en-US"/>
        </w:rPr>
        <w:t xml:space="preserve">. Dans cette délibération, je vous demande de faire apparaître certaines mentions liées à la mise en </w:t>
      </w:r>
      <w:r w:rsidR="001E178F" w:rsidRPr="008D7EB7">
        <w:rPr>
          <w:rFonts w:eastAsiaTheme="minorHAnsi"/>
          <w:lang w:eastAsia="en-US"/>
        </w:rPr>
        <w:t>œuvre</w:t>
      </w:r>
      <w:r w:rsidRPr="008D7EB7">
        <w:rPr>
          <w:rFonts w:eastAsiaTheme="minorHAnsi"/>
          <w:lang w:eastAsia="en-US"/>
        </w:rPr>
        <w:t xml:space="preserve"> du principe de confiance et certains éléments chiffrés afin de permettre une certification au regard des transmissions électroniques. </w:t>
      </w:r>
    </w:p>
    <w:p w14:paraId="60EAACBF" w14:textId="77777777" w:rsidR="00FD0BF2" w:rsidRPr="008D7EB7" w:rsidRDefault="00FD0BF2">
      <w:pPr>
        <w:jc w:val="both"/>
        <w:rPr>
          <w:rFonts w:eastAsiaTheme="minorHAnsi"/>
          <w:lang w:eastAsia="en-US"/>
        </w:rPr>
      </w:pPr>
    </w:p>
    <w:p w14:paraId="463E09E2" w14:textId="75F414F3" w:rsidR="00BC3C00" w:rsidRDefault="00BC3C00" w:rsidP="00FD0BF2">
      <w:pPr>
        <w:jc w:val="both"/>
        <w:rPr>
          <w:rFonts w:eastAsiaTheme="minorHAnsi"/>
          <w:lang w:eastAsia="en-US"/>
        </w:rPr>
      </w:pPr>
      <w:r w:rsidRPr="008D7EB7">
        <w:rPr>
          <w:rFonts w:eastAsiaTheme="minorHAnsi"/>
          <w:lang w:eastAsia="en-US"/>
        </w:rPr>
        <w:t xml:space="preserve">Dans le cadre de la simplification administrative et afin de réduire le nombre de pièces justificatives à transmettre en tutelle, je vous recommande fortement d'utiliser les modèles de délibération disponibles sur le portail des pouvoirs locaux. En effet, ces derniers prévoient l'indication que certaines procédures sont/seront bien respectées. </w:t>
      </w:r>
      <w:r w:rsidR="001504CC" w:rsidRPr="008D7EB7">
        <w:rPr>
          <w:rFonts w:eastAsiaTheme="minorHAnsi"/>
          <w:lang w:eastAsia="en-US"/>
        </w:rPr>
        <w:t xml:space="preserve">Vous pouvez également utiliser l’application </w:t>
      </w:r>
      <w:proofErr w:type="spellStart"/>
      <w:r w:rsidR="001504CC" w:rsidRPr="008D7EB7">
        <w:rPr>
          <w:rFonts w:eastAsiaTheme="minorHAnsi"/>
          <w:lang w:eastAsia="en-US"/>
        </w:rPr>
        <w:t>eComptes</w:t>
      </w:r>
      <w:proofErr w:type="spellEnd"/>
      <w:r w:rsidR="001504CC" w:rsidRPr="008D7EB7">
        <w:rPr>
          <w:rFonts w:eastAsiaTheme="minorHAnsi"/>
          <w:lang w:eastAsia="en-US"/>
        </w:rPr>
        <w:t xml:space="preserve"> pour générer ces délibérations. </w:t>
      </w:r>
      <w:r w:rsidR="007E7D96" w:rsidRPr="00123206">
        <w:rPr>
          <w:rFonts w:eastAsiaTheme="minorHAnsi"/>
          <w:lang w:eastAsia="en-US"/>
        </w:rPr>
        <w:t xml:space="preserve">L’application </w:t>
      </w:r>
      <w:proofErr w:type="spellStart"/>
      <w:r w:rsidR="007E7D96" w:rsidRPr="00123206">
        <w:rPr>
          <w:rFonts w:eastAsiaTheme="minorHAnsi"/>
          <w:lang w:eastAsia="en-US"/>
        </w:rPr>
        <w:t>eComptes</w:t>
      </w:r>
      <w:proofErr w:type="spellEnd"/>
      <w:r w:rsidR="007E7D96" w:rsidRPr="00123206">
        <w:rPr>
          <w:rFonts w:eastAsiaTheme="minorHAnsi"/>
          <w:lang w:eastAsia="en-US"/>
        </w:rPr>
        <w:t xml:space="preserve"> vous permet de </w:t>
      </w:r>
      <w:r w:rsidR="001504CC" w:rsidRPr="00123206">
        <w:rPr>
          <w:rFonts w:eastAsiaTheme="minorHAnsi"/>
          <w:lang w:eastAsia="en-US"/>
        </w:rPr>
        <w:t>bénéficier</w:t>
      </w:r>
      <w:r w:rsidR="00123206">
        <w:rPr>
          <w:rFonts w:eastAsiaTheme="minorHAnsi"/>
          <w:lang w:eastAsia="en-US"/>
        </w:rPr>
        <w:t xml:space="preserve"> </w:t>
      </w:r>
      <w:r w:rsidR="001504CC" w:rsidRPr="00123206">
        <w:rPr>
          <w:rFonts w:eastAsiaTheme="minorHAnsi"/>
          <w:lang w:eastAsia="en-US"/>
        </w:rPr>
        <w:t xml:space="preserve">de modèles toujours à jour et d’une injection informatisée des chiffres dans le corps de la délibération, </w:t>
      </w:r>
      <w:r w:rsidR="007E7D96" w:rsidRPr="00123206">
        <w:rPr>
          <w:rFonts w:eastAsiaTheme="minorHAnsi"/>
          <w:lang w:eastAsia="en-US"/>
        </w:rPr>
        <w:t>ainsi que de</w:t>
      </w:r>
      <w:r w:rsidR="001504CC" w:rsidRPr="008D7EB7">
        <w:rPr>
          <w:rFonts w:eastAsiaTheme="minorHAnsi"/>
          <w:lang w:eastAsia="en-US"/>
        </w:rPr>
        <w:t xml:space="preserve"> la possibilité de gérer les présence</w:t>
      </w:r>
      <w:r w:rsidR="00302D4E">
        <w:rPr>
          <w:rFonts w:eastAsiaTheme="minorHAnsi"/>
          <w:lang w:eastAsia="en-US"/>
        </w:rPr>
        <w:t>s</w:t>
      </w:r>
      <w:r w:rsidR="00493337" w:rsidRPr="00900C39">
        <w:rPr>
          <w:rFonts w:eastAsiaTheme="minorHAnsi"/>
          <w:vertAlign w:val="superscript"/>
          <w:lang w:eastAsia="en-US"/>
        </w:rPr>
        <w:footnoteReference w:id="10"/>
      </w:r>
      <w:r w:rsidR="001504CC" w:rsidRPr="008D7EB7">
        <w:rPr>
          <w:rFonts w:eastAsiaTheme="minorHAnsi"/>
          <w:lang w:eastAsia="en-US"/>
        </w:rPr>
        <w:t xml:space="preserve">. </w:t>
      </w:r>
    </w:p>
    <w:p w14:paraId="1D49476C" w14:textId="77777777" w:rsidR="00FD0BF2" w:rsidRPr="008D7EB7" w:rsidRDefault="00FD0BF2">
      <w:pPr>
        <w:jc w:val="both"/>
        <w:rPr>
          <w:rFonts w:eastAsiaTheme="minorHAnsi"/>
          <w:lang w:eastAsia="en-US"/>
        </w:rPr>
      </w:pPr>
    </w:p>
    <w:p w14:paraId="153A54E3" w14:textId="1F45B56E" w:rsidR="004A2669" w:rsidRDefault="004A2669" w:rsidP="00FD0BF2">
      <w:pPr>
        <w:jc w:val="both"/>
        <w:rPr>
          <w:rFonts w:eastAsiaTheme="minorHAnsi"/>
          <w:lang w:eastAsia="en-US"/>
        </w:rPr>
      </w:pPr>
      <w:r w:rsidRPr="008D7EB7">
        <w:rPr>
          <w:rFonts w:eastAsiaTheme="minorHAnsi"/>
          <w:lang w:eastAsia="en-US"/>
        </w:rPr>
        <w:t>En ce qui concerne la transmission de ces documents aux conseillers communaux, ceux-ci seront clairement informés de leur droit à recevoir toutes les annexes. Les modalités de communication de ces annexes seront également précisées aux conseillers plus tard au moment de l'envoi du budget. Ces annexes seront impérativement communiquées à l'autorité de tutelle.</w:t>
      </w:r>
    </w:p>
    <w:p w14:paraId="504E0378" w14:textId="77777777" w:rsidR="00FD0BF2" w:rsidRPr="008D7EB7" w:rsidRDefault="00FD0BF2">
      <w:pPr>
        <w:jc w:val="both"/>
        <w:rPr>
          <w:rFonts w:eastAsiaTheme="minorHAnsi"/>
          <w:lang w:eastAsia="en-US"/>
        </w:rPr>
      </w:pPr>
    </w:p>
    <w:p w14:paraId="554DCE3E" w14:textId="3AF43074" w:rsidR="004A2669" w:rsidRPr="008D7EB7" w:rsidRDefault="004A2669">
      <w:pPr>
        <w:jc w:val="both"/>
        <w:rPr>
          <w:rFonts w:eastAsiaTheme="minorHAnsi"/>
          <w:lang w:eastAsia="en-US"/>
        </w:rPr>
      </w:pPr>
      <w:r w:rsidRPr="008D7EB7">
        <w:rPr>
          <w:rFonts w:eastAsiaTheme="minorHAnsi"/>
          <w:lang w:eastAsia="en-US"/>
        </w:rPr>
        <w:t xml:space="preserve">Par ailleurs, l'absence d'une (ou de plusieurs) de ces annexes constitue un facteur susceptible </w:t>
      </w:r>
      <w:r w:rsidR="00D6592D">
        <w:rPr>
          <w:rFonts w:eastAsiaTheme="minorHAnsi"/>
          <w:lang w:eastAsia="en-US"/>
        </w:rPr>
        <w:t xml:space="preserve">d’empêcher l’exercice de la tutelle de débuter et donc </w:t>
      </w:r>
      <w:r w:rsidRPr="008D7EB7">
        <w:rPr>
          <w:rFonts w:eastAsiaTheme="minorHAnsi"/>
          <w:lang w:eastAsia="en-US"/>
        </w:rPr>
        <w:t xml:space="preserve">d'allonger </w:t>
      </w:r>
      <w:r w:rsidR="00D6592D">
        <w:rPr>
          <w:rFonts w:eastAsiaTheme="minorHAnsi"/>
          <w:lang w:eastAsia="en-US"/>
        </w:rPr>
        <w:t>c</w:t>
      </w:r>
      <w:r w:rsidRPr="008D7EB7">
        <w:rPr>
          <w:rFonts w:eastAsiaTheme="minorHAnsi"/>
          <w:lang w:eastAsia="en-US"/>
        </w:rPr>
        <w:t xml:space="preserve">e </w:t>
      </w:r>
      <w:r w:rsidR="00D6592D">
        <w:rPr>
          <w:rFonts w:eastAsiaTheme="minorHAnsi"/>
          <w:lang w:eastAsia="en-US"/>
        </w:rPr>
        <w:t xml:space="preserve">même </w:t>
      </w:r>
      <w:r w:rsidRPr="008D7EB7">
        <w:rPr>
          <w:rFonts w:eastAsiaTheme="minorHAnsi"/>
          <w:lang w:eastAsia="en-US"/>
        </w:rPr>
        <w:t xml:space="preserve">délai d'exercice de la tutelle. </w:t>
      </w:r>
      <w:r w:rsidRPr="00256E9F">
        <w:rPr>
          <w:rFonts w:eastAsiaTheme="minorHAnsi"/>
          <w:b/>
          <w:bCs/>
          <w:lang w:eastAsia="en-US"/>
        </w:rPr>
        <w:t>Je vous engage donc vivement à transmettre un dossier parfaitement complet à l'autorité de tutelle.</w:t>
      </w:r>
    </w:p>
    <w:p w14:paraId="4A28BD3D" w14:textId="77777777" w:rsidR="004A2669" w:rsidRPr="001E1353" w:rsidRDefault="004A2669" w:rsidP="00AE6EFD">
      <w:pPr>
        <w:pStyle w:val="Sam2"/>
        <w:rPr>
          <w:lang w:val="fr-FR"/>
        </w:rPr>
      </w:pPr>
      <w:bookmarkStart w:id="542" w:name="_Toc40185194"/>
      <w:bookmarkStart w:id="543" w:name="_Toc40185929"/>
      <w:bookmarkStart w:id="544" w:name="_Toc40185195"/>
      <w:bookmarkStart w:id="545" w:name="_Toc40185930"/>
      <w:bookmarkStart w:id="546" w:name="_Toc40185196"/>
      <w:bookmarkStart w:id="547" w:name="_Toc40185931"/>
      <w:bookmarkStart w:id="548" w:name="_Toc8121642"/>
      <w:bookmarkStart w:id="549" w:name="_Toc8129583"/>
      <w:bookmarkStart w:id="550" w:name="_Toc74557563"/>
      <w:bookmarkEnd w:id="542"/>
      <w:bookmarkEnd w:id="543"/>
      <w:bookmarkEnd w:id="544"/>
      <w:bookmarkEnd w:id="545"/>
      <w:bookmarkEnd w:id="546"/>
      <w:bookmarkEnd w:id="547"/>
      <w:bookmarkEnd w:id="548"/>
      <w:bookmarkEnd w:id="549"/>
      <w:r w:rsidRPr="001E1353">
        <w:rPr>
          <w:lang w:val="fr-FR"/>
        </w:rPr>
        <w:lastRenderedPageBreak/>
        <w:t>Crédits provisoires</w:t>
      </w:r>
      <w:bookmarkEnd w:id="550"/>
      <w:r w:rsidRPr="001E1353">
        <w:rPr>
          <w:lang w:val="fr-FR"/>
        </w:rPr>
        <w:t xml:space="preserve"> </w:t>
      </w:r>
    </w:p>
    <w:p w14:paraId="17F0B59D" w14:textId="77777777" w:rsidR="004A2669" w:rsidRPr="001E1353" w:rsidRDefault="004A2669" w:rsidP="004A2669">
      <w:pPr>
        <w:jc w:val="both"/>
      </w:pPr>
      <w:r w:rsidRPr="001E1353">
        <w:t>En ce qui concerne les crédits provisoires, je vous renvoie à l’article 14 du RGCC.</w:t>
      </w:r>
    </w:p>
    <w:p w14:paraId="08740375" w14:textId="77777777" w:rsidR="004A2669" w:rsidRPr="001E1353" w:rsidRDefault="004A2669" w:rsidP="00AE6EFD">
      <w:pPr>
        <w:pStyle w:val="Sam2"/>
        <w:rPr>
          <w:lang w:val="fr-FR"/>
        </w:rPr>
      </w:pPr>
      <w:bookmarkStart w:id="551" w:name="_Toc74557564"/>
      <w:r w:rsidRPr="001E1353">
        <w:rPr>
          <w:lang w:val="fr-FR"/>
        </w:rPr>
        <w:t>Report du résultat du compte</w:t>
      </w:r>
      <w:bookmarkEnd w:id="551"/>
    </w:p>
    <w:p w14:paraId="65B5548D" w14:textId="77777777" w:rsidR="004A2669" w:rsidRPr="001E1353" w:rsidRDefault="004A2669" w:rsidP="004A2669">
      <w:pPr>
        <w:jc w:val="both"/>
      </w:pPr>
      <w:r w:rsidRPr="001E1353">
        <w:t>En ce qui concerne le report du résultat du compte, je vous renvoie à l’article 10 du RGCC.</w:t>
      </w:r>
    </w:p>
    <w:p w14:paraId="78799623" w14:textId="77777777" w:rsidR="004A2669" w:rsidRPr="001E1353" w:rsidRDefault="004A2669" w:rsidP="00AE6EFD">
      <w:pPr>
        <w:pStyle w:val="Sam2"/>
        <w:rPr>
          <w:lang w:val="fr-FR"/>
        </w:rPr>
      </w:pPr>
      <w:bookmarkStart w:id="552" w:name="_Toc74557565"/>
      <w:r w:rsidRPr="001E1353">
        <w:rPr>
          <w:lang w:val="fr-FR"/>
        </w:rPr>
        <w:t>Modifications budgétaires</w:t>
      </w:r>
      <w:bookmarkEnd w:id="552"/>
    </w:p>
    <w:p w14:paraId="6B81B2A6" w14:textId="693AF8E2" w:rsidR="004A2669" w:rsidRDefault="004A2669" w:rsidP="00FD0BF2">
      <w:pPr>
        <w:rPr>
          <w:rFonts w:eastAsiaTheme="minorHAnsi"/>
          <w:lang w:eastAsia="en-US"/>
        </w:rPr>
      </w:pPr>
      <w:r w:rsidRPr="008D7EB7">
        <w:rPr>
          <w:rFonts w:eastAsiaTheme="minorHAnsi"/>
          <w:lang w:eastAsia="en-US"/>
        </w:rPr>
        <w:t>En ce qui concerne les modifications budgétaires, je vous renvoie à l’article 15 du RGCC.</w:t>
      </w:r>
    </w:p>
    <w:p w14:paraId="166ADC62" w14:textId="77777777" w:rsidR="00FD0BF2" w:rsidRPr="008D7EB7" w:rsidRDefault="00FD0BF2" w:rsidP="008D7EB7">
      <w:pPr>
        <w:rPr>
          <w:rFonts w:eastAsiaTheme="minorHAnsi"/>
          <w:lang w:eastAsia="en-US"/>
        </w:rPr>
      </w:pPr>
    </w:p>
    <w:p w14:paraId="0DD7752F" w14:textId="73758A13" w:rsidR="004A2669" w:rsidRPr="008D7EB7" w:rsidRDefault="004A2669" w:rsidP="008D7EB7">
      <w:pPr>
        <w:rPr>
          <w:rFonts w:eastAsiaTheme="minorHAnsi"/>
          <w:lang w:eastAsia="en-US"/>
        </w:rPr>
      </w:pPr>
      <w:r w:rsidRPr="008D7EB7">
        <w:rPr>
          <w:rFonts w:eastAsiaTheme="minorHAnsi"/>
          <w:lang w:eastAsia="en-US"/>
        </w:rPr>
        <w:t>Je vous rappelle que</w:t>
      </w:r>
      <w:r w:rsidR="001E178F" w:rsidRPr="008D7EB7">
        <w:rPr>
          <w:rFonts w:eastAsiaTheme="minorHAnsi"/>
          <w:lang w:eastAsia="en-US"/>
        </w:rPr>
        <w:t> :</w:t>
      </w:r>
    </w:p>
    <w:p w14:paraId="7F3EE766" w14:textId="77777777" w:rsidR="00493337" w:rsidRDefault="00493337" w:rsidP="004A2669">
      <w:pPr>
        <w:jc w:val="both"/>
      </w:pPr>
    </w:p>
    <w:p w14:paraId="6C73AC1D" w14:textId="17CF6128" w:rsidR="003234DC" w:rsidRDefault="00AA2579" w:rsidP="008D7EB7">
      <w:pPr>
        <w:pStyle w:val="Paragraphedeliste"/>
        <w:numPr>
          <w:ilvl w:val="0"/>
          <w:numId w:val="140"/>
        </w:numPr>
        <w:tabs>
          <w:tab w:val="left" w:pos="558"/>
        </w:tabs>
        <w:ind w:left="414" w:hanging="414"/>
        <w:jc w:val="both"/>
      </w:pPr>
      <w:proofErr w:type="gramStart"/>
      <w:r>
        <w:t>l</w:t>
      </w:r>
      <w:r w:rsidR="003234DC" w:rsidRPr="00493337">
        <w:t>es</w:t>
      </w:r>
      <w:proofErr w:type="gramEnd"/>
      <w:r w:rsidR="003234DC" w:rsidRPr="00493337">
        <w:t xml:space="preserve"> modifications budgétaires sont soumises aux mêmes procédures que celles applicables au budget et toutes les règles de principe applicables au budget initial de l’exercice sont évidemment transposables aux modifications budgétaires, y compris les règles de tutelle</w:t>
      </w:r>
      <w:r w:rsidR="00493337">
        <w:t> ;</w:t>
      </w:r>
    </w:p>
    <w:p w14:paraId="5B454657" w14:textId="77777777" w:rsidR="00493337" w:rsidRPr="00493337" w:rsidRDefault="00493337" w:rsidP="008D7EB7">
      <w:pPr>
        <w:tabs>
          <w:tab w:val="left" w:pos="558"/>
          <w:tab w:val="left" w:pos="842"/>
        </w:tabs>
        <w:jc w:val="both"/>
      </w:pPr>
    </w:p>
    <w:p w14:paraId="7B636196" w14:textId="61D69B5B" w:rsidR="003234DC" w:rsidRDefault="00AA2579" w:rsidP="008D7EB7">
      <w:pPr>
        <w:pStyle w:val="Paragraphedeliste"/>
        <w:numPr>
          <w:ilvl w:val="0"/>
          <w:numId w:val="140"/>
        </w:numPr>
        <w:tabs>
          <w:tab w:val="left" w:pos="558"/>
        </w:tabs>
        <w:ind w:left="414" w:hanging="414"/>
        <w:jc w:val="both"/>
      </w:pPr>
      <w:proofErr w:type="gramStart"/>
      <w:r>
        <w:t>l</w:t>
      </w:r>
      <w:r w:rsidR="003327D8" w:rsidRPr="00493337">
        <w:t>es</w:t>
      </w:r>
      <w:proofErr w:type="gramEnd"/>
      <w:r w:rsidR="003327D8" w:rsidRPr="00493337">
        <w:t xml:space="preserve"> modifications budgétaires sont dûment justifiées pour chaque crédit budgétaire</w:t>
      </w:r>
      <w:r w:rsidR="00493337">
        <w:t> ;</w:t>
      </w:r>
    </w:p>
    <w:p w14:paraId="701C2E70" w14:textId="77777777" w:rsidR="00493337" w:rsidRDefault="00493337" w:rsidP="008D7EB7">
      <w:pPr>
        <w:pStyle w:val="Paragraphedeliste"/>
        <w:ind w:left="0"/>
      </w:pPr>
    </w:p>
    <w:p w14:paraId="1DB74C11" w14:textId="774E75EB" w:rsidR="004A2669" w:rsidRDefault="00AA2579" w:rsidP="008D7EB7">
      <w:pPr>
        <w:pStyle w:val="Paragraphedeliste"/>
        <w:numPr>
          <w:ilvl w:val="0"/>
          <w:numId w:val="140"/>
        </w:numPr>
        <w:tabs>
          <w:tab w:val="left" w:pos="558"/>
        </w:tabs>
        <w:ind w:left="414" w:hanging="414"/>
        <w:jc w:val="both"/>
      </w:pPr>
      <w:proofErr w:type="gramStart"/>
      <w:r>
        <w:t>l</w:t>
      </w:r>
      <w:r w:rsidR="004A2669" w:rsidRPr="001E178F">
        <w:t>a</w:t>
      </w:r>
      <w:proofErr w:type="gramEnd"/>
      <w:r w:rsidR="004A2669" w:rsidRPr="001E178F">
        <w:t xml:space="preserve"> numérotation des modifications budgétaires se fait en fonction de la date de leur vote au Conseil communal. Par exemple, une modification budgétaire ordinaire et une modification budgétaire extraordinaire sont votées le 31 mai : il s'agira des modifications budgétaires 1 et non des modifications budgétaires 1 et 2. Le 30 juillet suivant, une modification budgétaire extraordinaire est votée. Elle portera le numéro 2 et non 3. Il en sera de même en cas de non</w:t>
      </w:r>
      <w:r w:rsidR="000A2D19">
        <w:t>-</w:t>
      </w:r>
      <w:r w:rsidR="004A2669" w:rsidRPr="001E178F">
        <w:t>approbation : si la modification budgétaire numéro 2 est non approuvée, la suivante sera la modification budgétaire numéro 3</w:t>
      </w:r>
      <w:r w:rsidR="00493337">
        <w:t> ;</w:t>
      </w:r>
    </w:p>
    <w:p w14:paraId="40403C5E" w14:textId="77777777" w:rsidR="00E5589D" w:rsidRPr="001E178F" w:rsidRDefault="00E5589D" w:rsidP="008D7EB7">
      <w:pPr>
        <w:tabs>
          <w:tab w:val="left" w:pos="558"/>
          <w:tab w:val="left" w:pos="842"/>
        </w:tabs>
        <w:jc w:val="both"/>
      </w:pPr>
    </w:p>
    <w:p w14:paraId="1BEDE04D" w14:textId="76F5267F" w:rsidR="004A2669" w:rsidRPr="001E178F" w:rsidRDefault="00AA2579" w:rsidP="00532408">
      <w:pPr>
        <w:pStyle w:val="Paragraphedeliste"/>
        <w:numPr>
          <w:ilvl w:val="0"/>
          <w:numId w:val="140"/>
        </w:numPr>
        <w:tabs>
          <w:tab w:val="left" w:pos="558"/>
        </w:tabs>
        <w:ind w:left="414" w:hanging="414"/>
        <w:jc w:val="both"/>
      </w:pPr>
      <w:proofErr w:type="gramStart"/>
      <w:r>
        <w:t>i</w:t>
      </w:r>
      <w:r w:rsidR="004A2669" w:rsidRPr="001E178F">
        <w:t>l</w:t>
      </w:r>
      <w:proofErr w:type="gramEnd"/>
      <w:r w:rsidR="004A2669" w:rsidRPr="001E178F">
        <w:t xml:space="preserve"> n'y a pas de limites formelles dans le temps pour les premières modifications budgétaires, et notamment celle qui doit introduire, le plus rapidement possible après le vote du compte, dans le corps du budget, le résultat du compte de l'exercice précédent en application de l'article 10 du RGCC. Il convient, toutefois, de limiter au maximum les modifications d'autres crédits trop tôt dans le courant de l'exercice, au regard de l'article 7 du RGCC. Je souhaite donc que les communes évitent de prendre des modifications de ce type qui ne seraient pas justifiées par des événements particuliers </w:t>
      </w:r>
      <w:r w:rsidR="004A2669" w:rsidRPr="009A66C7">
        <w:rPr>
          <w:u w:val="single"/>
        </w:rPr>
        <w:t>avant le</w:t>
      </w:r>
      <w:r w:rsidR="001E178F" w:rsidRPr="009A66C7">
        <w:rPr>
          <w:u w:val="single"/>
        </w:rPr>
        <w:t xml:space="preserve"> 1</w:t>
      </w:r>
      <w:r w:rsidR="001E178F" w:rsidRPr="009A66C7">
        <w:rPr>
          <w:u w:val="single"/>
          <w:vertAlign w:val="superscript"/>
        </w:rPr>
        <w:t>er</w:t>
      </w:r>
      <w:r w:rsidR="001E178F" w:rsidRPr="009A66C7">
        <w:rPr>
          <w:u w:val="single"/>
        </w:rPr>
        <w:t xml:space="preserve"> </w:t>
      </w:r>
      <w:r w:rsidR="004A2669" w:rsidRPr="009A66C7">
        <w:rPr>
          <w:u w:val="single"/>
        </w:rPr>
        <w:t>mai de l'exercice</w:t>
      </w:r>
      <w:r w:rsidR="00493337" w:rsidRPr="008D7EB7">
        <w:t> ;</w:t>
      </w:r>
      <w:r w:rsidR="00B61F7C" w:rsidRPr="009A66C7">
        <w:rPr>
          <w:u w:val="single"/>
        </w:rPr>
        <w:t xml:space="preserve"> </w:t>
      </w:r>
    </w:p>
    <w:p w14:paraId="1A75916C" w14:textId="2B0F6C81" w:rsidR="00493337" w:rsidRDefault="00AA2579" w:rsidP="008D7EB7">
      <w:pPr>
        <w:numPr>
          <w:ilvl w:val="0"/>
          <w:numId w:val="140"/>
        </w:numPr>
        <w:tabs>
          <w:tab w:val="left" w:pos="558"/>
        </w:tabs>
        <w:ind w:left="414" w:hanging="414"/>
        <w:jc w:val="both"/>
      </w:pPr>
      <w:proofErr w:type="gramStart"/>
      <w:r>
        <w:rPr>
          <w:b/>
        </w:rPr>
        <w:t>i</w:t>
      </w:r>
      <w:r w:rsidRPr="008D7EB7">
        <w:rPr>
          <w:b/>
        </w:rPr>
        <w:t>l</w:t>
      </w:r>
      <w:proofErr w:type="gramEnd"/>
      <w:r w:rsidRPr="008D7EB7">
        <w:rPr>
          <w:b/>
        </w:rPr>
        <w:t xml:space="preserve"> </w:t>
      </w:r>
      <w:r w:rsidR="004A2669" w:rsidRPr="008D7EB7">
        <w:rPr>
          <w:b/>
        </w:rPr>
        <w:t>ne sera transmis à l'autorité de tutelle après le 15 novembre de l'exercice que les modifications budgétaires strictement indispensables au bon fonctionnement de la commune et dont il n'a pas été possible de tenir compte dans le budget avant cette date</w:t>
      </w:r>
      <w:r w:rsidR="004A2669" w:rsidRPr="001E1353">
        <w:t>. La transmission tardive de celles-ci à l'autorité de tutelle peut conduire à une absence de décision avant le 31 décembre de l'exercice, qui rendrait donc inexécutoires lesdites modifications et empêcherait tout engagement de crédits y prévus. De même, des modifications budgétaires soumises à l'autorité de tutelle après le 31 décembre de l'exercice ne peuvent que faire l'objet d'une décision formelle de non-approbation</w:t>
      </w:r>
      <w:r w:rsidR="00493337">
        <w:t> ;</w:t>
      </w:r>
    </w:p>
    <w:p w14:paraId="0FC29F53" w14:textId="09C2690F" w:rsidR="004A2669" w:rsidRPr="001E1353" w:rsidRDefault="004A2669" w:rsidP="008D7EB7">
      <w:pPr>
        <w:tabs>
          <w:tab w:val="left" w:pos="558"/>
          <w:tab w:val="left" w:pos="842"/>
        </w:tabs>
        <w:jc w:val="both"/>
      </w:pPr>
    </w:p>
    <w:p w14:paraId="676BB01B" w14:textId="0F66A6E9" w:rsidR="00493337" w:rsidRPr="008D7EB7" w:rsidRDefault="00AA2579" w:rsidP="008D7EB7">
      <w:pPr>
        <w:numPr>
          <w:ilvl w:val="0"/>
          <w:numId w:val="140"/>
        </w:numPr>
        <w:tabs>
          <w:tab w:val="left" w:pos="558"/>
        </w:tabs>
        <w:ind w:left="414" w:hanging="414"/>
        <w:jc w:val="both"/>
      </w:pPr>
      <w:proofErr w:type="gramStart"/>
      <w:r>
        <w:lastRenderedPageBreak/>
        <w:t>d</w:t>
      </w:r>
      <w:r w:rsidRPr="001E1353">
        <w:t>ans</w:t>
      </w:r>
      <w:proofErr w:type="gramEnd"/>
      <w:r w:rsidRPr="001E1353">
        <w:t xml:space="preserve"> </w:t>
      </w:r>
      <w:r w:rsidR="004A2669" w:rsidRPr="001E1353">
        <w:t xml:space="preserve">un souci de clarté et de cohérence, </w:t>
      </w:r>
      <w:r w:rsidR="004E72AB">
        <w:rPr>
          <w:b/>
        </w:rPr>
        <w:t xml:space="preserve">il est formellement interdit de </w:t>
      </w:r>
      <w:r w:rsidR="004A2669" w:rsidRPr="008D7EB7">
        <w:rPr>
          <w:b/>
        </w:rPr>
        <w:t>voter de nouvelles modifications budgétaires alors que les précédentes n'ont pas encore été approuvées</w:t>
      </w:r>
      <w:r w:rsidR="00F05C26" w:rsidRPr="00F05C26">
        <w:t xml:space="preserve"> </w:t>
      </w:r>
      <w:r w:rsidR="00F05C26" w:rsidRPr="00F05C26">
        <w:rPr>
          <w:b/>
        </w:rPr>
        <w:t xml:space="preserve">sauf </w:t>
      </w:r>
      <w:r w:rsidR="00B60E92">
        <w:rPr>
          <w:b/>
        </w:rPr>
        <w:t>en cas de</w:t>
      </w:r>
      <w:r w:rsidR="00F05C26">
        <w:rPr>
          <w:b/>
        </w:rPr>
        <w:t xml:space="preserve"> </w:t>
      </w:r>
      <w:r w:rsidR="00F05C26" w:rsidRPr="00F05C26">
        <w:rPr>
          <w:b/>
        </w:rPr>
        <w:t xml:space="preserve"> motivation express</w:t>
      </w:r>
      <w:r w:rsidR="00F05C26">
        <w:rPr>
          <w:b/>
        </w:rPr>
        <w:t>ément et dument justifiée</w:t>
      </w:r>
      <w:r w:rsidR="00493337">
        <w:rPr>
          <w:b/>
        </w:rPr>
        <w:t> ;</w:t>
      </w:r>
    </w:p>
    <w:p w14:paraId="3866F338" w14:textId="2E801E9C" w:rsidR="004A2669" w:rsidRPr="001E1353" w:rsidRDefault="004A2669" w:rsidP="008D7EB7">
      <w:pPr>
        <w:tabs>
          <w:tab w:val="left" w:pos="558"/>
          <w:tab w:val="left" w:pos="842"/>
        </w:tabs>
        <w:jc w:val="both"/>
      </w:pPr>
    </w:p>
    <w:p w14:paraId="608D6A6F" w14:textId="04230CA9" w:rsidR="006A2F4A" w:rsidRDefault="00AA2579" w:rsidP="008D7EB7">
      <w:pPr>
        <w:numPr>
          <w:ilvl w:val="0"/>
          <w:numId w:val="140"/>
        </w:numPr>
        <w:tabs>
          <w:tab w:val="left" w:pos="558"/>
        </w:tabs>
        <w:ind w:left="414" w:hanging="414"/>
        <w:jc w:val="both"/>
      </w:pPr>
      <w:proofErr w:type="gramStart"/>
      <w:r>
        <w:t>i</w:t>
      </w:r>
      <w:r w:rsidRPr="001E1353">
        <w:t>l</w:t>
      </w:r>
      <w:proofErr w:type="gramEnd"/>
      <w:r w:rsidRPr="001E1353">
        <w:t xml:space="preserve"> </w:t>
      </w:r>
      <w:r w:rsidR="004A2669" w:rsidRPr="001E1353">
        <w:t>y a lieu d'intégrer dans les modifications budgétaires, les résultats tels qu'ils ont été approuvés ou réformés par l'autorité de tutelle dans les précédents documents budgétaires.</w:t>
      </w:r>
    </w:p>
    <w:p w14:paraId="2C38FBEB" w14:textId="77777777" w:rsidR="004A2669" w:rsidRPr="001E1353" w:rsidRDefault="004A2669" w:rsidP="006843B9">
      <w:pPr>
        <w:pStyle w:val="Sam2"/>
        <w:spacing w:before="480"/>
        <w:rPr>
          <w:lang w:val="fr-FR"/>
        </w:rPr>
      </w:pPr>
      <w:bookmarkStart w:id="553" w:name="_Toc40185200"/>
      <w:bookmarkStart w:id="554" w:name="_Toc40185935"/>
      <w:bookmarkStart w:id="555" w:name="_Toc74557566"/>
      <w:bookmarkEnd w:id="553"/>
      <w:bookmarkEnd w:id="554"/>
      <w:r w:rsidRPr="001E1353">
        <w:rPr>
          <w:lang w:val="fr-FR"/>
        </w:rPr>
        <w:t>Engagements des dépenses</w:t>
      </w:r>
      <w:bookmarkEnd w:id="555"/>
    </w:p>
    <w:p w14:paraId="212526D0" w14:textId="475D9F60" w:rsidR="004A2669" w:rsidRPr="00AA2579" w:rsidRDefault="00AA2579" w:rsidP="00256E9F">
      <w:pPr>
        <w:pStyle w:val="Sam3"/>
      </w:pPr>
      <w:bookmarkStart w:id="556" w:name="_Toc74557567"/>
      <w:r>
        <w:t xml:space="preserve">II.8.1 </w:t>
      </w:r>
      <w:r w:rsidR="004A2669" w:rsidRPr="00AA2579">
        <w:t>Exercices antérieurs</w:t>
      </w:r>
      <w:bookmarkEnd w:id="556"/>
    </w:p>
    <w:p w14:paraId="294EB522" w14:textId="77777777" w:rsidR="004A2669" w:rsidRPr="001E1353" w:rsidRDefault="004A2669" w:rsidP="004A2669">
      <w:pPr>
        <w:jc w:val="both"/>
      </w:pPr>
      <w:r w:rsidRPr="001E1353">
        <w:t>Les modifications budgétaires évitent le recours abusif aux exercices antérieurs. Ne peuvent dès lors apparaître aux exercices antérieurs que des sommes représentant des dépassements de crédits approuvés sur la base du budget précédent et non pas des crédits nouveaux.</w:t>
      </w:r>
    </w:p>
    <w:p w14:paraId="4CF2DA1B" w14:textId="77777777" w:rsidR="00ED2CF5" w:rsidRDefault="00ED2CF5" w:rsidP="008D7EB7">
      <w:bookmarkStart w:id="557" w:name="_Toc512520167"/>
      <w:bookmarkStart w:id="558" w:name="_Toc512520298"/>
      <w:bookmarkStart w:id="559" w:name="_Toc512520430"/>
      <w:bookmarkStart w:id="560" w:name="_Toc512520561"/>
      <w:bookmarkStart w:id="561" w:name="_Toc512520692"/>
      <w:bookmarkStart w:id="562" w:name="_Toc512520823"/>
      <w:bookmarkStart w:id="563" w:name="_Toc512520954"/>
      <w:bookmarkStart w:id="564" w:name="_Toc512606750"/>
      <w:bookmarkStart w:id="565" w:name="_Toc512606885"/>
      <w:bookmarkStart w:id="566" w:name="_Toc512607020"/>
      <w:bookmarkStart w:id="567" w:name="_Toc515355817"/>
      <w:bookmarkStart w:id="568" w:name="_Toc515355954"/>
      <w:bookmarkStart w:id="569" w:name="_Toc515360364"/>
      <w:bookmarkStart w:id="570" w:name="_Toc515974960"/>
      <w:bookmarkStart w:id="571" w:name="_Toc515978468"/>
      <w:bookmarkStart w:id="572" w:name="_Toc516058852"/>
      <w:bookmarkStart w:id="573" w:name="_Toc516058994"/>
      <w:bookmarkStart w:id="574" w:name="_Toc516227718"/>
      <w:bookmarkStart w:id="575" w:name="_Toc516229531"/>
      <w:bookmarkStart w:id="576" w:name="_Toc516229826"/>
      <w:bookmarkStart w:id="577" w:name="_Toc516230121"/>
      <w:bookmarkStart w:id="578" w:name="_Toc516230416"/>
      <w:bookmarkStart w:id="579" w:name="_Toc516230710"/>
      <w:bookmarkStart w:id="580" w:name="_Toc516231004"/>
      <w:bookmarkStart w:id="581" w:name="_Toc516231299"/>
      <w:bookmarkStart w:id="582" w:name="_Toc516231595"/>
      <w:bookmarkStart w:id="583" w:name="_Toc516242688"/>
      <w:bookmarkStart w:id="584" w:name="_Toc516242991"/>
      <w:bookmarkStart w:id="585" w:name="_Toc516244924"/>
      <w:bookmarkStart w:id="586" w:name="_Toc516473496"/>
      <w:bookmarkStart w:id="587" w:name="_Toc516473806"/>
      <w:bookmarkStart w:id="588" w:name="_Toc516474116"/>
      <w:bookmarkStart w:id="589" w:name="_Toc516474424"/>
      <w:bookmarkStart w:id="590" w:name="_Toc516474755"/>
      <w:bookmarkStart w:id="591" w:name="_Toc516478784"/>
      <w:bookmarkStart w:id="592" w:name="_Toc516479247"/>
      <w:bookmarkStart w:id="593" w:name="_Toc516479564"/>
      <w:bookmarkStart w:id="594" w:name="_Toc516479887"/>
      <w:bookmarkStart w:id="595" w:name="_Toc516480202"/>
      <w:bookmarkStart w:id="596" w:name="_Toc516480516"/>
      <w:bookmarkStart w:id="597" w:name="_Toc516480830"/>
      <w:bookmarkStart w:id="598" w:name="_Toc516481144"/>
      <w:bookmarkStart w:id="599" w:name="_Toc516481458"/>
      <w:bookmarkStart w:id="600" w:name="_Toc516481772"/>
      <w:bookmarkStart w:id="601" w:name="_Toc516482086"/>
      <w:bookmarkStart w:id="602" w:name="_Toc516482400"/>
      <w:bookmarkStart w:id="603" w:name="_Toc516739522"/>
      <w:bookmarkStart w:id="604" w:name="_Toc516751435"/>
      <w:bookmarkStart w:id="605" w:name="_Toc516825505"/>
      <w:bookmarkStart w:id="606" w:name="_Toc516826063"/>
      <w:bookmarkStart w:id="607" w:name="_Toc516837382"/>
      <w:bookmarkStart w:id="608" w:name="_Toc516837941"/>
      <w:bookmarkStart w:id="609" w:name="_Toc516838500"/>
      <w:bookmarkStart w:id="610" w:name="_Toc516839059"/>
      <w:bookmarkStart w:id="611" w:name="_Toc517173155"/>
      <w:bookmarkStart w:id="612" w:name="_Toc517174829"/>
      <w:bookmarkStart w:id="613" w:name="_Toc517175416"/>
      <w:bookmarkStart w:id="614" w:name="_Toc517176004"/>
      <w:bookmarkStart w:id="615" w:name="_Toc517337324"/>
      <w:bookmarkStart w:id="616" w:name="_Toc51736011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B879C56" w14:textId="2EDB914B" w:rsidR="004A2669" w:rsidRPr="00ED2CF5" w:rsidRDefault="00AA2579" w:rsidP="00256E9F">
      <w:pPr>
        <w:pStyle w:val="Sam3"/>
      </w:pPr>
      <w:bookmarkStart w:id="617" w:name="_Toc74557568"/>
      <w:r>
        <w:t xml:space="preserve">II.8.2 </w:t>
      </w:r>
      <w:r w:rsidR="004A2669" w:rsidRPr="00ED2CF5">
        <w:t>Date limite des engagements</w:t>
      </w:r>
      <w:bookmarkEnd w:id="617"/>
      <w:r w:rsidR="004A2669" w:rsidRPr="00ED2CF5">
        <w:t xml:space="preserve"> </w:t>
      </w:r>
    </w:p>
    <w:p w14:paraId="2C8577EB" w14:textId="382F24AE" w:rsidR="004A2669" w:rsidRDefault="004A2669" w:rsidP="000A2D19">
      <w:pPr>
        <w:jc w:val="both"/>
      </w:pPr>
      <w:r w:rsidRPr="008D7EB7">
        <w:t xml:space="preserve">Il est tout à fait illégal et donc formellement interdit d'engager des crédits avant leur approbation formelle (ou implicite </w:t>
      </w:r>
      <w:proofErr w:type="gramStart"/>
      <w:r w:rsidRPr="008D7EB7">
        <w:t>de par</w:t>
      </w:r>
      <w:proofErr w:type="gramEnd"/>
      <w:r w:rsidRPr="008D7EB7">
        <w:t xml:space="preserve"> l'effet de l'expiration du délai imparti à la tutelle pour se prononcer)</w:t>
      </w:r>
      <w:r w:rsidR="00A200C5" w:rsidRPr="008D7EB7">
        <w:t>. S</w:t>
      </w:r>
      <w:r w:rsidRPr="008D7EB7">
        <w:t>i un crédit n'a pas été approuvé avant le 31 décembre de l'exercice, il est inexécutoire.</w:t>
      </w:r>
    </w:p>
    <w:p w14:paraId="039F001E" w14:textId="77777777" w:rsidR="000A2D19" w:rsidRPr="000A2D19" w:rsidRDefault="000A2D19">
      <w:pPr>
        <w:jc w:val="both"/>
      </w:pPr>
    </w:p>
    <w:p w14:paraId="634975B6" w14:textId="14E578A8" w:rsidR="00E62F4C" w:rsidRPr="000A2D19" w:rsidRDefault="004A2669">
      <w:pPr>
        <w:jc w:val="both"/>
      </w:pPr>
      <w:r w:rsidRPr="008D7EB7">
        <w:t>Dans un souci de simplification des reports de crédit, les factures relatives à des engagements effectués avant le 31 décembre et reçues après le 31 décembre de l'exercice clôturé peuvent être imputées, ordonnancées et mandatées sur l'exercice précédent. Le directeur financier pourra ainsi procéder à leur paiement sans devoir attendre l'arrêt, le 31 janvier, des crédits reportés, et ce afin de ne pas porter préjudice aux fournisseurs et prestataires de service. Il s'agit ici d'une tolérance qui vise à éviter des retards de paiement préjudiciables et permet d'alléger les reports de crédits.</w:t>
      </w:r>
      <w:r w:rsidR="0095173F" w:rsidRPr="008D7EB7">
        <w:t xml:space="preserve"> </w:t>
      </w:r>
    </w:p>
    <w:p w14:paraId="4CBDC38E" w14:textId="77777777" w:rsidR="00E5589D" w:rsidRDefault="00E5589D" w:rsidP="008D7EB7">
      <w:bookmarkStart w:id="618" w:name="_Toc517337326"/>
      <w:bookmarkStart w:id="619" w:name="_Toc517360121"/>
      <w:bookmarkStart w:id="620" w:name="_Toc512520169"/>
      <w:bookmarkStart w:id="621" w:name="_Toc512520300"/>
      <w:bookmarkStart w:id="622" w:name="_Toc512520432"/>
      <w:bookmarkStart w:id="623" w:name="_Toc512520563"/>
      <w:bookmarkStart w:id="624" w:name="_Toc512520694"/>
      <w:bookmarkStart w:id="625" w:name="_Toc512520825"/>
      <w:bookmarkStart w:id="626" w:name="_Toc512520956"/>
      <w:bookmarkStart w:id="627" w:name="_Toc512606752"/>
      <w:bookmarkStart w:id="628" w:name="_Toc512606887"/>
      <w:bookmarkStart w:id="629" w:name="_Toc512607022"/>
      <w:bookmarkStart w:id="630" w:name="_Toc515355819"/>
      <w:bookmarkStart w:id="631" w:name="_Toc515355956"/>
      <w:bookmarkStart w:id="632" w:name="_Toc515360366"/>
      <w:bookmarkStart w:id="633" w:name="_Toc515974962"/>
      <w:bookmarkStart w:id="634" w:name="_Toc515978470"/>
      <w:bookmarkStart w:id="635" w:name="_Toc516058854"/>
      <w:bookmarkStart w:id="636" w:name="_Toc516058996"/>
      <w:bookmarkStart w:id="637" w:name="_Toc516227720"/>
      <w:bookmarkStart w:id="638" w:name="_Toc516229533"/>
      <w:bookmarkStart w:id="639" w:name="_Toc516229828"/>
      <w:bookmarkStart w:id="640" w:name="_Toc516230123"/>
      <w:bookmarkStart w:id="641" w:name="_Toc516230418"/>
      <w:bookmarkStart w:id="642" w:name="_Toc516230712"/>
      <w:bookmarkStart w:id="643" w:name="_Toc516231006"/>
      <w:bookmarkStart w:id="644" w:name="_Toc516231301"/>
      <w:bookmarkStart w:id="645" w:name="_Toc516231597"/>
      <w:bookmarkStart w:id="646" w:name="_Toc516242690"/>
      <w:bookmarkStart w:id="647" w:name="_Toc516242993"/>
      <w:bookmarkStart w:id="648" w:name="_Toc516244926"/>
      <w:bookmarkStart w:id="649" w:name="_Toc516473498"/>
      <w:bookmarkStart w:id="650" w:name="_Toc516473808"/>
      <w:bookmarkStart w:id="651" w:name="_Toc516474118"/>
      <w:bookmarkStart w:id="652" w:name="_Toc516474426"/>
      <w:bookmarkStart w:id="653" w:name="_Toc516474757"/>
      <w:bookmarkStart w:id="654" w:name="_Toc516478786"/>
      <w:bookmarkStart w:id="655" w:name="_Toc516479249"/>
      <w:bookmarkStart w:id="656" w:name="_Toc516479566"/>
      <w:bookmarkStart w:id="657" w:name="_Toc516479889"/>
      <w:bookmarkStart w:id="658" w:name="_Toc516480204"/>
      <w:bookmarkStart w:id="659" w:name="_Toc516480518"/>
      <w:bookmarkStart w:id="660" w:name="_Toc516480832"/>
      <w:bookmarkStart w:id="661" w:name="_Toc516481146"/>
      <w:bookmarkStart w:id="662" w:name="_Toc516481460"/>
      <w:bookmarkStart w:id="663" w:name="_Toc516481774"/>
      <w:bookmarkStart w:id="664" w:name="_Toc516482088"/>
      <w:bookmarkStart w:id="665" w:name="_Toc516482402"/>
      <w:bookmarkStart w:id="666" w:name="_Toc516739524"/>
      <w:bookmarkStart w:id="667" w:name="_Toc516751437"/>
      <w:bookmarkStart w:id="668" w:name="_Toc516825507"/>
      <w:bookmarkStart w:id="669" w:name="_Toc516826065"/>
      <w:bookmarkStart w:id="670" w:name="_Toc516837384"/>
      <w:bookmarkStart w:id="671" w:name="_Toc516837943"/>
      <w:bookmarkStart w:id="672" w:name="_Toc516838502"/>
      <w:bookmarkStart w:id="673" w:name="_Toc516839061"/>
      <w:bookmarkStart w:id="674" w:name="_Toc517173157"/>
      <w:bookmarkStart w:id="675" w:name="_Toc517174831"/>
      <w:bookmarkStart w:id="676" w:name="_Toc517175418"/>
      <w:bookmarkStart w:id="677" w:name="_Toc517176006"/>
      <w:bookmarkStart w:id="678" w:name="_Toc517337327"/>
      <w:bookmarkStart w:id="679" w:name="_Toc517360122"/>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6C0D1EE7" w14:textId="302D44F9" w:rsidR="004A2669" w:rsidRPr="00ED2CF5" w:rsidRDefault="00AA2579" w:rsidP="00256E9F">
      <w:pPr>
        <w:pStyle w:val="Sam3"/>
      </w:pPr>
      <w:bookmarkStart w:id="680" w:name="_Toc74557569"/>
      <w:r>
        <w:t xml:space="preserve">II.8.3 </w:t>
      </w:r>
      <w:r w:rsidR="004A2669" w:rsidRPr="00ED2CF5">
        <w:t>Engagements reportés</w:t>
      </w:r>
      <w:bookmarkEnd w:id="680"/>
      <w:r w:rsidR="004A2669" w:rsidRPr="00ED2CF5">
        <w:t xml:space="preserve"> </w:t>
      </w:r>
    </w:p>
    <w:p w14:paraId="4E6768EC" w14:textId="77777777" w:rsidR="004A2669" w:rsidRPr="001E1353" w:rsidRDefault="004A2669" w:rsidP="004A2669">
      <w:pPr>
        <w:jc w:val="both"/>
      </w:pPr>
      <w:r w:rsidRPr="001E1353">
        <w:t>Dès que le Collège communal a arrêté la liste des engagements à reporter, le directeur financier dispose des crédits nécessaires au paiement de ces engagements. Il peut donc procéder au paiement de ces dépenses sans attendre la clôture du compte.</w:t>
      </w:r>
    </w:p>
    <w:p w14:paraId="2A4E254D" w14:textId="77777777" w:rsidR="00ED2CF5" w:rsidRDefault="00ED2CF5" w:rsidP="008D7EB7"/>
    <w:p w14:paraId="7030F9E0" w14:textId="6D6F728B" w:rsidR="004A2669" w:rsidRPr="00ED2CF5" w:rsidRDefault="00AA2579" w:rsidP="00256E9F">
      <w:pPr>
        <w:pStyle w:val="Sam3"/>
      </w:pPr>
      <w:bookmarkStart w:id="681" w:name="_Toc74557570"/>
      <w:r>
        <w:t xml:space="preserve">II.8.4 </w:t>
      </w:r>
      <w:r w:rsidR="004A2669" w:rsidRPr="00ED2CF5">
        <w:t>Marchés publics</w:t>
      </w:r>
      <w:r w:rsidR="00FA4E3D" w:rsidRPr="00ED2CF5">
        <w:t> : e</w:t>
      </w:r>
      <w:r w:rsidR="004A2669" w:rsidRPr="00ED2CF5">
        <w:t>nregistrement de l'engagement</w:t>
      </w:r>
      <w:bookmarkEnd w:id="681"/>
    </w:p>
    <w:p w14:paraId="21EF05E8" w14:textId="5AAA78A3" w:rsidR="004A2669" w:rsidRDefault="004A2669" w:rsidP="000A2D19">
      <w:pPr>
        <w:jc w:val="both"/>
      </w:pPr>
      <w:r w:rsidRPr="008D7EB7">
        <w:t>L'engagement des dépenses extraordinaires effectuées dans le cadre de marchés publics sera enregistré à la date d'attribution du marché par le Collège communal.</w:t>
      </w:r>
    </w:p>
    <w:p w14:paraId="58E2D8FC" w14:textId="77777777" w:rsidR="000A2D19" w:rsidRPr="000A2D19" w:rsidRDefault="000A2D19">
      <w:pPr>
        <w:jc w:val="both"/>
      </w:pPr>
    </w:p>
    <w:p w14:paraId="5E5401CD" w14:textId="14080F42" w:rsidR="00C63D64" w:rsidRDefault="00C63D64" w:rsidP="000A2D19">
      <w:pPr>
        <w:jc w:val="both"/>
      </w:pPr>
      <w:r w:rsidRPr="008D7EB7">
        <w:t xml:space="preserve">En cas de délégation au directeur général ou au fonctionnaire délégué, dans le cadre </w:t>
      </w:r>
      <w:r w:rsidR="0044610C" w:rsidRPr="008D7EB7">
        <w:t xml:space="preserve">des </w:t>
      </w:r>
      <w:r w:rsidRPr="008D7EB7">
        <w:t>article</w:t>
      </w:r>
      <w:r w:rsidR="0044610C" w:rsidRPr="008D7EB7">
        <w:t>s</w:t>
      </w:r>
      <w:r w:rsidRPr="008D7EB7">
        <w:t xml:space="preserve"> L1222-3</w:t>
      </w:r>
      <w:r w:rsidR="009D2CDE">
        <w:t xml:space="preserve">, </w:t>
      </w:r>
      <w:r w:rsidRPr="008D7EB7">
        <w:t>§2 et L1222-4</w:t>
      </w:r>
      <w:r w:rsidR="009D2CDE">
        <w:t xml:space="preserve">, </w:t>
      </w:r>
      <w:r w:rsidRPr="008D7EB7">
        <w:t xml:space="preserve">§2, alinéa </w:t>
      </w:r>
      <w:r w:rsidR="000A2D19">
        <w:t>1</w:t>
      </w:r>
      <w:r w:rsidR="000A2D19" w:rsidRPr="008D7EB7">
        <w:rPr>
          <w:vertAlign w:val="superscript"/>
        </w:rPr>
        <w:t>er</w:t>
      </w:r>
      <w:r w:rsidRPr="008D7EB7">
        <w:t>, l’engagement est enregistré à la date d’attribution du marché par le directeur général ou le fonctionnaire délégué.</w:t>
      </w:r>
    </w:p>
    <w:p w14:paraId="0DAB14A4" w14:textId="77777777" w:rsidR="000A2D19" w:rsidRPr="000A2D19" w:rsidRDefault="000A2D19">
      <w:pPr>
        <w:jc w:val="both"/>
      </w:pPr>
    </w:p>
    <w:p w14:paraId="478F479C" w14:textId="77439790" w:rsidR="004A2669" w:rsidRDefault="005721C7" w:rsidP="000A2D19">
      <w:pPr>
        <w:jc w:val="both"/>
      </w:pPr>
      <w:r w:rsidRPr="008D7EB7">
        <w:t>C</w:t>
      </w:r>
      <w:r w:rsidR="004A2669" w:rsidRPr="008D7EB7">
        <w:t>ertaines communes n’engagent qu’au moment de la notification du marché. Cette pratique, bien que parfaitement légale au regard de l’article 53 du RGCC, implique néanmoins que la commune puisse apporter la preuve aux autorités de tutelle que la notification du marché a eu lieu avant le 31 décembre de l’exercice.</w:t>
      </w:r>
    </w:p>
    <w:p w14:paraId="771A7428" w14:textId="77777777" w:rsidR="000A2D19" w:rsidRPr="000A2D19" w:rsidRDefault="000A2D19">
      <w:pPr>
        <w:jc w:val="both"/>
      </w:pPr>
    </w:p>
    <w:p w14:paraId="4978B11F" w14:textId="4CE724AE" w:rsidR="004A2669" w:rsidRDefault="004A2669" w:rsidP="000A2D19">
      <w:pPr>
        <w:jc w:val="both"/>
      </w:pPr>
      <w:r w:rsidRPr="008D7EB7">
        <w:lastRenderedPageBreak/>
        <w:t xml:space="preserve">En effet, le fait de lier l’engagement du marché public à son attribution réside dans le souci, pour les autorités de tutelle et le Directeur financier, de disposer d’une preuve, et donc d’une date certaine. La date d’attribution est nécessairement connue dès lors qu’elle est contenue dans la délibération d’attribution. </w:t>
      </w:r>
      <w:proofErr w:type="gramStart"/>
      <w:r w:rsidRPr="008D7EB7">
        <w:t>Par contre</w:t>
      </w:r>
      <w:proofErr w:type="gramEnd"/>
      <w:r w:rsidRPr="008D7EB7">
        <w:t>, si l’on prend pour référence la notification, le courrier de notification n’est pas envoyé aux autorités de tutelle et ces dernières ne disposent dès lors pas d’une date certaine pour l’engagement du marché.</w:t>
      </w:r>
    </w:p>
    <w:p w14:paraId="5A7714AE" w14:textId="77777777" w:rsidR="000A2D19" w:rsidRPr="000A2D19" w:rsidRDefault="000A2D19">
      <w:pPr>
        <w:jc w:val="both"/>
      </w:pPr>
    </w:p>
    <w:p w14:paraId="633A0D2B" w14:textId="25613F83" w:rsidR="004A2669" w:rsidRDefault="004A2669" w:rsidP="000A2D19">
      <w:pPr>
        <w:jc w:val="both"/>
      </w:pPr>
      <w:r w:rsidRPr="008D7EB7">
        <w:t>Pour les précisions sur le montant à engager, voir la partie « service extraordinaire » ci-après.</w:t>
      </w:r>
    </w:p>
    <w:p w14:paraId="1ECE5870" w14:textId="77777777" w:rsidR="000A2D19" w:rsidRPr="000A2D19" w:rsidRDefault="000A2D19">
      <w:pPr>
        <w:jc w:val="both"/>
      </w:pPr>
    </w:p>
    <w:p w14:paraId="45180642" w14:textId="1E2D00E4" w:rsidR="004A2669" w:rsidRPr="00ED2CF5" w:rsidRDefault="0092365D" w:rsidP="00256E9F">
      <w:pPr>
        <w:pStyle w:val="Sam3"/>
      </w:pPr>
      <w:bookmarkStart w:id="682" w:name="_Toc74557571"/>
      <w:r>
        <w:t xml:space="preserve">II. 8.5 </w:t>
      </w:r>
      <w:r w:rsidR="004A2669" w:rsidRPr="00ED2CF5">
        <w:t>Engagement de marchés sur la base de crédits approuvés l'exercice précédent</w:t>
      </w:r>
      <w:bookmarkEnd w:id="682"/>
    </w:p>
    <w:p w14:paraId="45B4F16F" w14:textId="201B6097" w:rsidR="004A2669" w:rsidRPr="001E1353" w:rsidRDefault="004A2669" w:rsidP="004A2669">
      <w:pPr>
        <w:jc w:val="both"/>
      </w:pPr>
      <w:r w:rsidRPr="001E1353">
        <w:t xml:space="preserve">Dans l’hypothèse de l'engagement de dépenses extraordinaires prévues au budget de l'exercice précédent (N-1), approuvées par la tutelle mais non engagées et réinscrites au budget du nouvel exercice (année N), </w:t>
      </w:r>
      <w:r w:rsidR="00381644" w:rsidRPr="008D7EB7">
        <w:t>l’autorité de tutelle</w:t>
      </w:r>
      <w:r w:rsidR="00ED2CF5">
        <w:t xml:space="preserve"> t</w:t>
      </w:r>
      <w:r w:rsidRPr="00E063FD">
        <w:t>olère</w:t>
      </w:r>
      <w:r w:rsidRPr="001E1353">
        <w:t xml:space="preserve"> que ces dépenses extraordinaires puissent être engagées dès le vote du budget de l'exercice (année N) avant l'approbation formelle de l'autorité de tutelle, ceci toutefois sous la réserve d'un budget (année N) équilibré quant à son résultat global.</w:t>
      </w:r>
    </w:p>
    <w:p w14:paraId="5754FB26" w14:textId="4C0F4538" w:rsidR="0097709B" w:rsidRDefault="0097709B">
      <w:pPr>
        <w:spacing w:after="200" w:line="276" w:lineRule="auto"/>
        <w:rPr>
          <w:b/>
          <w:u w:val="single"/>
          <w:lang w:val="fr-BE"/>
        </w:rPr>
      </w:pPr>
      <w:bookmarkStart w:id="683" w:name="_Toc512520173"/>
      <w:bookmarkStart w:id="684" w:name="_Toc512520304"/>
      <w:bookmarkStart w:id="685" w:name="_Toc512520436"/>
      <w:bookmarkStart w:id="686" w:name="_Toc512520567"/>
      <w:bookmarkStart w:id="687" w:name="_Toc512520698"/>
      <w:bookmarkStart w:id="688" w:name="_Toc512520829"/>
      <w:bookmarkStart w:id="689" w:name="_Toc512520960"/>
      <w:bookmarkStart w:id="690" w:name="_Toc512606756"/>
      <w:bookmarkStart w:id="691" w:name="_Toc512606891"/>
      <w:bookmarkStart w:id="692" w:name="_Toc512607026"/>
      <w:bookmarkStart w:id="693" w:name="_Toc515355823"/>
      <w:bookmarkStart w:id="694" w:name="_Toc515355960"/>
      <w:bookmarkStart w:id="695" w:name="_Toc515360370"/>
      <w:bookmarkStart w:id="696" w:name="_Toc515974966"/>
      <w:bookmarkStart w:id="697" w:name="_Toc515978474"/>
      <w:bookmarkStart w:id="698" w:name="_Toc516058858"/>
      <w:bookmarkStart w:id="699" w:name="_Toc516059000"/>
      <w:bookmarkStart w:id="700" w:name="_Toc516227724"/>
      <w:bookmarkStart w:id="701" w:name="_Toc516229537"/>
      <w:bookmarkStart w:id="702" w:name="_Toc516229832"/>
      <w:bookmarkStart w:id="703" w:name="_Toc516230127"/>
      <w:bookmarkStart w:id="704" w:name="_Toc516230422"/>
      <w:bookmarkStart w:id="705" w:name="_Toc516230716"/>
      <w:bookmarkStart w:id="706" w:name="_Toc516231010"/>
      <w:bookmarkStart w:id="707" w:name="_Toc516231305"/>
      <w:bookmarkStart w:id="708" w:name="_Toc516231601"/>
      <w:bookmarkStart w:id="709" w:name="_Toc516242694"/>
      <w:bookmarkStart w:id="710" w:name="_Toc516242997"/>
      <w:bookmarkStart w:id="711" w:name="_Toc516244930"/>
      <w:bookmarkStart w:id="712" w:name="_Toc516473502"/>
      <w:bookmarkStart w:id="713" w:name="_Toc516473812"/>
      <w:bookmarkStart w:id="714" w:name="_Toc516474122"/>
      <w:bookmarkStart w:id="715" w:name="_Toc516474430"/>
      <w:bookmarkStart w:id="716" w:name="_Toc516474761"/>
      <w:bookmarkStart w:id="717" w:name="_Toc516478790"/>
      <w:bookmarkStart w:id="718" w:name="_Toc516479253"/>
      <w:bookmarkStart w:id="719" w:name="_Toc516479570"/>
      <w:bookmarkStart w:id="720" w:name="_Toc516479893"/>
      <w:bookmarkStart w:id="721" w:name="_Toc516480208"/>
      <w:bookmarkStart w:id="722" w:name="_Toc516480522"/>
      <w:bookmarkStart w:id="723" w:name="_Toc516480836"/>
      <w:bookmarkStart w:id="724" w:name="_Toc516481150"/>
      <w:bookmarkStart w:id="725" w:name="_Toc516481464"/>
      <w:bookmarkStart w:id="726" w:name="_Toc516481778"/>
      <w:bookmarkStart w:id="727" w:name="_Toc516482092"/>
      <w:bookmarkStart w:id="728" w:name="_Toc516482406"/>
      <w:bookmarkStart w:id="729" w:name="_Toc516739528"/>
      <w:bookmarkStart w:id="730" w:name="_Toc516751441"/>
      <w:bookmarkStart w:id="731" w:name="_Toc516825511"/>
      <w:bookmarkStart w:id="732" w:name="_Toc516826069"/>
      <w:bookmarkStart w:id="733" w:name="_Toc516837388"/>
      <w:bookmarkStart w:id="734" w:name="_Toc516837947"/>
      <w:bookmarkStart w:id="735" w:name="_Toc516838506"/>
      <w:bookmarkStart w:id="736" w:name="_Toc516839065"/>
      <w:bookmarkStart w:id="737" w:name="_Toc517173161"/>
      <w:bookmarkStart w:id="738" w:name="_Toc517174835"/>
      <w:bookmarkStart w:id="739" w:name="_Toc517175422"/>
      <w:bookmarkStart w:id="740" w:name="_Toc517176010"/>
      <w:bookmarkStart w:id="741" w:name="_Toc517337331"/>
      <w:bookmarkStart w:id="742" w:name="_Toc517360126"/>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499F18E6" w14:textId="508B54A0" w:rsidR="004A2669" w:rsidRPr="00ED2CF5" w:rsidRDefault="0092365D" w:rsidP="00256E9F">
      <w:pPr>
        <w:pStyle w:val="Sam3"/>
      </w:pPr>
      <w:bookmarkStart w:id="743" w:name="_Toc74557572"/>
      <w:r>
        <w:t xml:space="preserve">II. 8.6 </w:t>
      </w:r>
      <w:r w:rsidR="004A2669" w:rsidRPr="00ED2CF5">
        <w:t xml:space="preserve">Précisions sur l'option des </w:t>
      </w:r>
      <w:r w:rsidR="0097709B">
        <w:t>« </w:t>
      </w:r>
      <w:r w:rsidR="004A2669" w:rsidRPr="00ED2CF5">
        <w:t>bons de commande</w:t>
      </w:r>
      <w:r w:rsidR="0097709B">
        <w:t> »</w:t>
      </w:r>
      <w:bookmarkEnd w:id="743"/>
    </w:p>
    <w:p w14:paraId="778B06C5" w14:textId="1F41D39E" w:rsidR="004A2669" w:rsidRDefault="004A2669" w:rsidP="000A2D19">
      <w:pPr>
        <w:jc w:val="both"/>
        <w:rPr>
          <w:rFonts w:eastAsiaTheme="minorHAnsi"/>
          <w:lang w:eastAsia="en-US"/>
        </w:rPr>
      </w:pPr>
      <w:r w:rsidRPr="008D7EB7">
        <w:rPr>
          <w:rFonts w:eastAsiaTheme="minorHAnsi"/>
          <w:lang w:eastAsia="en-US"/>
        </w:rPr>
        <w:t>Afin de rencontrer le souhait exprimé dans l’article 56 du RGCC et la pratique communale, le Collège communal peut déléguer expressément (une décision formelle est donc indispensable) à un fonctionnaire (pas un mandataire) le visa du bon de commande et son envoi au fournisseur avant accord formel du Collège (qui est donc toujours indispensable, mais plus nécessairement préalable).</w:t>
      </w:r>
    </w:p>
    <w:p w14:paraId="3B600A1F" w14:textId="77777777" w:rsidR="000A2D19" w:rsidRPr="008D7EB7" w:rsidRDefault="000A2D19">
      <w:pPr>
        <w:jc w:val="both"/>
        <w:rPr>
          <w:rFonts w:eastAsiaTheme="minorHAnsi"/>
          <w:lang w:eastAsia="en-US"/>
        </w:rPr>
      </w:pPr>
    </w:p>
    <w:p w14:paraId="3FA90414" w14:textId="143E013D" w:rsidR="004A2669" w:rsidRDefault="004A2669" w:rsidP="000A2D19">
      <w:pPr>
        <w:jc w:val="both"/>
        <w:rPr>
          <w:rFonts w:eastAsiaTheme="minorHAnsi"/>
          <w:lang w:eastAsia="en-US"/>
        </w:rPr>
      </w:pPr>
      <w:r w:rsidRPr="008D7EB7">
        <w:rPr>
          <w:rFonts w:eastAsiaTheme="minorHAnsi"/>
          <w:lang w:eastAsia="en-US"/>
        </w:rPr>
        <w:t xml:space="preserve">Il conviendra de toute façon de vérifier si un crédit budgétaire approuvé suffisant existe avant envoi du bon de commande au fournisseur et de respecter les règles des marchés publics, notamment au regard des consultations préalables de </w:t>
      </w:r>
      <w:r w:rsidR="007B7200">
        <w:rPr>
          <w:rFonts w:eastAsiaTheme="minorHAnsi"/>
          <w:lang w:eastAsia="en-US"/>
        </w:rPr>
        <w:t>trois</w:t>
      </w:r>
      <w:r w:rsidR="007B7200" w:rsidRPr="008D7EB7">
        <w:rPr>
          <w:rFonts w:eastAsiaTheme="minorHAnsi"/>
          <w:lang w:eastAsia="en-US"/>
        </w:rPr>
        <w:t xml:space="preserve"> </w:t>
      </w:r>
      <w:r w:rsidRPr="008D7EB7">
        <w:rPr>
          <w:rFonts w:eastAsiaTheme="minorHAnsi"/>
          <w:lang w:eastAsia="en-US"/>
        </w:rPr>
        <w:t>fournisseurs potentiels et des règles de concurrence.</w:t>
      </w:r>
    </w:p>
    <w:p w14:paraId="6FC1F983" w14:textId="77777777" w:rsidR="000A2D19" w:rsidRPr="008D7EB7" w:rsidRDefault="000A2D19">
      <w:pPr>
        <w:jc w:val="both"/>
        <w:rPr>
          <w:rFonts w:eastAsiaTheme="minorHAnsi"/>
          <w:lang w:eastAsia="en-US"/>
        </w:rPr>
      </w:pPr>
    </w:p>
    <w:p w14:paraId="07079522" w14:textId="37B24DBC" w:rsidR="0062640D" w:rsidRDefault="00675B8A" w:rsidP="000A2D19">
      <w:pPr>
        <w:jc w:val="both"/>
        <w:rPr>
          <w:rFonts w:eastAsiaTheme="minorHAnsi"/>
          <w:lang w:eastAsia="en-US"/>
        </w:rPr>
      </w:pPr>
      <w:r w:rsidRPr="008D7EB7">
        <w:rPr>
          <w:rFonts w:eastAsiaTheme="minorHAnsi"/>
          <w:lang w:eastAsia="en-US"/>
        </w:rPr>
        <w:t>Cette tolérance est à combiner avec les dispositions applicables en matière de délégation de compétence introduites par le décret du 17 décembre 2015 modifiant le Code de la démocratie locale et de la décentralisation en vue de préciser les règles de compétences en matière de marchés publics communaux et provinciaux</w:t>
      </w:r>
      <w:r w:rsidR="000A2D19">
        <w:rPr>
          <w:rStyle w:val="Appelnotedebasdep"/>
          <w:rFonts w:eastAsiaTheme="minorHAnsi"/>
          <w:lang w:eastAsia="en-US"/>
        </w:rPr>
        <w:footnoteReference w:id="11"/>
      </w:r>
      <w:r w:rsidRPr="008D7EB7">
        <w:rPr>
          <w:rFonts w:eastAsiaTheme="minorHAnsi"/>
          <w:lang w:eastAsia="en-US"/>
        </w:rPr>
        <w:t xml:space="preserve">. </w:t>
      </w:r>
    </w:p>
    <w:p w14:paraId="05B4A209" w14:textId="77777777" w:rsidR="000A2D19" w:rsidRPr="008D7EB7" w:rsidRDefault="000A2D19">
      <w:pPr>
        <w:jc w:val="both"/>
        <w:rPr>
          <w:rFonts w:eastAsiaTheme="minorHAnsi"/>
          <w:lang w:eastAsia="en-US"/>
        </w:rPr>
      </w:pPr>
    </w:p>
    <w:p w14:paraId="604C9512" w14:textId="79AF1B3B" w:rsidR="00C63D64" w:rsidRDefault="00675B8A">
      <w:pPr>
        <w:jc w:val="both"/>
        <w:rPr>
          <w:rFonts w:eastAsiaTheme="minorHAnsi"/>
          <w:lang w:eastAsia="en-US"/>
        </w:rPr>
      </w:pPr>
      <w:r w:rsidRPr="008D7EB7">
        <w:rPr>
          <w:rFonts w:eastAsiaTheme="minorHAnsi"/>
          <w:lang w:eastAsia="en-US"/>
        </w:rPr>
        <w:t xml:space="preserve">A noter que ces dispositions ne s’appliquent pas aux zones de police </w:t>
      </w:r>
      <w:proofErr w:type="spellStart"/>
      <w:r w:rsidRPr="008D7EB7">
        <w:rPr>
          <w:rFonts w:eastAsiaTheme="minorHAnsi"/>
          <w:lang w:eastAsia="en-US"/>
        </w:rPr>
        <w:t>pluricommunales</w:t>
      </w:r>
      <w:proofErr w:type="spellEnd"/>
      <w:r w:rsidRPr="008D7EB7">
        <w:rPr>
          <w:rFonts w:eastAsiaTheme="minorHAnsi"/>
          <w:lang w:eastAsia="en-US"/>
        </w:rPr>
        <w:t xml:space="preserve"> et aux zones de secours et qu’il n’y a pas d’impact pour les dépenses qui relèvent du budget extraordinaire au niveau de ma tolérance permettant au Collège de déléguer à un fonctionnaire le visa du bon de commande avant l’accord formel du Collège.</w:t>
      </w:r>
    </w:p>
    <w:p w14:paraId="4DB4ACDB" w14:textId="77777777" w:rsidR="006843B9" w:rsidRPr="008D7EB7" w:rsidRDefault="006843B9">
      <w:pPr>
        <w:jc w:val="both"/>
        <w:rPr>
          <w:rFonts w:eastAsiaTheme="minorHAnsi"/>
          <w:lang w:eastAsia="en-US"/>
        </w:rPr>
      </w:pPr>
    </w:p>
    <w:p w14:paraId="74FFBC49" w14:textId="77777777" w:rsidR="004A2669" w:rsidRPr="001E1353" w:rsidRDefault="004A2669" w:rsidP="001E1353">
      <w:pPr>
        <w:pStyle w:val="Sam2"/>
        <w:rPr>
          <w:lang w:val="fr-FR"/>
        </w:rPr>
      </w:pPr>
      <w:bookmarkStart w:id="744" w:name="_Toc516478792"/>
      <w:bookmarkStart w:id="745" w:name="_Toc516479255"/>
      <w:bookmarkStart w:id="746" w:name="_Toc516479572"/>
      <w:bookmarkStart w:id="747" w:name="_Toc516479895"/>
      <w:bookmarkStart w:id="748" w:name="_Toc516480210"/>
      <w:bookmarkStart w:id="749" w:name="_Toc516480524"/>
      <w:bookmarkStart w:id="750" w:name="_Toc516480838"/>
      <w:bookmarkStart w:id="751" w:name="_Toc516481152"/>
      <w:bookmarkStart w:id="752" w:name="_Toc516481466"/>
      <w:bookmarkStart w:id="753" w:name="_Toc516481780"/>
      <w:bookmarkStart w:id="754" w:name="_Toc516482094"/>
      <w:bookmarkStart w:id="755" w:name="_Toc516482408"/>
      <w:bookmarkStart w:id="756" w:name="_Toc516739530"/>
      <w:bookmarkStart w:id="757" w:name="_Toc516751443"/>
      <w:bookmarkStart w:id="758" w:name="_Toc516825513"/>
      <w:bookmarkStart w:id="759" w:name="_Toc516826071"/>
      <w:bookmarkStart w:id="760" w:name="_Toc516837390"/>
      <w:bookmarkStart w:id="761" w:name="_Toc516837949"/>
      <w:bookmarkStart w:id="762" w:name="_Toc516838508"/>
      <w:bookmarkStart w:id="763" w:name="_Toc516839067"/>
      <w:bookmarkStart w:id="764" w:name="_Toc517173163"/>
      <w:bookmarkStart w:id="765" w:name="_Toc517174837"/>
      <w:bookmarkStart w:id="766" w:name="_Toc517175424"/>
      <w:bookmarkStart w:id="767" w:name="_Toc517176012"/>
      <w:bookmarkStart w:id="768" w:name="_Toc517337333"/>
      <w:bookmarkStart w:id="769" w:name="_Toc517360128"/>
      <w:bookmarkStart w:id="770" w:name="_Toc516478793"/>
      <w:bookmarkStart w:id="771" w:name="_Toc516479256"/>
      <w:bookmarkStart w:id="772" w:name="_Toc516479573"/>
      <w:bookmarkStart w:id="773" w:name="_Toc516479896"/>
      <w:bookmarkStart w:id="774" w:name="_Toc516480211"/>
      <w:bookmarkStart w:id="775" w:name="_Toc516480525"/>
      <w:bookmarkStart w:id="776" w:name="_Toc516480839"/>
      <w:bookmarkStart w:id="777" w:name="_Toc516481153"/>
      <w:bookmarkStart w:id="778" w:name="_Toc516481467"/>
      <w:bookmarkStart w:id="779" w:name="_Toc516481781"/>
      <w:bookmarkStart w:id="780" w:name="_Toc516482095"/>
      <w:bookmarkStart w:id="781" w:name="_Toc516482409"/>
      <w:bookmarkStart w:id="782" w:name="_Toc516739531"/>
      <w:bookmarkStart w:id="783" w:name="_Toc516751444"/>
      <w:bookmarkStart w:id="784" w:name="_Toc516825514"/>
      <w:bookmarkStart w:id="785" w:name="_Toc516826072"/>
      <w:bookmarkStart w:id="786" w:name="_Toc516837391"/>
      <w:bookmarkStart w:id="787" w:name="_Toc516837950"/>
      <w:bookmarkStart w:id="788" w:name="_Toc516838509"/>
      <w:bookmarkStart w:id="789" w:name="_Toc516839068"/>
      <w:bookmarkStart w:id="790" w:name="_Toc517173164"/>
      <w:bookmarkStart w:id="791" w:name="_Toc517174838"/>
      <w:bookmarkStart w:id="792" w:name="_Toc517175425"/>
      <w:bookmarkStart w:id="793" w:name="_Toc517176013"/>
      <w:bookmarkStart w:id="794" w:name="_Toc517337334"/>
      <w:bookmarkStart w:id="795" w:name="_Toc517360129"/>
      <w:bookmarkStart w:id="796" w:name="_Toc512520175"/>
      <w:bookmarkStart w:id="797" w:name="_Toc512520306"/>
      <w:bookmarkStart w:id="798" w:name="_Toc512520438"/>
      <w:bookmarkStart w:id="799" w:name="_Toc512520569"/>
      <w:bookmarkStart w:id="800" w:name="_Toc512520700"/>
      <w:bookmarkStart w:id="801" w:name="_Toc512520831"/>
      <w:bookmarkStart w:id="802" w:name="_Toc512520962"/>
      <w:bookmarkStart w:id="803" w:name="_Toc512606758"/>
      <w:bookmarkStart w:id="804" w:name="_Toc512606893"/>
      <w:bookmarkStart w:id="805" w:name="_Toc512607028"/>
      <w:bookmarkStart w:id="806" w:name="_Toc515355825"/>
      <w:bookmarkStart w:id="807" w:name="_Toc515355962"/>
      <w:bookmarkStart w:id="808" w:name="_Toc515360372"/>
      <w:bookmarkStart w:id="809" w:name="_Toc515974968"/>
      <w:bookmarkStart w:id="810" w:name="_Toc515978476"/>
      <w:bookmarkStart w:id="811" w:name="_Toc516058860"/>
      <w:bookmarkStart w:id="812" w:name="_Toc516059002"/>
      <w:bookmarkStart w:id="813" w:name="_Toc516227726"/>
      <w:bookmarkStart w:id="814" w:name="_Toc516229539"/>
      <w:bookmarkStart w:id="815" w:name="_Toc516229834"/>
      <w:bookmarkStart w:id="816" w:name="_Toc516230129"/>
      <w:bookmarkStart w:id="817" w:name="_Toc516230424"/>
      <w:bookmarkStart w:id="818" w:name="_Toc516230718"/>
      <w:bookmarkStart w:id="819" w:name="_Toc516231012"/>
      <w:bookmarkStart w:id="820" w:name="_Toc516231307"/>
      <w:bookmarkStart w:id="821" w:name="_Toc516231603"/>
      <w:bookmarkStart w:id="822" w:name="_Toc516242696"/>
      <w:bookmarkStart w:id="823" w:name="_Toc516242999"/>
      <w:bookmarkStart w:id="824" w:name="_Toc516244932"/>
      <w:bookmarkStart w:id="825" w:name="_Toc516473504"/>
      <w:bookmarkStart w:id="826" w:name="_Toc516473814"/>
      <w:bookmarkStart w:id="827" w:name="_Toc516474124"/>
      <w:bookmarkStart w:id="828" w:name="_Toc516474432"/>
      <w:bookmarkStart w:id="829" w:name="_Toc516474763"/>
      <w:bookmarkStart w:id="830" w:name="_Toc516478794"/>
      <w:bookmarkStart w:id="831" w:name="_Toc516479257"/>
      <w:bookmarkStart w:id="832" w:name="_Toc516479574"/>
      <w:bookmarkStart w:id="833" w:name="_Toc516479897"/>
      <w:bookmarkStart w:id="834" w:name="_Toc516480212"/>
      <w:bookmarkStart w:id="835" w:name="_Toc516480526"/>
      <w:bookmarkStart w:id="836" w:name="_Toc516480840"/>
      <w:bookmarkStart w:id="837" w:name="_Toc516481154"/>
      <w:bookmarkStart w:id="838" w:name="_Toc516481468"/>
      <w:bookmarkStart w:id="839" w:name="_Toc516481782"/>
      <w:bookmarkStart w:id="840" w:name="_Toc516482096"/>
      <w:bookmarkStart w:id="841" w:name="_Toc516482410"/>
      <w:bookmarkStart w:id="842" w:name="_Toc516739532"/>
      <w:bookmarkStart w:id="843" w:name="_Toc516751445"/>
      <w:bookmarkStart w:id="844" w:name="_Toc516825515"/>
      <w:bookmarkStart w:id="845" w:name="_Toc516826073"/>
      <w:bookmarkStart w:id="846" w:name="_Toc516837392"/>
      <w:bookmarkStart w:id="847" w:name="_Toc516837951"/>
      <w:bookmarkStart w:id="848" w:name="_Toc516838510"/>
      <w:bookmarkStart w:id="849" w:name="_Toc516839069"/>
      <w:bookmarkStart w:id="850" w:name="_Toc517173165"/>
      <w:bookmarkStart w:id="851" w:name="_Toc517174839"/>
      <w:bookmarkStart w:id="852" w:name="_Toc517175426"/>
      <w:bookmarkStart w:id="853" w:name="_Toc517176014"/>
      <w:bookmarkStart w:id="854" w:name="_Toc517337335"/>
      <w:bookmarkStart w:id="855" w:name="_Toc517360130"/>
      <w:bookmarkStart w:id="856" w:name="_Toc512520176"/>
      <w:bookmarkStart w:id="857" w:name="_Toc512520307"/>
      <w:bookmarkStart w:id="858" w:name="_Toc512520439"/>
      <w:bookmarkStart w:id="859" w:name="_Toc512520570"/>
      <w:bookmarkStart w:id="860" w:name="_Toc512520701"/>
      <w:bookmarkStart w:id="861" w:name="_Toc512520832"/>
      <w:bookmarkStart w:id="862" w:name="_Toc512520963"/>
      <w:bookmarkStart w:id="863" w:name="_Toc512606759"/>
      <w:bookmarkStart w:id="864" w:name="_Toc512606894"/>
      <w:bookmarkStart w:id="865" w:name="_Toc512607029"/>
      <w:bookmarkStart w:id="866" w:name="_Toc515355826"/>
      <w:bookmarkStart w:id="867" w:name="_Toc515355963"/>
      <w:bookmarkStart w:id="868" w:name="_Toc515360373"/>
      <w:bookmarkStart w:id="869" w:name="_Toc515974969"/>
      <w:bookmarkStart w:id="870" w:name="_Toc515978477"/>
      <w:bookmarkStart w:id="871" w:name="_Toc516058861"/>
      <w:bookmarkStart w:id="872" w:name="_Toc516059003"/>
      <w:bookmarkStart w:id="873" w:name="_Toc516227727"/>
      <w:bookmarkStart w:id="874" w:name="_Toc516229540"/>
      <w:bookmarkStart w:id="875" w:name="_Toc516229835"/>
      <w:bookmarkStart w:id="876" w:name="_Toc516230130"/>
      <w:bookmarkStart w:id="877" w:name="_Toc516230425"/>
      <w:bookmarkStart w:id="878" w:name="_Toc516230719"/>
      <w:bookmarkStart w:id="879" w:name="_Toc516231013"/>
      <w:bookmarkStart w:id="880" w:name="_Toc516231308"/>
      <w:bookmarkStart w:id="881" w:name="_Toc516231604"/>
      <w:bookmarkStart w:id="882" w:name="_Toc516242697"/>
      <w:bookmarkStart w:id="883" w:name="_Toc516243000"/>
      <w:bookmarkStart w:id="884" w:name="_Toc516244933"/>
      <w:bookmarkStart w:id="885" w:name="_Toc516473505"/>
      <w:bookmarkStart w:id="886" w:name="_Toc516473815"/>
      <w:bookmarkStart w:id="887" w:name="_Toc516474125"/>
      <w:bookmarkStart w:id="888" w:name="_Toc516474433"/>
      <w:bookmarkStart w:id="889" w:name="_Toc516474764"/>
      <w:bookmarkStart w:id="890" w:name="_Toc516478795"/>
      <w:bookmarkStart w:id="891" w:name="_Toc516479258"/>
      <w:bookmarkStart w:id="892" w:name="_Toc516479575"/>
      <w:bookmarkStart w:id="893" w:name="_Toc516479898"/>
      <w:bookmarkStart w:id="894" w:name="_Toc516480213"/>
      <w:bookmarkStart w:id="895" w:name="_Toc516480527"/>
      <w:bookmarkStart w:id="896" w:name="_Toc516480841"/>
      <w:bookmarkStart w:id="897" w:name="_Toc516481155"/>
      <w:bookmarkStart w:id="898" w:name="_Toc516481469"/>
      <w:bookmarkStart w:id="899" w:name="_Toc516481783"/>
      <w:bookmarkStart w:id="900" w:name="_Toc516482097"/>
      <w:bookmarkStart w:id="901" w:name="_Toc516482411"/>
      <w:bookmarkStart w:id="902" w:name="_Toc516739533"/>
      <w:bookmarkStart w:id="903" w:name="_Toc516751446"/>
      <w:bookmarkStart w:id="904" w:name="_Toc516825516"/>
      <w:bookmarkStart w:id="905" w:name="_Toc516826074"/>
      <w:bookmarkStart w:id="906" w:name="_Toc516837393"/>
      <w:bookmarkStart w:id="907" w:name="_Toc516837952"/>
      <w:bookmarkStart w:id="908" w:name="_Toc516838511"/>
      <w:bookmarkStart w:id="909" w:name="_Toc516839070"/>
      <w:bookmarkStart w:id="910" w:name="_Toc517173166"/>
      <w:bookmarkStart w:id="911" w:name="_Toc517174840"/>
      <w:bookmarkStart w:id="912" w:name="_Toc517175427"/>
      <w:bookmarkStart w:id="913" w:name="_Toc517176015"/>
      <w:bookmarkStart w:id="914" w:name="_Toc517337336"/>
      <w:bookmarkStart w:id="915" w:name="_Toc517360131"/>
      <w:bookmarkStart w:id="916" w:name="_Toc512520177"/>
      <w:bookmarkStart w:id="917" w:name="_Toc512520308"/>
      <w:bookmarkStart w:id="918" w:name="_Toc512520440"/>
      <w:bookmarkStart w:id="919" w:name="_Toc512520571"/>
      <w:bookmarkStart w:id="920" w:name="_Toc512520702"/>
      <w:bookmarkStart w:id="921" w:name="_Toc512520833"/>
      <w:bookmarkStart w:id="922" w:name="_Toc512520964"/>
      <w:bookmarkStart w:id="923" w:name="_Toc512606760"/>
      <w:bookmarkStart w:id="924" w:name="_Toc512606895"/>
      <w:bookmarkStart w:id="925" w:name="_Toc512607030"/>
      <w:bookmarkStart w:id="926" w:name="_Toc515355827"/>
      <w:bookmarkStart w:id="927" w:name="_Toc515355964"/>
      <w:bookmarkStart w:id="928" w:name="_Toc515360374"/>
      <w:bookmarkStart w:id="929" w:name="_Toc515974970"/>
      <w:bookmarkStart w:id="930" w:name="_Toc515978478"/>
      <w:bookmarkStart w:id="931" w:name="_Toc516058862"/>
      <w:bookmarkStart w:id="932" w:name="_Toc516059004"/>
      <w:bookmarkStart w:id="933" w:name="_Toc516227728"/>
      <w:bookmarkStart w:id="934" w:name="_Toc516229541"/>
      <w:bookmarkStart w:id="935" w:name="_Toc516229836"/>
      <w:bookmarkStart w:id="936" w:name="_Toc516230131"/>
      <w:bookmarkStart w:id="937" w:name="_Toc516230426"/>
      <w:bookmarkStart w:id="938" w:name="_Toc516230720"/>
      <w:bookmarkStart w:id="939" w:name="_Toc516231014"/>
      <w:bookmarkStart w:id="940" w:name="_Toc516231309"/>
      <w:bookmarkStart w:id="941" w:name="_Toc516231605"/>
      <w:bookmarkStart w:id="942" w:name="_Toc516242698"/>
      <w:bookmarkStart w:id="943" w:name="_Toc516243001"/>
      <w:bookmarkStart w:id="944" w:name="_Toc516244934"/>
      <w:bookmarkStart w:id="945" w:name="_Toc516473506"/>
      <w:bookmarkStart w:id="946" w:name="_Toc516473816"/>
      <w:bookmarkStart w:id="947" w:name="_Toc516474126"/>
      <w:bookmarkStart w:id="948" w:name="_Toc516474434"/>
      <w:bookmarkStart w:id="949" w:name="_Toc516474765"/>
      <w:bookmarkStart w:id="950" w:name="_Toc516478796"/>
      <w:bookmarkStart w:id="951" w:name="_Toc516479259"/>
      <w:bookmarkStart w:id="952" w:name="_Toc516479576"/>
      <w:bookmarkStart w:id="953" w:name="_Toc516479899"/>
      <w:bookmarkStart w:id="954" w:name="_Toc516480214"/>
      <w:bookmarkStart w:id="955" w:name="_Toc516480528"/>
      <w:bookmarkStart w:id="956" w:name="_Toc516480842"/>
      <w:bookmarkStart w:id="957" w:name="_Toc516481156"/>
      <w:bookmarkStart w:id="958" w:name="_Toc516481470"/>
      <w:bookmarkStart w:id="959" w:name="_Toc516481784"/>
      <w:bookmarkStart w:id="960" w:name="_Toc516482098"/>
      <w:bookmarkStart w:id="961" w:name="_Toc516482412"/>
      <w:bookmarkStart w:id="962" w:name="_Toc516739534"/>
      <w:bookmarkStart w:id="963" w:name="_Toc516751447"/>
      <w:bookmarkStart w:id="964" w:name="_Toc516825517"/>
      <w:bookmarkStart w:id="965" w:name="_Toc516826075"/>
      <w:bookmarkStart w:id="966" w:name="_Toc516837394"/>
      <w:bookmarkStart w:id="967" w:name="_Toc516837953"/>
      <w:bookmarkStart w:id="968" w:name="_Toc516838512"/>
      <w:bookmarkStart w:id="969" w:name="_Toc516839071"/>
      <w:bookmarkStart w:id="970" w:name="_Toc517173167"/>
      <w:bookmarkStart w:id="971" w:name="_Toc517174841"/>
      <w:bookmarkStart w:id="972" w:name="_Toc517175428"/>
      <w:bookmarkStart w:id="973" w:name="_Toc517176016"/>
      <w:bookmarkStart w:id="974" w:name="_Toc517337337"/>
      <w:bookmarkStart w:id="975" w:name="_Toc517360132"/>
      <w:bookmarkStart w:id="976" w:name="_Toc512520178"/>
      <w:bookmarkStart w:id="977" w:name="_Toc512520309"/>
      <w:bookmarkStart w:id="978" w:name="_Toc512520441"/>
      <w:bookmarkStart w:id="979" w:name="_Toc512520572"/>
      <w:bookmarkStart w:id="980" w:name="_Toc512520703"/>
      <w:bookmarkStart w:id="981" w:name="_Toc512520834"/>
      <w:bookmarkStart w:id="982" w:name="_Toc512520965"/>
      <w:bookmarkStart w:id="983" w:name="_Toc512606761"/>
      <w:bookmarkStart w:id="984" w:name="_Toc512606896"/>
      <w:bookmarkStart w:id="985" w:name="_Toc512607031"/>
      <w:bookmarkStart w:id="986" w:name="_Toc515355828"/>
      <w:bookmarkStart w:id="987" w:name="_Toc515355965"/>
      <w:bookmarkStart w:id="988" w:name="_Toc515360375"/>
      <w:bookmarkStart w:id="989" w:name="_Toc515974971"/>
      <w:bookmarkStart w:id="990" w:name="_Toc515978479"/>
      <w:bookmarkStart w:id="991" w:name="_Toc516058863"/>
      <w:bookmarkStart w:id="992" w:name="_Toc516059005"/>
      <w:bookmarkStart w:id="993" w:name="_Toc516227729"/>
      <w:bookmarkStart w:id="994" w:name="_Toc516229542"/>
      <w:bookmarkStart w:id="995" w:name="_Toc516229837"/>
      <w:bookmarkStart w:id="996" w:name="_Toc516230132"/>
      <w:bookmarkStart w:id="997" w:name="_Toc516230427"/>
      <w:bookmarkStart w:id="998" w:name="_Toc516230721"/>
      <w:bookmarkStart w:id="999" w:name="_Toc516231015"/>
      <w:bookmarkStart w:id="1000" w:name="_Toc516231310"/>
      <w:bookmarkStart w:id="1001" w:name="_Toc516231606"/>
      <w:bookmarkStart w:id="1002" w:name="_Toc516242699"/>
      <w:bookmarkStart w:id="1003" w:name="_Toc516243002"/>
      <w:bookmarkStart w:id="1004" w:name="_Toc516244935"/>
      <w:bookmarkStart w:id="1005" w:name="_Toc516473507"/>
      <w:bookmarkStart w:id="1006" w:name="_Toc516473817"/>
      <w:bookmarkStart w:id="1007" w:name="_Toc516474127"/>
      <w:bookmarkStart w:id="1008" w:name="_Toc516474435"/>
      <w:bookmarkStart w:id="1009" w:name="_Toc516474766"/>
      <w:bookmarkStart w:id="1010" w:name="_Toc516478797"/>
      <w:bookmarkStart w:id="1011" w:name="_Toc516479260"/>
      <w:bookmarkStart w:id="1012" w:name="_Toc516479577"/>
      <w:bookmarkStart w:id="1013" w:name="_Toc516479900"/>
      <w:bookmarkStart w:id="1014" w:name="_Toc516480215"/>
      <w:bookmarkStart w:id="1015" w:name="_Toc516480529"/>
      <w:bookmarkStart w:id="1016" w:name="_Toc516480843"/>
      <w:bookmarkStart w:id="1017" w:name="_Toc516481157"/>
      <w:bookmarkStart w:id="1018" w:name="_Toc516481471"/>
      <w:bookmarkStart w:id="1019" w:name="_Toc516481785"/>
      <w:bookmarkStart w:id="1020" w:name="_Toc516482099"/>
      <w:bookmarkStart w:id="1021" w:name="_Toc516482413"/>
      <w:bookmarkStart w:id="1022" w:name="_Toc516739535"/>
      <w:bookmarkStart w:id="1023" w:name="_Toc516751448"/>
      <w:bookmarkStart w:id="1024" w:name="_Toc516825518"/>
      <w:bookmarkStart w:id="1025" w:name="_Toc516826076"/>
      <w:bookmarkStart w:id="1026" w:name="_Toc516837395"/>
      <w:bookmarkStart w:id="1027" w:name="_Toc516837954"/>
      <w:bookmarkStart w:id="1028" w:name="_Toc516838513"/>
      <w:bookmarkStart w:id="1029" w:name="_Toc516839072"/>
      <w:bookmarkStart w:id="1030" w:name="_Toc517173168"/>
      <w:bookmarkStart w:id="1031" w:name="_Toc517174842"/>
      <w:bookmarkStart w:id="1032" w:name="_Toc517175429"/>
      <w:bookmarkStart w:id="1033" w:name="_Toc517176017"/>
      <w:bookmarkStart w:id="1034" w:name="_Toc517337338"/>
      <w:bookmarkStart w:id="1035" w:name="_Toc517360133"/>
      <w:bookmarkStart w:id="1036" w:name="_Toc7455757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Pr="001E1353">
        <w:rPr>
          <w:lang w:val="fr-FR"/>
        </w:rPr>
        <w:t xml:space="preserve">Additionnels au </w:t>
      </w:r>
      <w:proofErr w:type="spellStart"/>
      <w:r w:rsidR="00397D73">
        <w:rPr>
          <w:lang w:val="fr-FR"/>
        </w:rPr>
        <w:t>PRi</w:t>
      </w:r>
      <w:bookmarkEnd w:id="1036"/>
      <w:proofErr w:type="spellEnd"/>
    </w:p>
    <w:p w14:paraId="11E73A2D" w14:textId="5CC7DE5C" w:rsidR="004A2669" w:rsidRDefault="004A2669" w:rsidP="000A2D19">
      <w:pPr>
        <w:jc w:val="both"/>
        <w:rPr>
          <w:rFonts w:eastAsiaTheme="minorHAnsi"/>
          <w:lang w:eastAsia="en-US"/>
        </w:rPr>
      </w:pPr>
      <w:r w:rsidRPr="008D7EB7">
        <w:rPr>
          <w:rFonts w:eastAsiaTheme="minorHAnsi"/>
          <w:lang w:eastAsia="en-US"/>
        </w:rPr>
        <w:t xml:space="preserve">Afin de pallier, dans la mesure du possible, </w:t>
      </w:r>
      <w:r w:rsidR="004A27FA" w:rsidRPr="008D7EB7">
        <w:rPr>
          <w:rFonts w:eastAsiaTheme="minorHAnsi"/>
          <w:lang w:eastAsia="en-US"/>
        </w:rPr>
        <w:t xml:space="preserve">à d’éventuels </w:t>
      </w:r>
      <w:r w:rsidRPr="008D7EB7">
        <w:rPr>
          <w:rFonts w:eastAsiaTheme="minorHAnsi"/>
          <w:lang w:eastAsia="en-US"/>
        </w:rPr>
        <w:t xml:space="preserve">retards de perception, l'autorité de tutelle </w:t>
      </w:r>
      <w:r w:rsidR="00381644" w:rsidRPr="008D7EB7">
        <w:rPr>
          <w:rFonts w:eastAsiaTheme="minorHAnsi"/>
          <w:lang w:eastAsia="en-US"/>
        </w:rPr>
        <w:t xml:space="preserve">tolère </w:t>
      </w:r>
      <w:r w:rsidRPr="008D7EB7">
        <w:rPr>
          <w:rFonts w:eastAsiaTheme="minorHAnsi"/>
          <w:lang w:eastAsia="en-US"/>
        </w:rPr>
        <w:t>l'inscription dans la modification budgétaire</w:t>
      </w:r>
      <w:r w:rsidR="000A2D19">
        <w:rPr>
          <w:rStyle w:val="Appelnotedebasdep"/>
          <w:rFonts w:eastAsiaTheme="minorHAnsi"/>
          <w:lang w:eastAsia="en-US"/>
        </w:rPr>
        <w:footnoteReference w:id="12"/>
      </w:r>
      <w:r w:rsidRPr="008D7EB7">
        <w:rPr>
          <w:rFonts w:eastAsiaTheme="minorHAnsi"/>
          <w:lang w:eastAsia="en-US"/>
        </w:rPr>
        <w:t xml:space="preserve"> d'un crédit budgétaire (fictif) de </w:t>
      </w:r>
      <w:r w:rsidRPr="008D7EB7">
        <w:rPr>
          <w:rFonts w:eastAsiaTheme="minorHAnsi"/>
          <w:lang w:eastAsia="en-US"/>
        </w:rPr>
        <w:lastRenderedPageBreak/>
        <w:t>recette sur exercice antérieur reprenant une estimation des additionnels au précompte immobilier restant à percevoir. Ce crédit ne pourra être utilisé et s'annulera automatiquement au 31 décembre de l'exercice (pas de droit constaté aux comptes).</w:t>
      </w:r>
    </w:p>
    <w:p w14:paraId="58F507EB" w14:textId="77777777" w:rsidR="000A2D19" w:rsidRPr="008D7EB7" w:rsidRDefault="000A2D19">
      <w:pPr>
        <w:jc w:val="both"/>
        <w:rPr>
          <w:rFonts w:eastAsiaTheme="minorHAnsi"/>
          <w:lang w:eastAsia="en-US"/>
        </w:rPr>
      </w:pPr>
    </w:p>
    <w:p w14:paraId="61E79EB7" w14:textId="5EA413D7" w:rsidR="004A2669" w:rsidRDefault="004A2669" w:rsidP="000A2D19">
      <w:pPr>
        <w:jc w:val="both"/>
        <w:rPr>
          <w:rFonts w:eastAsiaTheme="minorHAnsi"/>
          <w:lang w:eastAsia="en-US"/>
        </w:rPr>
      </w:pPr>
      <w:r w:rsidRPr="008D7EB7">
        <w:rPr>
          <w:rFonts w:eastAsiaTheme="minorHAnsi"/>
          <w:lang w:eastAsia="en-US"/>
        </w:rPr>
        <w:t>Le montant de ce crédit budgétaire ne pourra excéder 95% des droits restant à percevoir du dernier exercice d'imposition, c'est-à-dire de l'exercice précédant celui du budget.</w:t>
      </w:r>
    </w:p>
    <w:p w14:paraId="579A1005" w14:textId="77777777" w:rsidR="000A2D19" w:rsidRPr="008D7EB7" w:rsidRDefault="000A2D19">
      <w:pPr>
        <w:jc w:val="both"/>
        <w:rPr>
          <w:rFonts w:eastAsiaTheme="minorHAnsi"/>
          <w:lang w:eastAsia="en-US"/>
        </w:rPr>
      </w:pPr>
    </w:p>
    <w:p w14:paraId="351B0664" w14:textId="4B3DA43A" w:rsidR="004A2669" w:rsidRDefault="004A2669" w:rsidP="000A2D19">
      <w:pPr>
        <w:jc w:val="both"/>
        <w:rPr>
          <w:rFonts w:eastAsiaTheme="minorHAnsi"/>
          <w:lang w:eastAsia="en-US"/>
        </w:rPr>
      </w:pPr>
      <w:r w:rsidRPr="008D7EB7">
        <w:rPr>
          <w:rFonts w:eastAsiaTheme="minorHAnsi"/>
          <w:lang w:eastAsia="en-US"/>
        </w:rPr>
        <w:t>Pour établir cette prévision, la commune doit tenir compte de tout élément exceptionnel (exemple : fermeture d'entreprise) qui justifierait un dégrèvement ou un irrécouvrable important. Il convient de toute façon que le pourcentage retenu - qui peut donc être inférieur à 95% - corresponde à la réalité de ce que la commune est en droit d'attendre réellement.</w:t>
      </w:r>
    </w:p>
    <w:p w14:paraId="16D22774" w14:textId="77777777" w:rsidR="000A2D19" w:rsidRPr="008D7EB7" w:rsidRDefault="000A2D19">
      <w:pPr>
        <w:jc w:val="both"/>
        <w:rPr>
          <w:rFonts w:eastAsiaTheme="minorHAnsi"/>
          <w:lang w:eastAsia="en-US"/>
        </w:rPr>
      </w:pPr>
    </w:p>
    <w:p w14:paraId="0D800FE9" w14:textId="6787A965" w:rsidR="000A2D19" w:rsidRDefault="004A2669" w:rsidP="00900C39">
      <w:pPr>
        <w:jc w:val="both"/>
        <w:rPr>
          <w:rFonts w:eastAsiaTheme="minorHAnsi"/>
          <w:lang w:eastAsia="en-US"/>
        </w:rPr>
      </w:pPr>
      <w:r w:rsidRPr="008D7EB7">
        <w:rPr>
          <w:rFonts w:eastAsiaTheme="minorHAnsi"/>
          <w:lang w:eastAsia="en-US"/>
        </w:rPr>
        <w:t>L'inscription de ce crédit est strictement concomitante à l'injection du résultat du compte précédent</w:t>
      </w:r>
      <w:r w:rsidR="000A2D19">
        <w:rPr>
          <w:rStyle w:val="Appelnotedebasdep"/>
          <w:rFonts w:eastAsiaTheme="minorHAnsi"/>
          <w:lang w:eastAsia="en-US"/>
        </w:rPr>
        <w:footnoteReference w:id="13"/>
      </w:r>
      <w:r w:rsidRPr="008D7EB7">
        <w:rPr>
          <w:rFonts w:eastAsiaTheme="minorHAnsi"/>
          <w:lang w:eastAsia="en-US"/>
        </w:rPr>
        <w:t>.</w:t>
      </w:r>
    </w:p>
    <w:p w14:paraId="5A7A62E1" w14:textId="77777777" w:rsidR="006843B9" w:rsidRDefault="006843B9" w:rsidP="00900C39">
      <w:pPr>
        <w:jc w:val="both"/>
        <w:rPr>
          <w:rFonts w:eastAsiaTheme="minorHAnsi"/>
          <w:lang w:eastAsia="en-US"/>
        </w:rPr>
      </w:pPr>
    </w:p>
    <w:p w14:paraId="2E25085A" w14:textId="77777777" w:rsidR="004A27FA" w:rsidRPr="001E1353" w:rsidRDefault="004A27FA" w:rsidP="00E063FD">
      <w:pPr>
        <w:pStyle w:val="Sam2"/>
      </w:pPr>
      <w:bookmarkStart w:id="1037" w:name="_Toc40185209"/>
      <w:bookmarkStart w:id="1038" w:name="_Toc40185944"/>
      <w:bookmarkStart w:id="1039" w:name="_Toc74557574"/>
      <w:bookmarkEnd w:id="1037"/>
      <w:bookmarkEnd w:id="1038"/>
      <w:r>
        <w:t>Additionnels à l’IPP</w:t>
      </w:r>
      <w:bookmarkEnd w:id="1039"/>
    </w:p>
    <w:p w14:paraId="5DBE3491" w14:textId="04EF1A7E" w:rsidR="004A2669" w:rsidRDefault="004A27FA" w:rsidP="008D7EB7">
      <w:pPr>
        <w:jc w:val="both"/>
        <w:rPr>
          <w:rFonts w:eastAsiaTheme="minorHAnsi"/>
          <w:lang w:eastAsia="en-US"/>
        </w:rPr>
      </w:pPr>
      <w:r w:rsidRPr="008D7EB7">
        <w:rPr>
          <w:rFonts w:eastAsiaTheme="minorHAnsi"/>
          <w:lang w:eastAsia="en-US"/>
        </w:rPr>
        <w:t xml:space="preserve">En </w:t>
      </w:r>
      <w:r w:rsidR="004A2669" w:rsidRPr="008D7EB7">
        <w:rPr>
          <w:rFonts w:eastAsiaTheme="minorHAnsi"/>
          <w:lang w:eastAsia="en-US"/>
        </w:rPr>
        <w:t>matière d’avances sur les additionnels IPP, la circulaire du 18 octobre 2017 et sa note complémentaire</w:t>
      </w:r>
      <w:r w:rsidR="005F170B" w:rsidRPr="008D7EB7">
        <w:rPr>
          <w:rFonts w:eastAsiaTheme="minorHAnsi"/>
          <w:lang w:eastAsia="en-US"/>
        </w:rPr>
        <w:t>,</w:t>
      </w:r>
      <w:r w:rsidR="004A2669" w:rsidRPr="008D7EB7">
        <w:rPr>
          <w:rFonts w:eastAsiaTheme="minorHAnsi"/>
          <w:lang w:eastAsia="en-US"/>
        </w:rPr>
        <w:t xml:space="preserve"> disponible</w:t>
      </w:r>
      <w:r w:rsidR="005F170B" w:rsidRPr="008D7EB7">
        <w:rPr>
          <w:rFonts w:eastAsiaTheme="minorHAnsi"/>
          <w:lang w:eastAsia="en-US"/>
        </w:rPr>
        <w:t>s</w:t>
      </w:r>
      <w:r w:rsidR="004A2669" w:rsidRPr="008D7EB7">
        <w:rPr>
          <w:rFonts w:eastAsiaTheme="minorHAnsi"/>
          <w:lang w:eastAsia="en-US"/>
        </w:rPr>
        <w:t xml:space="preserve"> sur le Portail des Pouvoirs locaux</w:t>
      </w:r>
      <w:r w:rsidR="005F170B" w:rsidRPr="008D7EB7">
        <w:rPr>
          <w:rFonts w:eastAsiaTheme="minorHAnsi"/>
          <w:lang w:eastAsia="en-US"/>
        </w:rPr>
        <w:t>,</w:t>
      </w:r>
      <w:r w:rsidR="004A2669" w:rsidRPr="008D7EB7">
        <w:rPr>
          <w:rFonts w:eastAsiaTheme="minorHAnsi"/>
          <w:lang w:eastAsia="en-US"/>
        </w:rPr>
        <w:t xml:space="preserve"> vous en précisent la comptabilisation.</w:t>
      </w:r>
    </w:p>
    <w:p w14:paraId="63D7F3C4" w14:textId="77777777" w:rsidR="000A2D19" w:rsidRPr="008D7EB7" w:rsidRDefault="000A2D19">
      <w:pPr>
        <w:jc w:val="both"/>
        <w:rPr>
          <w:rFonts w:eastAsiaTheme="minorHAnsi"/>
          <w:lang w:eastAsia="en-US"/>
        </w:rPr>
      </w:pPr>
    </w:p>
    <w:p w14:paraId="6F00C7FB" w14:textId="627876CB" w:rsidR="000A3E94" w:rsidRDefault="000A3E94">
      <w:pPr>
        <w:jc w:val="both"/>
        <w:rPr>
          <w:rFonts w:eastAsiaTheme="minorHAnsi"/>
          <w:lang w:eastAsia="en-US"/>
        </w:rPr>
      </w:pPr>
      <w:r w:rsidRPr="008D7EB7">
        <w:rPr>
          <w:rFonts w:eastAsiaTheme="minorHAnsi"/>
          <w:lang w:eastAsia="en-US"/>
        </w:rPr>
        <w:t>Les explications pour la réestimation de l’IPP doivent être inclues pour</w:t>
      </w:r>
      <w:r w:rsidR="00BC56F0" w:rsidRPr="008D7EB7">
        <w:rPr>
          <w:rFonts w:eastAsiaTheme="minorHAnsi"/>
          <w:lang w:eastAsia="en-US"/>
        </w:rPr>
        <w:t>,</w:t>
      </w:r>
      <w:r w:rsidRPr="008D7EB7">
        <w:rPr>
          <w:rFonts w:eastAsiaTheme="minorHAnsi"/>
          <w:lang w:eastAsia="en-US"/>
        </w:rPr>
        <w:t xml:space="preserve"> au plus tard</w:t>
      </w:r>
      <w:r w:rsidR="00BC56F0" w:rsidRPr="008D7EB7">
        <w:rPr>
          <w:rFonts w:eastAsiaTheme="minorHAnsi"/>
          <w:lang w:eastAsia="en-US"/>
        </w:rPr>
        <w:t>,</w:t>
      </w:r>
      <w:r w:rsidRPr="008D7EB7">
        <w:rPr>
          <w:rFonts w:eastAsiaTheme="minorHAnsi"/>
          <w:lang w:eastAsia="en-US"/>
        </w:rPr>
        <w:t xml:space="preserve"> le tableau de synthèse du budget N+1.</w:t>
      </w:r>
    </w:p>
    <w:p w14:paraId="42724677" w14:textId="35061700" w:rsidR="00541AFA" w:rsidRDefault="00541AFA">
      <w:pPr>
        <w:jc w:val="both"/>
        <w:rPr>
          <w:rFonts w:eastAsiaTheme="minorHAnsi"/>
          <w:lang w:eastAsia="en-US"/>
        </w:rPr>
      </w:pPr>
    </w:p>
    <w:p w14:paraId="5D3EEB3F" w14:textId="77777777" w:rsidR="00541AFA" w:rsidRPr="008D7EB7" w:rsidRDefault="00541AFA">
      <w:pPr>
        <w:jc w:val="both"/>
        <w:rPr>
          <w:rFonts w:eastAsiaTheme="minorHAnsi"/>
          <w:lang w:eastAsia="en-US"/>
        </w:rPr>
      </w:pPr>
    </w:p>
    <w:p w14:paraId="0C04D150" w14:textId="77777777" w:rsidR="004A2669" w:rsidRPr="001E1353" w:rsidRDefault="004A2669" w:rsidP="001E1353">
      <w:pPr>
        <w:pStyle w:val="Sam2"/>
        <w:rPr>
          <w:lang w:val="fr-FR"/>
        </w:rPr>
      </w:pPr>
      <w:bookmarkStart w:id="1040" w:name="_Toc40185211"/>
      <w:bookmarkStart w:id="1041" w:name="_Toc40185946"/>
      <w:bookmarkStart w:id="1042" w:name="_Toc74557575"/>
      <w:bookmarkEnd w:id="1040"/>
      <w:bookmarkEnd w:id="1041"/>
      <w:r w:rsidRPr="001E1353">
        <w:rPr>
          <w:lang w:val="fr-FR"/>
        </w:rPr>
        <w:t>Perception des recettes</w:t>
      </w:r>
      <w:bookmarkEnd w:id="1042"/>
      <w:r w:rsidRPr="001E1353">
        <w:rPr>
          <w:lang w:val="fr-FR"/>
        </w:rPr>
        <w:t xml:space="preserve"> </w:t>
      </w:r>
    </w:p>
    <w:p w14:paraId="2FDE978C" w14:textId="1B982A40" w:rsidR="004A2669" w:rsidRDefault="004D1C7C" w:rsidP="000A2D19">
      <w:pPr>
        <w:jc w:val="both"/>
        <w:rPr>
          <w:rFonts w:eastAsiaTheme="minorHAnsi"/>
          <w:lang w:eastAsia="en-US"/>
        </w:rPr>
      </w:pPr>
      <w:r w:rsidRPr="008D7EB7">
        <w:rPr>
          <w:rFonts w:eastAsiaTheme="minorHAnsi"/>
          <w:lang w:eastAsia="en-US"/>
        </w:rPr>
        <w:t>L</w:t>
      </w:r>
      <w:r w:rsidR="004A2669" w:rsidRPr="008D7EB7">
        <w:rPr>
          <w:rFonts w:eastAsiaTheme="minorHAnsi"/>
          <w:lang w:eastAsia="en-US"/>
        </w:rPr>
        <w:t>es droits établis dans les rôles sont comptabilisés aux recettes de l'exercice au cours duquel lesdits rôles sont rendus exécutoires</w:t>
      </w:r>
      <w:r w:rsidR="000A2D19">
        <w:rPr>
          <w:rStyle w:val="Appelnotedebasdep"/>
          <w:rFonts w:eastAsiaTheme="minorHAnsi"/>
          <w:lang w:eastAsia="en-US"/>
        </w:rPr>
        <w:footnoteReference w:id="14"/>
      </w:r>
      <w:r w:rsidR="004A2669" w:rsidRPr="008D7EB7">
        <w:rPr>
          <w:rFonts w:eastAsiaTheme="minorHAnsi"/>
          <w:lang w:eastAsia="en-US"/>
        </w:rPr>
        <w:t>. J'insiste sur l'intérêt de rendre les rôles de taxes exécutoires dans le courant de l'exercice auquel ils se rattachent. En effet, cette manière de procéder assure à la commune une prise en compte équilibrée d'année en année de l'ensemble de ses recettes fiscales.</w:t>
      </w:r>
    </w:p>
    <w:p w14:paraId="5B451DE1" w14:textId="77777777" w:rsidR="000A2D19" w:rsidRPr="008D7EB7" w:rsidRDefault="000A2D19">
      <w:pPr>
        <w:jc w:val="both"/>
        <w:rPr>
          <w:rFonts w:eastAsiaTheme="minorHAnsi"/>
          <w:lang w:eastAsia="en-US"/>
        </w:rPr>
      </w:pPr>
    </w:p>
    <w:p w14:paraId="0BE208FA" w14:textId="3B48204E" w:rsidR="004A2669" w:rsidRPr="008D7EB7" w:rsidRDefault="004A2669">
      <w:pPr>
        <w:jc w:val="both"/>
        <w:rPr>
          <w:rFonts w:eastAsiaTheme="minorHAnsi"/>
          <w:lang w:eastAsia="en-US"/>
        </w:rPr>
      </w:pPr>
      <w:r w:rsidRPr="008D7EB7">
        <w:rPr>
          <w:rFonts w:eastAsiaTheme="minorHAnsi"/>
          <w:lang w:eastAsia="en-US"/>
        </w:rPr>
        <w:t xml:space="preserve">Lorsqu'une commune souhaite reprendre dans le budget de l'exercice en cours des recettes liées à des rôles de taxes de l'exercice précédent rendus exécutoires entre le </w:t>
      </w:r>
      <w:r w:rsidR="000A2D19">
        <w:rPr>
          <w:rFonts w:eastAsiaTheme="minorHAnsi"/>
          <w:lang w:eastAsia="en-US"/>
        </w:rPr>
        <w:t>1</w:t>
      </w:r>
      <w:r w:rsidR="000A2D19" w:rsidRPr="008D7EB7">
        <w:rPr>
          <w:rFonts w:eastAsiaTheme="minorHAnsi"/>
          <w:vertAlign w:val="superscript"/>
          <w:lang w:eastAsia="en-US"/>
        </w:rPr>
        <w:t>er</w:t>
      </w:r>
      <w:r w:rsidR="000A2D19">
        <w:rPr>
          <w:rFonts w:eastAsiaTheme="minorHAnsi"/>
          <w:lang w:eastAsia="en-US"/>
        </w:rPr>
        <w:t xml:space="preserve"> </w:t>
      </w:r>
      <w:r w:rsidRPr="008D7EB7">
        <w:rPr>
          <w:rFonts w:eastAsiaTheme="minorHAnsi"/>
          <w:lang w:eastAsia="en-US"/>
        </w:rPr>
        <w:t>janvier et le 30 juin de l'exercice en cours, cette opération doit se faire par l'inscription de crédits budgétaires aux exercices antérieurs, en évitant tout double emploi de recettes entre l'exercice en cours et le précédent. Pour ce faire, il est préférable d'inscrire ces crédits lors de l'injection du résultat du compte. Si ceux-ci sont toutefois inscrits dès le budget initial, il convient d'aménager le tableau de synthèse relatif à l'exercice N-1 par des adaptations de recettes en moins équivalentes. Il n'y a pas de double emploi si la commune a seulement inscrit à son budget précédent la part de recettes relative aux rôles de taxes rendus exécutoires au cours de cet exercice.</w:t>
      </w:r>
    </w:p>
    <w:p w14:paraId="797F0F12" w14:textId="77777777" w:rsidR="004A2669" w:rsidRPr="001E1353" w:rsidRDefault="004A2669" w:rsidP="001E1353">
      <w:pPr>
        <w:pStyle w:val="Sam2"/>
        <w:rPr>
          <w:lang w:val="fr-FR"/>
        </w:rPr>
      </w:pPr>
      <w:bookmarkStart w:id="1043" w:name="_Toc74557576"/>
      <w:r w:rsidRPr="001E1353">
        <w:rPr>
          <w:lang w:val="fr-FR"/>
        </w:rPr>
        <w:lastRenderedPageBreak/>
        <w:t>Réévaluation annuelle des biens du patrimoine immobilier</w:t>
      </w:r>
      <w:bookmarkEnd w:id="1043"/>
    </w:p>
    <w:p w14:paraId="1B706466" w14:textId="3B30515F" w:rsidR="00E5589D" w:rsidRDefault="000A2D19" w:rsidP="008D7EB7">
      <w:bookmarkStart w:id="1044" w:name="_Hlk40171773"/>
      <w:r w:rsidRPr="000A2D19">
        <w:t xml:space="preserve">Pour l’application de l’article 21 du RGCC, l’indice ABEX de référence pour le compte </w:t>
      </w:r>
      <w:r w:rsidR="003C0E2C">
        <w:t xml:space="preserve">2022 </w:t>
      </w:r>
      <w:r w:rsidRPr="000A2D19">
        <w:t xml:space="preserve">est celui du mois de mai </w:t>
      </w:r>
      <w:r w:rsidR="003C0E2C">
        <w:t>2022</w:t>
      </w:r>
      <w:r w:rsidR="00302D4E" w:rsidRPr="000A2D19">
        <w:t xml:space="preserve"> </w:t>
      </w:r>
      <w:r w:rsidRPr="000A2D19">
        <w:t>qui est de</w:t>
      </w:r>
      <w:r w:rsidR="00121BB0">
        <w:t xml:space="preserve"> 954</w:t>
      </w:r>
      <w:r w:rsidR="00F76F83">
        <w:t xml:space="preserve"> *** </w:t>
      </w:r>
      <w:bookmarkStart w:id="1045" w:name="_Toc8121657"/>
      <w:bookmarkStart w:id="1046" w:name="_Toc8129598"/>
      <w:bookmarkEnd w:id="1044"/>
      <w:bookmarkEnd w:id="1045"/>
      <w:bookmarkEnd w:id="1046"/>
    </w:p>
    <w:p w14:paraId="52310FC5" w14:textId="30D94D1F" w:rsidR="004A2669" w:rsidRPr="001E1353" w:rsidRDefault="004A2669" w:rsidP="001E1353">
      <w:pPr>
        <w:pStyle w:val="Sam2"/>
        <w:rPr>
          <w:lang w:val="fr-FR"/>
        </w:rPr>
      </w:pPr>
      <w:bookmarkStart w:id="1047" w:name="_Toc74557577"/>
      <w:r w:rsidRPr="001E1353">
        <w:rPr>
          <w:lang w:val="fr-FR"/>
        </w:rPr>
        <w:t>Placements</w:t>
      </w:r>
      <w:bookmarkEnd w:id="1047"/>
      <w:r w:rsidRPr="001E1353">
        <w:rPr>
          <w:lang w:val="fr-FR"/>
        </w:rPr>
        <w:t xml:space="preserve"> </w:t>
      </w:r>
    </w:p>
    <w:p w14:paraId="48E9096C" w14:textId="0313203E" w:rsidR="00513E46" w:rsidRDefault="00513E46" w:rsidP="00826CAD">
      <w:pPr>
        <w:jc w:val="both"/>
        <w:rPr>
          <w:rFonts w:eastAsiaTheme="minorHAnsi"/>
          <w:lang w:eastAsia="en-US"/>
        </w:rPr>
      </w:pPr>
      <w:r w:rsidRPr="008D7EB7">
        <w:rPr>
          <w:rFonts w:eastAsiaTheme="minorHAnsi"/>
          <w:lang w:eastAsia="en-US"/>
        </w:rPr>
        <w:t>En ce qui concerne les placements, je vous renvoie à l’article 30 du RGCC. Le principe premier est la prudence dans la gestion des fonds publics puis la recherche d’un rendement satisfaisant. Il appartient à chaque pouvoir local de mettre en œuvre ces principes, le directeur financier</w:t>
      </w:r>
      <w:r w:rsidR="00D4258F" w:rsidRPr="008D7EB7">
        <w:rPr>
          <w:rFonts w:eastAsiaTheme="minorHAnsi"/>
          <w:lang w:eastAsia="en-US"/>
        </w:rPr>
        <w:t xml:space="preserve"> jouant pleinement ici son rôle de conseiller financier de la commune. </w:t>
      </w:r>
    </w:p>
    <w:p w14:paraId="0FC89CCE" w14:textId="77777777" w:rsidR="00826CAD" w:rsidRPr="008D7EB7" w:rsidRDefault="00826CAD">
      <w:pPr>
        <w:jc w:val="both"/>
        <w:rPr>
          <w:rFonts w:eastAsiaTheme="minorHAnsi"/>
          <w:lang w:eastAsia="en-US"/>
        </w:rPr>
      </w:pPr>
    </w:p>
    <w:p w14:paraId="729F23AE" w14:textId="65297747" w:rsidR="00BE376A" w:rsidRDefault="0026451E" w:rsidP="00826CAD">
      <w:pPr>
        <w:jc w:val="both"/>
        <w:rPr>
          <w:rFonts w:eastAsiaTheme="minorHAnsi"/>
          <w:lang w:eastAsia="en-US"/>
        </w:rPr>
      </w:pPr>
      <w:r w:rsidRPr="008D7EB7">
        <w:rPr>
          <w:rFonts w:eastAsiaTheme="minorHAnsi"/>
          <w:lang w:eastAsia="en-US"/>
        </w:rPr>
        <w:t>Il peut être accepté que l</w:t>
      </w:r>
      <w:r w:rsidR="004A2669" w:rsidRPr="008D7EB7">
        <w:rPr>
          <w:rFonts w:eastAsiaTheme="minorHAnsi"/>
          <w:lang w:eastAsia="en-US"/>
        </w:rPr>
        <w:t>es autorités communales pratique</w:t>
      </w:r>
      <w:r w:rsidRPr="008D7EB7">
        <w:rPr>
          <w:rFonts w:eastAsiaTheme="minorHAnsi"/>
          <w:lang w:eastAsia="en-US"/>
        </w:rPr>
        <w:t>nt</w:t>
      </w:r>
      <w:r w:rsidR="004A2669" w:rsidRPr="008D7EB7">
        <w:rPr>
          <w:rFonts w:eastAsiaTheme="minorHAnsi"/>
          <w:lang w:eastAsia="en-US"/>
        </w:rPr>
        <w:t xml:space="preserve"> des placements de fonds en SICAV dans la mesure où ces placements </w:t>
      </w:r>
      <w:r w:rsidR="004A2669" w:rsidRPr="008D7EB7">
        <w:rPr>
          <w:rFonts w:eastAsiaTheme="minorHAnsi"/>
          <w:b/>
          <w:bCs/>
          <w:lang w:eastAsia="en-US"/>
        </w:rPr>
        <w:t>garantissent</w:t>
      </w:r>
      <w:r w:rsidR="004A2669" w:rsidRPr="008D7EB7">
        <w:rPr>
          <w:rFonts w:eastAsiaTheme="minorHAnsi"/>
          <w:lang w:eastAsia="en-US"/>
        </w:rPr>
        <w:t xml:space="preserve"> au minimum le remboursement du capital investi. De la même manière, je ne m'oppose pas à des placements opérés dans des fonds ou des produits d'assurance à capital et taux d'intérêt minimum garantis.</w:t>
      </w:r>
      <w:r w:rsidR="000D74F2" w:rsidRPr="008D7EB7">
        <w:rPr>
          <w:rFonts w:eastAsiaTheme="minorHAnsi"/>
          <w:lang w:eastAsia="en-US"/>
        </w:rPr>
        <w:t xml:space="preserve"> </w:t>
      </w:r>
      <w:r w:rsidR="00302D4E">
        <w:rPr>
          <w:rFonts w:eastAsiaTheme="minorHAnsi"/>
          <w:lang w:eastAsia="en-US"/>
        </w:rPr>
        <w:t>Il va de soi que ces placements doivent se faire exclusivement en euros afin d’éviter toute perte liée au taux de change.</w:t>
      </w:r>
    </w:p>
    <w:p w14:paraId="14237A14" w14:textId="77777777" w:rsidR="00CA4632" w:rsidRPr="008D7EB7" w:rsidRDefault="00CA4632">
      <w:pPr>
        <w:jc w:val="both"/>
        <w:rPr>
          <w:rFonts w:eastAsiaTheme="minorHAnsi"/>
          <w:lang w:eastAsia="en-US"/>
        </w:rPr>
      </w:pPr>
    </w:p>
    <w:p w14:paraId="53FBAFC2" w14:textId="66465DB6" w:rsidR="0026451E" w:rsidRDefault="0026451E" w:rsidP="008D7EB7">
      <w:pPr>
        <w:jc w:val="both"/>
        <w:rPr>
          <w:rFonts w:eastAsiaTheme="minorHAnsi"/>
          <w:lang w:eastAsia="en-US"/>
        </w:rPr>
      </w:pPr>
      <w:r w:rsidRPr="008D7EB7">
        <w:rPr>
          <w:rFonts w:eastAsiaTheme="minorHAnsi"/>
          <w:lang w:eastAsia="en-US"/>
        </w:rPr>
        <w:t>Une attention particulière devra également être donnée à la qualité de ces organismes au niveau de leur situation financière.</w:t>
      </w:r>
    </w:p>
    <w:p w14:paraId="3485FAA4" w14:textId="77777777" w:rsidR="00826CAD" w:rsidRPr="008D7EB7" w:rsidRDefault="00826CAD">
      <w:pPr>
        <w:jc w:val="both"/>
        <w:rPr>
          <w:rFonts w:eastAsiaTheme="minorHAnsi"/>
          <w:lang w:eastAsia="en-US"/>
        </w:rPr>
      </w:pPr>
    </w:p>
    <w:p w14:paraId="16CEC434" w14:textId="4A38D7EF" w:rsidR="002A704D" w:rsidRPr="008D7EB7" w:rsidRDefault="000D74F2">
      <w:pPr>
        <w:jc w:val="both"/>
        <w:rPr>
          <w:rFonts w:eastAsiaTheme="minorHAnsi"/>
          <w:lang w:eastAsia="en-US"/>
        </w:rPr>
      </w:pPr>
      <w:r w:rsidRPr="008D7EB7">
        <w:rPr>
          <w:rFonts w:eastAsiaTheme="minorHAnsi"/>
          <w:b/>
          <w:bCs/>
          <w:lang w:eastAsia="en-US"/>
        </w:rPr>
        <w:t>Quant aux placements éthiques</w:t>
      </w:r>
      <w:r w:rsidR="008E2B35" w:rsidRPr="008D7EB7">
        <w:rPr>
          <w:rFonts w:eastAsiaTheme="minorHAnsi"/>
          <w:b/>
          <w:bCs/>
          <w:lang w:eastAsia="en-US"/>
        </w:rPr>
        <w:t xml:space="preserve"> (sur le plan social, environnemental ou autres), il appartient à chaque autorité locale de décider si elle veut ou non y adhérer et limiter son choix dans ses placements</w:t>
      </w:r>
      <w:r w:rsidR="0026451E" w:rsidRPr="008D7EB7">
        <w:rPr>
          <w:rFonts w:eastAsiaTheme="minorHAnsi"/>
          <w:b/>
          <w:bCs/>
          <w:lang w:eastAsia="en-US"/>
        </w:rPr>
        <w:t>. De la même manière</w:t>
      </w:r>
      <w:r w:rsidR="008E2B35" w:rsidRPr="008D7EB7">
        <w:rPr>
          <w:rFonts w:eastAsiaTheme="minorHAnsi"/>
          <w:b/>
          <w:bCs/>
          <w:lang w:eastAsia="en-US"/>
        </w:rPr>
        <w:t xml:space="preserve">, </w:t>
      </w:r>
      <w:r w:rsidR="0026451E" w:rsidRPr="008D7EB7">
        <w:rPr>
          <w:rFonts w:eastAsiaTheme="minorHAnsi"/>
          <w:b/>
          <w:bCs/>
          <w:lang w:eastAsia="en-US"/>
        </w:rPr>
        <w:t xml:space="preserve">une attention particulière </w:t>
      </w:r>
      <w:r w:rsidR="00C1045B">
        <w:rPr>
          <w:rFonts w:eastAsiaTheme="minorHAnsi"/>
          <w:b/>
          <w:bCs/>
          <w:lang w:eastAsia="en-US"/>
        </w:rPr>
        <w:t xml:space="preserve">doit être </w:t>
      </w:r>
      <w:r w:rsidR="0026451E" w:rsidRPr="008D7EB7">
        <w:rPr>
          <w:rFonts w:eastAsiaTheme="minorHAnsi"/>
          <w:b/>
          <w:bCs/>
          <w:lang w:eastAsia="en-US"/>
        </w:rPr>
        <w:t>donnée</w:t>
      </w:r>
      <w:r w:rsidR="008E2B35" w:rsidRPr="008D7EB7">
        <w:rPr>
          <w:rFonts w:eastAsiaTheme="minorHAnsi"/>
          <w:b/>
          <w:bCs/>
          <w:lang w:eastAsia="en-US"/>
        </w:rPr>
        <w:t xml:space="preserve"> à la qualité de ces différents critères</w:t>
      </w:r>
      <w:r w:rsidR="0026451E" w:rsidRPr="008D7EB7">
        <w:rPr>
          <w:rFonts w:eastAsiaTheme="minorHAnsi"/>
          <w:b/>
          <w:bCs/>
          <w:lang w:eastAsia="en-US"/>
        </w:rPr>
        <w:t>,</w:t>
      </w:r>
      <w:r w:rsidR="008E2B35" w:rsidRPr="008D7EB7">
        <w:rPr>
          <w:rFonts w:eastAsiaTheme="minorHAnsi"/>
          <w:b/>
          <w:bCs/>
          <w:lang w:eastAsia="en-US"/>
        </w:rPr>
        <w:t xml:space="preserve"> </w:t>
      </w:r>
      <w:r w:rsidR="0026451E" w:rsidRPr="008D7EB7">
        <w:rPr>
          <w:rFonts w:eastAsiaTheme="minorHAnsi"/>
          <w:b/>
          <w:bCs/>
          <w:lang w:eastAsia="en-US"/>
        </w:rPr>
        <w:t>laquelle</w:t>
      </w:r>
      <w:r w:rsidR="008E2B35" w:rsidRPr="008D7EB7">
        <w:rPr>
          <w:rFonts w:eastAsiaTheme="minorHAnsi"/>
          <w:b/>
          <w:bCs/>
          <w:lang w:eastAsia="en-US"/>
        </w:rPr>
        <w:t xml:space="preserve"> n’est pas toujours confirmée ou facile à déterminer</w:t>
      </w:r>
      <w:r w:rsidR="008E2B35" w:rsidRPr="008D7EB7">
        <w:rPr>
          <w:rFonts w:eastAsiaTheme="minorHAnsi"/>
          <w:lang w:eastAsia="en-US"/>
        </w:rPr>
        <w:t xml:space="preserve">. </w:t>
      </w:r>
      <w:r w:rsidR="002A704D" w:rsidRPr="008D7EB7">
        <w:rPr>
          <w:rFonts w:eastAsiaTheme="minorHAnsi"/>
          <w:lang w:eastAsia="en-US"/>
        </w:rPr>
        <w:t>De manière générale, toute spéculation utilisant des moyens publics est proscrite.</w:t>
      </w:r>
    </w:p>
    <w:p w14:paraId="33BA2265" w14:textId="77777777" w:rsidR="004A2669" w:rsidRPr="001E1353" w:rsidRDefault="004A2669" w:rsidP="001E1353">
      <w:pPr>
        <w:pStyle w:val="Sam2"/>
        <w:rPr>
          <w:lang w:val="fr-FR"/>
        </w:rPr>
      </w:pPr>
      <w:bookmarkStart w:id="1048" w:name="_Toc74557578"/>
      <w:r w:rsidRPr="001E1353">
        <w:rPr>
          <w:lang w:val="fr-FR"/>
        </w:rPr>
        <w:t>Transmission électronique des extraits de comptes</w:t>
      </w:r>
      <w:bookmarkEnd w:id="1048"/>
      <w:r w:rsidRPr="001E1353">
        <w:rPr>
          <w:lang w:val="fr-FR"/>
        </w:rPr>
        <w:t xml:space="preserve"> </w:t>
      </w:r>
    </w:p>
    <w:p w14:paraId="76BCD788" w14:textId="35D2DCDC" w:rsidR="004A2669" w:rsidRDefault="004A2669">
      <w:pPr>
        <w:jc w:val="both"/>
      </w:pPr>
      <w:r w:rsidRPr="001E1353">
        <w:t>Les organismes financiers des communes peuvent leur transmettre par la voie électronique leurs extraits de compte, dans la stricte mesure où la procédure utilise un format lisible indépendant (par exemple, « .</w:t>
      </w:r>
      <w:proofErr w:type="spellStart"/>
      <w:r w:rsidRPr="001E1353">
        <w:t>pdf</w:t>
      </w:r>
      <w:proofErr w:type="spellEnd"/>
      <w:r w:rsidRPr="001E1353">
        <w:t xml:space="preserve"> ») et est parfaitement sécurisée et où des copies de sauvegarde existent pendant au moins 10 ans </w:t>
      </w:r>
      <w:r w:rsidR="002A704D">
        <w:t xml:space="preserve">soit dans la commune soit </w:t>
      </w:r>
      <w:r w:rsidRPr="001E1353">
        <w:t>chez l'organisme financier.</w:t>
      </w:r>
    </w:p>
    <w:p w14:paraId="756FAE2C" w14:textId="5879CE69" w:rsidR="009A66C7" w:rsidRDefault="009A66C7">
      <w:pPr>
        <w:jc w:val="both"/>
      </w:pPr>
    </w:p>
    <w:p w14:paraId="53F078DF" w14:textId="77777777" w:rsidR="009A66C7" w:rsidRDefault="009A66C7">
      <w:pPr>
        <w:jc w:val="both"/>
      </w:pPr>
    </w:p>
    <w:p w14:paraId="024B8D13" w14:textId="77777777" w:rsidR="004A2669" w:rsidRPr="001E1353" w:rsidRDefault="004A2669" w:rsidP="001E1353">
      <w:pPr>
        <w:pStyle w:val="Sam2"/>
        <w:rPr>
          <w:lang w:val="fr-FR"/>
        </w:rPr>
      </w:pPr>
      <w:bookmarkStart w:id="1049" w:name="_Toc40185216"/>
      <w:bookmarkStart w:id="1050" w:name="_Toc40185951"/>
      <w:bookmarkStart w:id="1051" w:name="_Toc74557579"/>
      <w:bookmarkEnd w:id="1049"/>
      <w:bookmarkEnd w:id="1050"/>
      <w:r w:rsidRPr="001E1353">
        <w:rPr>
          <w:lang w:val="fr-FR"/>
        </w:rPr>
        <w:t>Avances de fonds</w:t>
      </w:r>
      <w:bookmarkEnd w:id="1051"/>
    </w:p>
    <w:p w14:paraId="276FB844" w14:textId="6935C6A7" w:rsidR="004A2669" w:rsidRDefault="004A2669" w:rsidP="00826CAD">
      <w:pPr>
        <w:jc w:val="both"/>
        <w:rPr>
          <w:rFonts w:eastAsiaTheme="minorHAnsi"/>
          <w:lang w:eastAsia="en-US"/>
        </w:rPr>
      </w:pPr>
      <w:r w:rsidRPr="008D7EB7">
        <w:rPr>
          <w:rFonts w:eastAsiaTheme="minorHAnsi"/>
          <w:lang w:eastAsia="en-US"/>
        </w:rPr>
        <w:t>L'article 31, §2, du RGCC organise cette procédure dérogatoire.</w:t>
      </w:r>
    </w:p>
    <w:p w14:paraId="4F12D33A" w14:textId="77777777" w:rsidR="00826CAD" w:rsidRPr="008D7EB7" w:rsidRDefault="00826CAD">
      <w:pPr>
        <w:jc w:val="both"/>
        <w:rPr>
          <w:rFonts w:eastAsiaTheme="minorHAnsi"/>
          <w:lang w:eastAsia="en-US"/>
        </w:rPr>
      </w:pPr>
    </w:p>
    <w:p w14:paraId="7C7549D1" w14:textId="3ADE1135" w:rsidR="001A0303" w:rsidRDefault="004A2669">
      <w:pPr>
        <w:jc w:val="both"/>
        <w:rPr>
          <w:rFonts w:eastAsiaTheme="minorHAnsi"/>
          <w:lang w:eastAsia="en-US"/>
        </w:rPr>
      </w:pPr>
      <w:r w:rsidRPr="008D7EB7">
        <w:rPr>
          <w:rFonts w:eastAsiaTheme="minorHAnsi"/>
          <w:lang w:eastAsia="en-US"/>
        </w:rPr>
        <w:t xml:space="preserve">Par ailleurs, l'octroi de provisions pour menues dépenses à des mandataires communaux est </w:t>
      </w:r>
      <w:r w:rsidR="002A704D" w:rsidRPr="008D7EB7">
        <w:rPr>
          <w:rFonts w:eastAsiaTheme="minorHAnsi"/>
          <w:lang w:eastAsia="en-US"/>
        </w:rPr>
        <w:t xml:space="preserve">totalement </w:t>
      </w:r>
      <w:r w:rsidRPr="008D7EB7">
        <w:rPr>
          <w:rFonts w:eastAsiaTheme="minorHAnsi"/>
          <w:lang w:eastAsia="en-US"/>
        </w:rPr>
        <w:t>interdit.</w:t>
      </w:r>
    </w:p>
    <w:p w14:paraId="7447032E" w14:textId="79615B38" w:rsidR="007B15CD" w:rsidRDefault="007B15CD">
      <w:pPr>
        <w:jc w:val="both"/>
        <w:rPr>
          <w:rFonts w:eastAsiaTheme="minorHAnsi"/>
          <w:lang w:eastAsia="en-US"/>
        </w:rPr>
      </w:pPr>
    </w:p>
    <w:p w14:paraId="26F55DD2" w14:textId="77777777" w:rsidR="007B15CD" w:rsidRPr="008D7EB7" w:rsidRDefault="007B15CD">
      <w:pPr>
        <w:jc w:val="both"/>
        <w:rPr>
          <w:rFonts w:eastAsiaTheme="minorHAnsi"/>
          <w:lang w:eastAsia="en-US"/>
        </w:rPr>
      </w:pPr>
    </w:p>
    <w:p w14:paraId="6ACA834E" w14:textId="77777777" w:rsidR="004A2669" w:rsidRPr="001E1353" w:rsidRDefault="004A2669" w:rsidP="001E1353">
      <w:pPr>
        <w:pStyle w:val="Sam2"/>
        <w:rPr>
          <w:lang w:val="fr-FR"/>
        </w:rPr>
      </w:pPr>
      <w:bookmarkStart w:id="1052" w:name="_Toc40185218"/>
      <w:bookmarkStart w:id="1053" w:name="_Toc40185953"/>
      <w:bookmarkStart w:id="1054" w:name="_Toc74557580"/>
      <w:bookmarkEnd w:id="1052"/>
      <w:bookmarkEnd w:id="1053"/>
      <w:r w:rsidRPr="001E1353">
        <w:rPr>
          <w:lang w:val="fr-FR"/>
        </w:rPr>
        <w:lastRenderedPageBreak/>
        <w:t>Tutelle</w:t>
      </w:r>
      <w:bookmarkEnd w:id="1054"/>
    </w:p>
    <w:p w14:paraId="34535D81" w14:textId="78723E9C" w:rsidR="00E62F4C" w:rsidRDefault="004A2669" w:rsidP="00671240">
      <w:pPr>
        <w:jc w:val="both"/>
      </w:pPr>
      <w:r w:rsidRPr="001E1353">
        <w:t xml:space="preserve">Je vous rappelle la circulaire du </w:t>
      </w:r>
      <w:r w:rsidR="00C66B46">
        <w:t>21 janvier 2019</w:t>
      </w:r>
      <w:r w:rsidRPr="001E1353">
        <w:t xml:space="preserve"> qui définit les diverses pièces justificatives obligatoires devant accompagner les différents actes soumis à tutelle (actes autres que budgets et modifications budgétaires, visés spécifiquement ci-avant dans la présente circulaire).</w:t>
      </w:r>
    </w:p>
    <w:p w14:paraId="7D36E9E9" w14:textId="77777777" w:rsidR="004D1C7C" w:rsidRDefault="004A27FA" w:rsidP="00E063FD">
      <w:pPr>
        <w:pStyle w:val="Sam2"/>
      </w:pPr>
      <w:bookmarkStart w:id="1055" w:name="_Toc517337347"/>
      <w:bookmarkStart w:id="1056" w:name="_Toc517360142"/>
      <w:bookmarkStart w:id="1057" w:name="_Toc512606769"/>
      <w:bookmarkStart w:id="1058" w:name="_Toc512606904"/>
      <w:bookmarkStart w:id="1059" w:name="_Toc512607039"/>
      <w:bookmarkStart w:id="1060" w:name="_Toc515355837"/>
      <w:bookmarkStart w:id="1061" w:name="_Toc515355974"/>
      <w:bookmarkStart w:id="1062" w:name="_Toc515360384"/>
      <w:bookmarkStart w:id="1063" w:name="_Toc515974980"/>
      <w:bookmarkStart w:id="1064" w:name="_Toc515978488"/>
      <w:bookmarkStart w:id="1065" w:name="_Toc516058872"/>
      <w:bookmarkStart w:id="1066" w:name="_Toc516059014"/>
      <w:bookmarkStart w:id="1067" w:name="_Toc516227738"/>
      <w:bookmarkStart w:id="1068" w:name="_Toc516229551"/>
      <w:bookmarkStart w:id="1069" w:name="_Toc516229846"/>
      <w:bookmarkStart w:id="1070" w:name="_Toc516230141"/>
      <w:bookmarkStart w:id="1071" w:name="_Toc516230436"/>
      <w:bookmarkStart w:id="1072" w:name="_Toc516230730"/>
      <w:bookmarkStart w:id="1073" w:name="_Toc516231024"/>
      <w:bookmarkStart w:id="1074" w:name="_Toc516231319"/>
      <w:bookmarkStart w:id="1075" w:name="_Toc516231615"/>
      <w:bookmarkStart w:id="1076" w:name="_Toc516242708"/>
      <w:bookmarkStart w:id="1077" w:name="_Toc516243011"/>
      <w:bookmarkStart w:id="1078" w:name="_Toc516244944"/>
      <w:bookmarkStart w:id="1079" w:name="_Toc516473516"/>
      <w:bookmarkStart w:id="1080" w:name="_Toc516473826"/>
      <w:bookmarkStart w:id="1081" w:name="_Toc516474136"/>
      <w:bookmarkStart w:id="1082" w:name="_Toc516474444"/>
      <w:bookmarkStart w:id="1083" w:name="_Toc516474775"/>
      <w:bookmarkStart w:id="1084" w:name="_Toc516478806"/>
      <w:bookmarkStart w:id="1085" w:name="_Toc516479269"/>
      <w:bookmarkStart w:id="1086" w:name="_Toc516479586"/>
      <w:bookmarkStart w:id="1087" w:name="_Toc516479909"/>
      <w:bookmarkStart w:id="1088" w:name="_Toc516480224"/>
      <w:bookmarkStart w:id="1089" w:name="_Toc516480538"/>
      <w:bookmarkStart w:id="1090" w:name="_Toc516480852"/>
      <w:bookmarkStart w:id="1091" w:name="_Toc516481166"/>
      <w:bookmarkStart w:id="1092" w:name="_Toc516481480"/>
      <w:bookmarkStart w:id="1093" w:name="_Toc516481794"/>
      <w:bookmarkStart w:id="1094" w:name="_Toc516482108"/>
      <w:bookmarkStart w:id="1095" w:name="_Toc516482422"/>
      <w:bookmarkStart w:id="1096" w:name="_Toc516739544"/>
      <w:bookmarkStart w:id="1097" w:name="_Toc516751457"/>
      <w:bookmarkStart w:id="1098" w:name="_Toc516825527"/>
      <w:bookmarkStart w:id="1099" w:name="_Toc516826085"/>
      <w:bookmarkStart w:id="1100" w:name="_Toc516837404"/>
      <w:bookmarkStart w:id="1101" w:name="_Toc516837963"/>
      <w:bookmarkStart w:id="1102" w:name="_Toc516838522"/>
      <w:bookmarkStart w:id="1103" w:name="_Toc516839081"/>
      <w:bookmarkStart w:id="1104" w:name="_Toc517173177"/>
      <w:bookmarkStart w:id="1105" w:name="_Toc517174851"/>
      <w:bookmarkStart w:id="1106" w:name="_Toc517175438"/>
      <w:bookmarkStart w:id="1107" w:name="_Toc517176026"/>
      <w:bookmarkStart w:id="1108" w:name="_Toc517337348"/>
      <w:bookmarkStart w:id="1109" w:name="_Toc517360143"/>
      <w:bookmarkStart w:id="1110" w:name="_Toc512606770"/>
      <w:bookmarkStart w:id="1111" w:name="_Toc512606905"/>
      <w:bookmarkStart w:id="1112" w:name="_Toc512607040"/>
      <w:bookmarkStart w:id="1113" w:name="_Toc515355838"/>
      <w:bookmarkStart w:id="1114" w:name="_Toc515355975"/>
      <w:bookmarkStart w:id="1115" w:name="_Toc515360385"/>
      <w:bookmarkStart w:id="1116" w:name="_Toc515974981"/>
      <w:bookmarkStart w:id="1117" w:name="_Toc515978489"/>
      <w:bookmarkStart w:id="1118" w:name="_Toc516058873"/>
      <w:bookmarkStart w:id="1119" w:name="_Toc516059015"/>
      <w:bookmarkStart w:id="1120" w:name="_Toc516227739"/>
      <w:bookmarkStart w:id="1121" w:name="_Toc516229552"/>
      <w:bookmarkStart w:id="1122" w:name="_Toc516229847"/>
      <w:bookmarkStart w:id="1123" w:name="_Toc516230142"/>
      <w:bookmarkStart w:id="1124" w:name="_Toc516230437"/>
      <w:bookmarkStart w:id="1125" w:name="_Toc516230731"/>
      <w:bookmarkStart w:id="1126" w:name="_Toc516231025"/>
      <w:bookmarkStart w:id="1127" w:name="_Toc516231320"/>
      <w:bookmarkStart w:id="1128" w:name="_Toc516231616"/>
      <w:bookmarkStart w:id="1129" w:name="_Toc516242709"/>
      <w:bookmarkStart w:id="1130" w:name="_Toc516243012"/>
      <w:bookmarkStart w:id="1131" w:name="_Toc516244945"/>
      <w:bookmarkStart w:id="1132" w:name="_Toc516473517"/>
      <w:bookmarkStart w:id="1133" w:name="_Toc516473827"/>
      <w:bookmarkStart w:id="1134" w:name="_Toc516474137"/>
      <w:bookmarkStart w:id="1135" w:name="_Toc516474445"/>
      <w:bookmarkStart w:id="1136" w:name="_Toc516474776"/>
      <w:bookmarkStart w:id="1137" w:name="_Toc516478807"/>
      <w:bookmarkStart w:id="1138" w:name="_Toc516479270"/>
      <w:bookmarkStart w:id="1139" w:name="_Toc516479587"/>
      <w:bookmarkStart w:id="1140" w:name="_Toc516479910"/>
      <w:bookmarkStart w:id="1141" w:name="_Toc516480225"/>
      <w:bookmarkStart w:id="1142" w:name="_Toc516480539"/>
      <w:bookmarkStart w:id="1143" w:name="_Toc516480853"/>
      <w:bookmarkStart w:id="1144" w:name="_Toc516481167"/>
      <w:bookmarkStart w:id="1145" w:name="_Toc516481481"/>
      <w:bookmarkStart w:id="1146" w:name="_Toc516481795"/>
      <w:bookmarkStart w:id="1147" w:name="_Toc516482109"/>
      <w:bookmarkStart w:id="1148" w:name="_Toc516482423"/>
      <w:bookmarkStart w:id="1149" w:name="_Toc516739545"/>
      <w:bookmarkStart w:id="1150" w:name="_Toc516751458"/>
      <w:bookmarkStart w:id="1151" w:name="_Toc516825528"/>
      <w:bookmarkStart w:id="1152" w:name="_Toc516826086"/>
      <w:bookmarkStart w:id="1153" w:name="_Toc516837405"/>
      <w:bookmarkStart w:id="1154" w:name="_Toc516837964"/>
      <w:bookmarkStart w:id="1155" w:name="_Toc516838523"/>
      <w:bookmarkStart w:id="1156" w:name="_Toc516839082"/>
      <w:bookmarkStart w:id="1157" w:name="_Toc517173178"/>
      <w:bookmarkStart w:id="1158" w:name="_Toc517174852"/>
      <w:bookmarkStart w:id="1159" w:name="_Toc517175439"/>
      <w:bookmarkStart w:id="1160" w:name="_Toc517176027"/>
      <w:bookmarkStart w:id="1161" w:name="_Toc517337349"/>
      <w:bookmarkStart w:id="1162" w:name="_Toc517360144"/>
      <w:bookmarkStart w:id="1163" w:name="_Toc512606771"/>
      <w:bookmarkStart w:id="1164" w:name="_Toc512606906"/>
      <w:bookmarkStart w:id="1165" w:name="_Toc512607041"/>
      <w:bookmarkStart w:id="1166" w:name="_Toc515355839"/>
      <w:bookmarkStart w:id="1167" w:name="_Toc515355976"/>
      <w:bookmarkStart w:id="1168" w:name="_Toc515360386"/>
      <w:bookmarkStart w:id="1169" w:name="_Toc515974982"/>
      <w:bookmarkStart w:id="1170" w:name="_Toc515978490"/>
      <w:bookmarkStart w:id="1171" w:name="_Toc516058874"/>
      <w:bookmarkStart w:id="1172" w:name="_Toc516059016"/>
      <w:bookmarkStart w:id="1173" w:name="_Toc516227740"/>
      <w:bookmarkStart w:id="1174" w:name="_Toc516229553"/>
      <w:bookmarkStart w:id="1175" w:name="_Toc516229848"/>
      <w:bookmarkStart w:id="1176" w:name="_Toc516230143"/>
      <w:bookmarkStart w:id="1177" w:name="_Toc516230438"/>
      <w:bookmarkStart w:id="1178" w:name="_Toc516230732"/>
      <w:bookmarkStart w:id="1179" w:name="_Toc516231026"/>
      <w:bookmarkStart w:id="1180" w:name="_Toc516231321"/>
      <w:bookmarkStart w:id="1181" w:name="_Toc516231617"/>
      <w:bookmarkStart w:id="1182" w:name="_Toc516242710"/>
      <w:bookmarkStart w:id="1183" w:name="_Toc516243013"/>
      <w:bookmarkStart w:id="1184" w:name="_Toc516244946"/>
      <w:bookmarkStart w:id="1185" w:name="_Toc516473518"/>
      <w:bookmarkStart w:id="1186" w:name="_Toc516473828"/>
      <w:bookmarkStart w:id="1187" w:name="_Toc516474138"/>
      <w:bookmarkStart w:id="1188" w:name="_Toc516474446"/>
      <w:bookmarkStart w:id="1189" w:name="_Toc516474777"/>
      <w:bookmarkStart w:id="1190" w:name="_Toc516478808"/>
      <w:bookmarkStart w:id="1191" w:name="_Toc516479271"/>
      <w:bookmarkStart w:id="1192" w:name="_Toc516479588"/>
      <w:bookmarkStart w:id="1193" w:name="_Toc516479911"/>
      <w:bookmarkStart w:id="1194" w:name="_Toc516480226"/>
      <w:bookmarkStart w:id="1195" w:name="_Toc516480540"/>
      <w:bookmarkStart w:id="1196" w:name="_Toc516480854"/>
      <w:bookmarkStart w:id="1197" w:name="_Toc516481168"/>
      <w:bookmarkStart w:id="1198" w:name="_Toc516481482"/>
      <w:bookmarkStart w:id="1199" w:name="_Toc516481796"/>
      <w:bookmarkStart w:id="1200" w:name="_Toc516482110"/>
      <w:bookmarkStart w:id="1201" w:name="_Toc516482424"/>
      <w:bookmarkStart w:id="1202" w:name="_Toc516739546"/>
      <w:bookmarkStart w:id="1203" w:name="_Toc516751459"/>
      <w:bookmarkStart w:id="1204" w:name="_Toc516825529"/>
      <w:bookmarkStart w:id="1205" w:name="_Toc516826087"/>
      <w:bookmarkStart w:id="1206" w:name="_Toc516837406"/>
      <w:bookmarkStart w:id="1207" w:name="_Toc516837965"/>
      <w:bookmarkStart w:id="1208" w:name="_Toc516838524"/>
      <w:bookmarkStart w:id="1209" w:name="_Toc516839083"/>
      <w:bookmarkStart w:id="1210" w:name="_Toc517173179"/>
      <w:bookmarkStart w:id="1211" w:name="_Toc517174853"/>
      <w:bookmarkStart w:id="1212" w:name="_Toc517175440"/>
      <w:bookmarkStart w:id="1213" w:name="_Toc517176028"/>
      <w:bookmarkStart w:id="1214" w:name="_Toc517337350"/>
      <w:bookmarkStart w:id="1215" w:name="_Toc517360145"/>
      <w:bookmarkStart w:id="1216" w:name="_Toc74557581"/>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t>Avis de légalité du D</w:t>
      </w:r>
      <w:r w:rsidR="004D1C7C">
        <w:t>irecteur financier</w:t>
      </w:r>
      <w:bookmarkEnd w:id="1216"/>
    </w:p>
    <w:p w14:paraId="3EB89DDC" w14:textId="4C41B2E8" w:rsidR="004A2669" w:rsidRDefault="004A2669" w:rsidP="00CA4632">
      <w:pPr>
        <w:jc w:val="both"/>
        <w:rPr>
          <w:rFonts w:eastAsiaTheme="minorHAnsi"/>
          <w:lang w:eastAsia="en-US"/>
        </w:rPr>
      </w:pPr>
      <w:r w:rsidRPr="008D7EB7">
        <w:rPr>
          <w:rFonts w:eastAsiaTheme="minorHAnsi"/>
          <w:lang w:eastAsia="en-US"/>
        </w:rPr>
        <w:t>En ce qui concerne l’avis de légalité du directeur financier, je vous renvoie vers l’article L1124-40 du CDLD et la circulaire explicative du 16 décembre 2013 sur la réforme du statut des titulaires des grades légaux</w:t>
      </w:r>
      <w:r w:rsidR="00745683" w:rsidRPr="008D7EB7">
        <w:rPr>
          <w:rFonts w:eastAsiaTheme="minorHAnsi"/>
          <w:lang w:eastAsia="en-US"/>
        </w:rPr>
        <w:t>.</w:t>
      </w:r>
    </w:p>
    <w:p w14:paraId="0F79547D" w14:textId="77777777" w:rsidR="00CA4632" w:rsidRPr="008D7EB7" w:rsidRDefault="00CA4632">
      <w:pPr>
        <w:jc w:val="both"/>
        <w:rPr>
          <w:rFonts w:eastAsiaTheme="minorHAnsi"/>
          <w:lang w:eastAsia="en-US"/>
        </w:rPr>
      </w:pPr>
    </w:p>
    <w:p w14:paraId="744CCC8C" w14:textId="4C733C75" w:rsidR="00977118" w:rsidRDefault="00977118" w:rsidP="00CA4632">
      <w:pPr>
        <w:jc w:val="both"/>
        <w:rPr>
          <w:rFonts w:eastAsiaTheme="minorHAnsi"/>
          <w:lang w:eastAsia="en-US"/>
        </w:rPr>
      </w:pPr>
      <w:r w:rsidRPr="008D7EB7">
        <w:rPr>
          <w:rFonts w:eastAsiaTheme="minorHAnsi"/>
          <w:lang w:eastAsia="en-US"/>
        </w:rPr>
        <w:t>Le formalisme lié à la réforme des grades légaux</w:t>
      </w:r>
      <w:r w:rsidR="00770751">
        <w:rPr>
          <w:rFonts w:eastAsiaTheme="minorHAnsi"/>
          <w:lang w:eastAsia="en-US"/>
        </w:rPr>
        <w:t xml:space="preserve"> a fait de cette</w:t>
      </w:r>
      <w:r w:rsidR="00046186">
        <w:rPr>
          <w:rFonts w:eastAsiaTheme="minorHAnsi"/>
          <w:lang w:eastAsia="en-US"/>
        </w:rPr>
        <w:t xml:space="preserve"> demande d’avis une formalité prescrite à peine de nullité. C’est pourquoi il est indispensable </w:t>
      </w:r>
      <w:r w:rsidRPr="008D7EB7">
        <w:rPr>
          <w:rFonts w:eastAsiaTheme="minorHAnsi"/>
          <w:lang w:eastAsia="en-US"/>
        </w:rPr>
        <w:t>de mentionner dans la délibération, la communication (ainsi que sa date) du dossier au Directeur financier et l’avis (ainsi que sa date)</w:t>
      </w:r>
      <w:r w:rsidR="00487D14" w:rsidRPr="008D7EB7">
        <w:rPr>
          <w:rFonts w:eastAsiaTheme="minorHAnsi"/>
          <w:lang w:eastAsia="en-US"/>
        </w:rPr>
        <w:t xml:space="preserve"> </w:t>
      </w:r>
      <w:r w:rsidRPr="008D7EB7">
        <w:rPr>
          <w:rFonts w:eastAsiaTheme="minorHAnsi"/>
          <w:lang w:eastAsia="en-US"/>
        </w:rPr>
        <w:t>ou non rendu par celui-ci.</w:t>
      </w:r>
    </w:p>
    <w:p w14:paraId="7E933B55" w14:textId="5E1B7F72" w:rsidR="00046E7D" w:rsidRPr="00DA04E9" w:rsidRDefault="00046E7D" w:rsidP="00A654BE">
      <w:pPr>
        <w:jc w:val="both"/>
        <w:rPr>
          <w:rFonts w:eastAsiaTheme="minorHAnsi"/>
          <w:lang w:eastAsia="en-US"/>
        </w:rPr>
      </w:pPr>
      <w:bookmarkStart w:id="1217" w:name="_Hlk74303849"/>
      <w:r w:rsidRPr="00046E7D">
        <w:rPr>
          <w:rFonts w:eastAsiaTheme="minorHAnsi"/>
          <w:lang w:eastAsia="en-US"/>
        </w:rPr>
        <w:t>Cette communication est obligatoire pour tous les projets ayant un impact financier (quel qu’en soit le montant).</w:t>
      </w:r>
      <w:r w:rsidR="00DA04E9">
        <w:rPr>
          <w:rFonts w:eastAsiaTheme="minorHAnsi"/>
          <w:lang w:eastAsia="en-US"/>
        </w:rPr>
        <w:t xml:space="preserve"> </w:t>
      </w:r>
      <w:r w:rsidR="00DA04E9">
        <w:t xml:space="preserve">La règle est en effet que tout projet ayant un impact financier (quel qu’en soit le montant) doit être communiqué au DF pour requérir son avis de légalité. Ensuite c’est au DF à apprécier. S’il estime que, l’impact étant inférieur à 22.000 euros, il n’est pas obligé de remettre un avis. </w:t>
      </w:r>
      <w:proofErr w:type="gramStart"/>
      <w:r w:rsidR="00DA04E9">
        <w:t>Par contre</w:t>
      </w:r>
      <w:proofErr w:type="gramEnd"/>
      <w:r w:rsidR="00DA04E9">
        <w:t xml:space="preserve">, si l’impact est supérieur à 22.000 euros, il DOIT remettre un avis. </w:t>
      </w:r>
      <w:r w:rsidR="00D266E3">
        <w:t>A défaut, il est passé outre</w:t>
      </w:r>
      <w:r w:rsidR="00DA04E9">
        <w:t>.</w:t>
      </w:r>
    </w:p>
    <w:bookmarkEnd w:id="1217"/>
    <w:p w14:paraId="4F6778E4" w14:textId="77777777" w:rsidR="00CA4632" w:rsidRPr="00DA04E9" w:rsidRDefault="00CA4632" w:rsidP="00DA04E9">
      <w:pPr>
        <w:rPr>
          <w:rFonts w:eastAsiaTheme="minorHAnsi"/>
          <w:lang w:eastAsia="en-US"/>
        </w:rPr>
      </w:pPr>
    </w:p>
    <w:p w14:paraId="34980057" w14:textId="4F959D44" w:rsidR="004A2669" w:rsidRPr="00DA04E9" w:rsidRDefault="004A2669" w:rsidP="00DA04E9">
      <w:pPr>
        <w:rPr>
          <w:rFonts w:eastAsiaTheme="minorHAnsi"/>
          <w:lang w:eastAsia="en-US"/>
        </w:rPr>
      </w:pPr>
      <w:r w:rsidRPr="00DA04E9">
        <w:rPr>
          <w:rFonts w:eastAsiaTheme="minorHAnsi"/>
          <w:lang w:eastAsia="en-US"/>
        </w:rPr>
        <w:t xml:space="preserve">L'avis du </w:t>
      </w:r>
      <w:r w:rsidR="004A27FA" w:rsidRPr="00DA04E9">
        <w:rPr>
          <w:rFonts w:eastAsiaTheme="minorHAnsi"/>
          <w:lang w:eastAsia="en-US"/>
        </w:rPr>
        <w:t>D</w:t>
      </w:r>
      <w:r w:rsidRPr="00DA04E9">
        <w:rPr>
          <w:rFonts w:eastAsiaTheme="minorHAnsi"/>
          <w:lang w:eastAsia="en-US"/>
        </w:rPr>
        <w:t xml:space="preserve">irecteur financier (quand il existe) constitue une pièce justificative obligatoire, qui doit donc accompagner le dossier soumis </w:t>
      </w:r>
      <w:r w:rsidR="00C63D64" w:rsidRPr="00DA04E9">
        <w:rPr>
          <w:rFonts w:eastAsiaTheme="minorHAnsi"/>
          <w:lang w:eastAsia="en-US"/>
        </w:rPr>
        <w:t xml:space="preserve">à </w:t>
      </w:r>
      <w:r w:rsidRPr="00DA04E9">
        <w:rPr>
          <w:rFonts w:eastAsiaTheme="minorHAnsi"/>
          <w:lang w:eastAsia="en-US"/>
        </w:rPr>
        <w:t>tutelle pour qu'il soit complet (à défaut, le délai de tutelle ne court pas)</w:t>
      </w:r>
      <w:r w:rsidR="0092365D" w:rsidRPr="00DA04E9">
        <w:rPr>
          <w:rFonts w:eastAsiaTheme="minorHAnsi"/>
          <w:lang w:eastAsia="en-US"/>
        </w:rPr>
        <w:t>.</w:t>
      </w:r>
    </w:p>
    <w:p w14:paraId="39BF1CC2" w14:textId="77777777" w:rsidR="00CA4632" w:rsidRPr="00DA04E9" w:rsidRDefault="00CA4632" w:rsidP="00DA04E9">
      <w:pPr>
        <w:rPr>
          <w:rFonts w:eastAsiaTheme="minorHAnsi"/>
          <w:lang w:eastAsia="en-US"/>
        </w:rPr>
      </w:pPr>
    </w:p>
    <w:p w14:paraId="38AED0CD" w14:textId="3D2E02FC" w:rsidR="007755D5" w:rsidRDefault="004A2669" w:rsidP="00DA04E9">
      <w:pPr>
        <w:rPr>
          <w:rFonts w:eastAsiaTheme="minorHAnsi"/>
          <w:lang w:eastAsia="en-US"/>
        </w:rPr>
      </w:pPr>
      <w:r w:rsidRPr="00DA04E9">
        <w:rPr>
          <w:rFonts w:eastAsiaTheme="minorHAnsi"/>
          <w:lang w:eastAsia="en-US"/>
        </w:rPr>
        <w:t xml:space="preserve">Cet avis de légalité est différent de l’avis rendu par le </w:t>
      </w:r>
      <w:r w:rsidR="004A27FA" w:rsidRPr="00DA04E9">
        <w:rPr>
          <w:rFonts w:eastAsiaTheme="minorHAnsi"/>
          <w:lang w:eastAsia="en-US"/>
        </w:rPr>
        <w:t>D</w:t>
      </w:r>
      <w:r w:rsidRPr="00DA04E9">
        <w:rPr>
          <w:rFonts w:eastAsiaTheme="minorHAnsi"/>
          <w:lang w:eastAsia="en-US"/>
        </w:rPr>
        <w:t>irecteur financier dans le cadre de la commission prévue à l’article 12 du RGCC.</w:t>
      </w:r>
    </w:p>
    <w:p w14:paraId="41445030" w14:textId="77777777" w:rsidR="00F5243A" w:rsidRDefault="00F5243A" w:rsidP="00DA04E9">
      <w:pPr>
        <w:rPr>
          <w:rFonts w:eastAsiaTheme="minorHAnsi"/>
          <w:lang w:eastAsia="en-US"/>
        </w:rPr>
      </w:pPr>
      <w:bookmarkStart w:id="1218" w:name="_Toc40185221"/>
      <w:bookmarkStart w:id="1219" w:name="_Toc40185956"/>
      <w:bookmarkStart w:id="1220" w:name="_Toc512520188"/>
      <w:bookmarkStart w:id="1221" w:name="_Toc512520319"/>
      <w:bookmarkStart w:id="1222" w:name="_Toc512520451"/>
      <w:bookmarkStart w:id="1223" w:name="_Toc512520582"/>
      <w:bookmarkStart w:id="1224" w:name="_Toc512520713"/>
      <w:bookmarkStart w:id="1225" w:name="_Toc512520844"/>
      <w:bookmarkStart w:id="1226" w:name="_Toc512520975"/>
      <w:bookmarkStart w:id="1227" w:name="_Toc512606773"/>
      <w:bookmarkStart w:id="1228" w:name="_Toc512606908"/>
      <w:bookmarkStart w:id="1229" w:name="_Toc512607043"/>
      <w:bookmarkStart w:id="1230" w:name="_Toc515355841"/>
      <w:bookmarkStart w:id="1231" w:name="_Toc515355978"/>
      <w:bookmarkStart w:id="1232" w:name="_Toc515360388"/>
      <w:bookmarkStart w:id="1233" w:name="_Toc515974984"/>
      <w:bookmarkStart w:id="1234" w:name="_Toc515978492"/>
      <w:bookmarkStart w:id="1235" w:name="_Toc516058876"/>
      <w:bookmarkStart w:id="1236" w:name="_Toc516059018"/>
      <w:bookmarkStart w:id="1237" w:name="_Toc516227742"/>
      <w:bookmarkStart w:id="1238" w:name="_Toc516229555"/>
      <w:bookmarkStart w:id="1239" w:name="_Toc516229850"/>
      <w:bookmarkStart w:id="1240" w:name="_Toc516230145"/>
      <w:bookmarkStart w:id="1241" w:name="_Toc516230440"/>
      <w:bookmarkStart w:id="1242" w:name="_Toc516230734"/>
      <w:bookmarkStart w:id="1243" w:name="_Toc516231028"/>
      <w:bookmarkStart w:id="1244" w:name="_Toc516231323"/>
      <w:bookmarkStart w:id="1245" w:name="_Toc516231619"/>
      <w:bookmarkStart w:id="1246" w:name="_Toc516242712"/>
      <w:bookmarkStart w:id="1247" w:name="_Toc516243015"/>
      <w:bookmarkStart w:id="1248" w:name="_Toc516244948"/>
      <w:bookmarkStart w:id="1249" w:name="_Toc516473520"/>
      <w:bookmarkStart w:id="1250" w:name="_Toc516473830"/>
      <w:bookmarkStart w:id="1251" w:name="_Toc516474140"/>
      <w:bookmarkStart w:id="1252" w:name="_Toc516474448"/>
      <w:bookmarkStart w:id="1253" w:name="_Toc516474779"/>
      <w:bookmarkStart w:id="1254" w:name="_Toc516478810"/>
      <w:bookmarkStart w:id="1255" w:name="_Toc516479273"/>
      <w:bookmarkStart w:id="1256" w:name="_Toc516479590"/>
      <w:bookmarkStart w:id="1257" w:name="_Toc516479913"/>
      <w:bookmarkStart w:id="1258" w:name="_Toc516480228"/>
      <w:bookmarkStart w:id="1259" w:name="_Toc516480542"/>
      <w:bookmarkStart w:id="1260" w:name="_Toc516480856"/>
      <w:bookmarkStart w:id="1261" w:name="_Toc516481170"/>
      <w:bookmarkStart w:id="1262" w:name="_Toc516481484"/>
      <w:bookmarkStart w:id="1263" w:name="_Toc516481798"/>
      <w:bookmarkStart w:id="1264" w:name="_Toc516482112"/>
      <w:bookmarkStart w:id="1265" w:name="_Toc516482426"/>
      <w:bookmarkStart w:id="1266" w:name="_Toc516739548"/>
      <w:bookmarkStart w:id="1267" w:name="_Toc516751461"/>
      <w:bookmarkStart w:id="1268" w:name="_Toc74557582"/>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6EE11256" w14:textId="14C1D6EB" w:rsidR="004A2669" w:rsidRPr="00DA04E9" w:rsidRDefault="004A2669" w:rsidP="00256E9F">
      <w:pPr>
        <w:pStyle w:val="Sam2"/>
        <w:rPr>
          <w:rFonts w:eastAsiaTheme="minorHAnsi"/>
          <w:lang w:eastAsia="en-US"/>
        </w:rPr>
      </w:pPr>
      <w:r w:rsidRPr="00DA04E9">
        <w:rPr>
          <w:rFonts w:eastAsiaTheme="minorHAnsi"/>
          <w:lang w:eastAsia="en-US"/>
        </w:rPr>
        <w:t>Droits restants à recouvrer</w:t>
      </w:r>
      <w:bookmarkEnd w:id="1268"/>
    </w:p>
    <w:p w14:paraId="4B89614E" w14:textId="03478720" w:rsidR="004A2669" w:rsidRDefault="004A2669" w:rsidP="00DA04E9">
      <w:pPr>
        <w:jc w:val="both"/>
      </w:pPr>
      <w:r w:rsidRPr="00DA04E9">
        <w:rPr>
          <w:rFonts w:eastAsiaTheme="minorHAnsi"/>
          <w:lang w:eastAsia="en-US"/>
        </w:rPr>
        <w:t>J’invite les autorités co</w:t>
      </w:r>
      <w:r w:rsidRPr="001E1353">
        <w:t xml:space="preserve">mmunales à veiller à ce que la liste des droits constatés restant à apurer ne contienne pas de créances antérieures </w:t>
      </w:r>
      <w:r w:rsidR="00930462">
        <w:t>à 5 ans</w:t>
      </w:r>
      <w:r w:rsidRPr="001E1353">
        <w:t xml:space="preserve"> sans justification particulière (par exemple, le fait que ces droits anciens résultent de litiges toujours en cours). Il convient d’identifier les droits réellement récupérables et de mettre en œuvre les procédures utiles afin de permettre le recouvrement de ces droits ou à les porter en non-valeurs ou en irrécouvrables conformément à l’article 51 du RGCC. </w:t>
      </w:r>
    </w:p>
    <w:p w14:paraId="6A1783F4" w14:textId="77777777" w:rsidR="00541AFA" w:rsidRPr="001E1353" w:rsidRDefault="00541AFA" w:rsidP="004A2669">
      <w:pPr>
        <w:jc w:val="both"/>
      </w:pPr>
    </w:p>
    <w:p w14:paraId="7066D51C" w14:textId="77777777" w:rsidR="004A2669" w:rsidRPr="001E1353" w:rsidRDefault="006156E2" w:rsidP="001E1353">
      <w:pPr>
        <w:pStyle w:val="Sam2"/>
        <w:rPr>
          <w:lang w:val="fr-FR"/>
        </w:rPr>
      </w:pPr>
      <w:bookmarkStart w:id="1269" w:name="_Toc512520190"/>
      <w:bookmarkStart w:id="1270" w:name="_Toc512520321"/>
      <w:bookmarkStart w:id="1271" w:name="_Toc512520453"/>
      <w:bookmarkStart w:id="1272" w:name="_Toc512520584"/>
      <w:bookmarkStart w:id="1273" w:name="_Toc512520715"/>
      <w:bookmarkStart w:id="1274" w:name="_Toc512520846"/>
      <w:bookmarkStart w:id="1275" w:name="_Toc512520977"/>
      <w:bookmarkStart w:id="1276" w:name="_Toc512606775"/>
      <w:bookmarkStart w:id="1277" w:name="_Toc512606910"/>
      <w:bookmarkStart w:id="1278" w:name="_Toc512607045"/>
      <w:bookmarkStart w:id="1279" w:name="_Toc515355843"/>
      <w:bookmarkStart w:id="1280" w:name="_Toc515355980"/>
      <w:bookmarkStart w:id="1281" w:name="_Toc515360390"/>
      <w:bookmarkStart w:id="1282" w:name="_Toc515974986"/>
      <w:bookmarkStart w:id="1283" w:name="_Toc515978494"/>
      <w:bookmarkStart w:id="1284" w:name="_Toc516058878"/>
      <w:bookmarkStart w:id="1285" w:name="_Toc516059020"/>
      <w:bookmarkStart w:id="1286" w:name="_Toc516227744"/>
      <w:bookmarkStart w:id="1287" w:name="_Toc516229557"/>
      <w:bookmarkStart w:id="1288" w:name="_Toc516229852"/>
      <w:bookmarkStart w:id="1289" w:name="_Toc516230147"/>
      <w:bookmarkStart w:id="1290" w:name="_Toc516230442"/>
      <w:bookmarkStart w:id="1291" w:name="_Toc516230736"/>
      <w:bookmarkStart w:id="1292" w:name="_Toc516231030"/>
      <w:bookmarkStart w:id="1293" w:name="_Toc516231325"/>
      <w:bookmarkStart w:id="1294" w:name="_Toc516231621"/>
      <w:bookmarkStart w:id="1295" w:name="_Toc516242714"/>
      <w:bookmarkStart w:id="1296" w:name="_Toc516243017"/>
      <w:bookmarkStart w:id="1297" w:name="_Toc516244950"/>
      <w:bookmarkStart w:id="1298" w:name="_Toc516473522"/>
      <w:bookmarkStart w:id="1299" w:name="_Toc516473832"/>
      <w:bookmarkStart w:id="1300" w:name="_Toc516474142"/>
      <w:bookmarkStart w:id="1301" w:name="_Toc516474450"/>
      <w:bookmarkStart w:id="1302" w:name="_Toc516474781"/>
      <w:bookmarkStart w:id="1303" w:name="_Toc516478812"/>
      <w:bookmarkStart w:id="1304" w:name="_Toc516479275"/>
      <w:bookmarkStart w:id="1305" w:name="_Toc516479592"/>
      <w:bookmarkStart w:id="1306" w:name="_Toc516479915"/>
      <w:bookmarkStart w:id="1307" w:name="_Toc516480230"/>
      <w:bookmarkStart w:id="1308" w:name="_Toc516480544"/>
      <w:bookmarkStart w:id="1309" w:name="_Toc516480858"/>
      <w:bookmarkStart w:id="1310" w:name="_Toc516481172"/>
      <w:bookmarkStart w:id="1311" w:name="_Toc516481486"/>
      <w:bookmarkStart w:id="1312" w:name="_Toc516481800"/>
      <w:bookmarkStart w:id="1313" w:name="_Toc516482114"/>
      <w:bookmarkStart w:id="1314" w:name="_Toc516482428"/>
      <w:bookmarkStart w:id="1315" w:name="_Toc516739550"/>
      <w:bookmarkStart w:id="1316" w:name="_Toc516751463"/>
      <w:bookmarkStart w:id="1317" w:name="_Toc516825532"/>
      <w:bookmarkStart w:id="1318" w:name="_Toc516826090"/>
      <w:bookmarkStart w:id="1319" w:name="_Toc516837409"/>
      <w:bookmarkStart w:id="1320" w:name="_Toc516837968"/>
      <w:bookmarkStart w:id="1321" w:name="_Toc516838527"/>
      <w:bookmarkStart w:id="1322" w:name="_Toc516839086"/>
      <w:bookmarkStart w:id="1323" w:name="_Toc517173182"/>
      <w:bookmarkStart w:id="1324" w:name="_Toc517174856"/>
      <w:bookmarkStart w:id="1325" w:name="_Toc517175443"/>
      <w:bookmarkStart w:id="1326" w:name="_Toc517176031"/>
      <w:bookmarkStart w:id="1327" w:name="_Toc517337353"/>
      <w:bookmarkStart w:id="1328" w:name="_Toc517360148"/>
      <w:bookmarkStart w:id="1329" w:name="_Toc74557583"/>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r>
        <w:rPr>
          <w:lang w:val="fr-FR"/>
        </w:rPr>
        <w:t>E</w:t>
      </w:r>
      <w:r w:rsidR="004A2669" w:rsidRPr="001E1353">
        <w:rPr>
          <w:lang w:val="fr-FR"/>
        </w:rPr>
        <w:t>ncaisse du Directeur financier</w:t>
      </w:r>
      <w:bookmarkEnd w:id="1329"/>
    </w:p>
    <w:p w14:paraId="340A82F7" w14:textId="77777777" w:rsidR="004A2669" w:rsidRDefault="004A2669" w:rsidP="004A2669">
      <w:pPr>
        <w:jc w:val="both"/>
      </w:pPr>
      <w:r w:rsidRPr="001E1353">
        <w:t xml:space="preserve">J’insiste sur le respect scrupuleux des circulaires du 14 juin 2016 relatives aux finances communales et au contrôle interne, adressées respectivement aux communes et aux Gouverneurs. </w:t>
      </w:r>
    </w:p>
    <w:p w14:paraId="124F17DF" w14:textId="77777777" w:rsidR="00930462" w:rsidRPr="001E1353" w:rsidRDefault="00930462" w:rsidP="004A2669">
      <w:pPr>
        <w:jc w:val="both"/>
      </w:pPr>
    </w:p>
    <w:p w14:paraId="435C8012" w14:textId="29C245B9" w:rsidR="0053006F" w:rsidRDefault="004A2669" w:rsidP="004A2669">
      <w:pPr>
        <w:jc w:val="both"/>
      </w:pPr>
      <w:r w:rsidRPr="001E1353">
        <w:lastRenderedPageBreak/>
        <w:t xml:space="preserve">Selon l’article L1124-42 du </w:t>
      </w:r>
      <w:r w:rsidR="00E45812" w:rsidRPr="00ED2CF5">
        <w:t>CDLD</w:t>
      </w:r>
      <w:r w:rsidRPr="001E1353">
        <w:t xml:space="preserve">, le Collège communal vérifie l’encaisse au moins une fois par trimestre. Cette vérification doit être actée dans une situation de caisse. </w:t>
      </w:r>
      <w:r w:rsidR="00464EE4">
        <w:t xml:space="preserve">Les </w:t>
      </w:r>
      <w:r w:rsidR="00E45812" w:rsidRPr="00ED2CF5">
        <w:t>procès-verbaux</w:t>
      </w:r>
      <w:r w:rsidR="00464EE4">
        <w:t xml:space="preserve"> de cette vérification sont des pièc</w:t>
      </w:r>
      <w:r w:rsidR="005B5904">
        <w:t>es justificatives obligatoires pour l</w:t>
      </w:r>
      <w:r w:rsidR="00464EE4">
        <w:t>es comptes communaux.</w:t>
      </w:r>
    </w:p>
    <w:p w14:paraId="5299D11F" w14:textId="353906E8" w:rsidR="003567C4" w:rsidRDefault="00F92A45" w:rsidP="004A2669">
      <w:pPr>
        <w:jc w:val="both"/>
      </w:pPr>
      <w:r>
        <w:t>Il s’agit d’un délai maximum</w:t>
      </w:r>
      <w:r w:rsidR="005C0C29">
        <w:t xml:space="preserve">. </w:t>
      </w:r>
      <w:r w:rsidR="003567C4">
        <w:t>Il n’est bien entendu pas interdit de procéder à cette vérification selon un rythme plus fréquent.</w:t>
      </w:r>
    </w:p>
    <w:p w14:paraId="2422914F" w14:textId="77777777" w:rsidR="006843B9" w:rsidRDefault="006843B9" w:rsidP="004A2669">
      <w:pPr>
        <w:jc w:val="both"/>
      </w:pPr>
    </w:p>
    <w:p w14:paraId="4EAA0256" w14:textId="77777777" w:rsidR="00C10E4F" w:rsidRDefault="0053006F" w:rsidP="00671240">
      <w:pPr>
        <w:pStyle w:val="Sam2"/>
      </w:pPr>
      <w:bookmarkStart w:id="1330" w:name="_Toc74557584"/>
      <w:r>
        <w:t>Budget participatif</w:t>
      </w:r>
      <w:bookmarkEnd w:id="1330"/>
    </w:p>
    <w:p w14:paraId="03D2DC4E" w14:textId="77777777" w:rsidR="006C7CA8" w:rsidRDefault="00B9217F" w:rsidP="006C7CA8">
      <w:pPr>
        <w:jc w:val="both"/>
        <w:rPr>
          <w:rFonts w:eastAsiaTheme="minorHAnsi"/>
          <w:lang w:eastAsia="en-US"/>
        </w:rPr>
      </w:pPr>
      <w:r>
        <w:t>Le</w:t>
      </w:r>
      <w:r w:rsidRPr="00B9217F">
        <w:t xml:space="preserve"> Conseil communal </w:t>
      </w:r>
      <w:r>
        <w:t>peut décider</w:t>
      </w:r>
      <w:r w:rsidRPr="00B9217F">
        <w:t xml:space="preserve"> d’affecter une partie de son budget, appelée « budget </w:t>
      </w:r>
      <w:r w:rsidRPr="008D7EB7">
        <w:rPr>
          <w:rFonts w:eastAsiaTheme="minorHAnsi"/>
          <w:lang w:eastAsia="en-US"/>
        </w:rPr>
        <w:t xml:space="preserve">participatif », à la réalisation de projets émanant de comités de quartier ou d’associations citoyennes dotées de la personnalité juridique en application de l’article L1321-3 du CDLD. </w:t>
      </w:r>
      <w:r w:rsidR="00FE3B60" w:rsidRPr="008D7EB7">
        <w:rPr>
          <w:rFonts w:eastAsiaTheme="minorHAnsi"/>
          <w:lang w:eastAsia="en-US"/>
        </w:rPr>
        <w:t>Cette décision n’est pas soumise à la tutelle spéciale d’approbation.</w:t>
      </w:r>
    </w:p>
    <w:p w14:paraId="6B28883D" w14:textId="7F87479A" w:rsidR="00FE3B60" w:rsidRPr="008D7EB7" w:rsidRDefault="00FE3B60">
      <w:pPr>
        <w:jc w:val="both"/>
        <w:rPr>
          <w:rFonts w:eastAsiaTheme="minorHAnsi"/>
          <w:lang w:eastAsia="en-US"/>
        </w:rPr>
      </w:pPr>
      <w:r w:rsidRPr="008D7EB7">
        <w:rPr>
          <w:rFonts w:eastAsiaTheme="minorHAnsi"/>
          <w:lang w:eastAsia="en-US"/>
        </w:rPr>
        <w:t xml:space="preserve"> </w:t>
      </w:r>
    </w:p>
    <w:p w14:paraId="20959551" w14:textId="6C021773" w:rsidR="00FE3B60" w:rsidRDefault="00FE3B60" w:rsidP="006C7CA8">
      <w:pPr>
        <w:jc w:val="both"/>
        <w:rPr>
          <w:rFonts w:eastAsiaTheme="minorHAnsi"/>
          <w:lang w:eastAsia="en-US"/>
        </w:rPr>
      </w:pPr>
      <w:r w:rsidRPr="008D7EB7">
        <w:rPr>
          <w:rFonts w:eastAsiaTheme="minorHAnsi"/>
          <w:lang w:eastAsia="en-US"/>
        </w:rPr>
        <w:t xml:space="preserve">En pratique, si le </w:t>
      </w:r>
      <w:r w:rsidR="00386116" w:rsidRPr="008D7EB7">
        <w:rPr>
          <w:rFonts w:eastAsiaTheme="minorHAnsi"/>
          <w:lang w:eastAsia="en-US"/>
        </w:rPr>
        <w:t>C</w:t>
      </w:r>
      <w:r w:rsidRPr="008D7EB7">
        <w:rPr>
          <w:rFonts w:eastAsiaTheme="minorHAnsi"/>
          <w:lang w:eastAsia="en-US"/>
        </w:rPr>
        <w:t>onseil communal souhaite affecter un budget participatif à un tel projet, il devra</w:t>
      </w:r>
      <w:r w:rsidR="006C7CA8">
        <w:rPr>
          <w:rFonts w:eastAsiaTheme="minorHAnsi"/>
          <w:lang w:eastAsia="en-US"/>
        </w:rPr>
        <w:t>it</w:t>
      </w:r>
      <w:r w:rsidRPr="008D7EB7">
        <w:rPr>
          <w:rFonts w:eastAsiaTheme="minorHAnsi"/>
          <w:lang w:eastAsia="en-US"/>
        </w:rPr>
        <w:t xml:space="preserve"> mettre sur pied une procédure, telle qu’un appel à projets ainsi que des modalités de sélection des projets retenus, notamment la constitution d’un jury. Si ledit jury devait être composé de représentants du Collège communal, il devra</w:t>
      </w:r>
      <w:r w:rsidR="006C7CA8">
        <w:rPr>
          <w:rFonts w:eastAsiaTheme="minorHAnsi"/>
          <w:lang w:eastAsia="en-US"/>
        </w:rPr>
        <w:t>it</w:t>
      </w:r>
      <w:r w:rsidRPr="008D7EB7">
        <w:rPr>
          <w:rFonts w:eastAsiaTheme="minorHAnsi"/>
          <w:lang w:eastAsia="en-US"/>
        </w:rPr>
        <w:t xml:space="preserve"> également être ouvert à l’opposition. Tout comité de quartier ou association citoyenne dotée de la personnalité</w:t>
      </w:r>
      <w:r w:rsidR="00804EAE" w:rsidRPr="008D7EB7">
        <w:rPr>
          <w:rFonts w:eastAsiaTheme="minorHAnsi"/>
          <w:lang w:eastAsia="en-US"/>
        </w:rPr>
        <w:t xml:space="preserve"> </w:t>
      </w:r>
      <w:r w:rsidRPr="008D7EB7">
        <w:rPr>
          <w:rFonts w:eastAsiaTheme="minorHAnsi"/>
          <w:lang w:eastAsia="en-US"/>
        </w:rPr>
        <w:t xml:space="preserve">juridique pourra alors soumettre un projet ayant un intérêt pour la commune. Le jury, qui pourra se réunir avant ou après le vote du budget selon ce qui sera décidé par le conseil communal, sélectionnera un ou plusieurs projets qu’il jugera intéressant pour la commune et proposera au </w:t>
      </w:r>
      <w:r w:rsidR="00386116" w:rsidRPr="008D7EB7">
        <w:rPr>
          <w:rFonts w:eastAsiaTheme="minorHAnsi"/>
          <w:lang w:eastAsia="en-US"/>
        </w:rPr>
        <w:t>C</w:t>
      </w:r>
      <w:r w:rsidRPr="008D7EB7">
        <w:rPr>
          <w:rFonts w:eastAsiaTheme="minorHAnsi"/>
          <w:lang w:eastAsia="en-US"/>
        </w:rPr>
        <w:t xml:space="preserve">onseil communal de leur affecter le budget participatif préalablement voté ou à voter. Le </w:t>
      </w:r>
      <w:r w:rsidR="00386116" w:rsidRPr="008D7EB7">
        <w:rPr>
          <w:rFonts w:eastAsiaTheme="minorHAnsi"/>
          <w:lang w:eastAsia="en-US"/>
        </w:rPr>
        <w:t>C</w:t>
      </w:r>
      <w:r w:rsidRPr="008D7EB7">
        <w:rPr>
          <w:rFonts w:eastAsiaTheme="minorHAnsi"/>
          <w:lang w:eastAsia="en-US"/>
        </w:rPr>
        <w:t>onseil affectera alors le budget participatif voté ou qu’il votera à tout ou partie de ces projets, dans la proportion qu’il déterminera. À titre d’exemple, cette disposition permettra, entre autres, à un comité de quartier d’obtenir qu’un budget soit affecté à la restauration d’un élément du patrimoine ou à l’aménagement d’un espace vert dans le quartier.</w:t>
      </w:r>
    </w:p>
    <w:p w14:paraId="620DF7BC" w14:textId="77777777" w:rsidR="006C7CA8" w:rsidRPr="008D7EB7" w:rsidRDefault="006C7CA8">
      <w:pPr>
        <w:jc w:val="both"/>
        <w:rPr>
          <w:rFonts w:eastAsiaTheme="minorHAnsi"/>
          <w:lang w:eastAsia="en-US"/>
        </w:rPr>
      </w:pPr>
    </w:p>
    <w:p w14:paraId="6D02512B" w14:textId="62350165" w:rsidR="00361A55" w:rsidRDefault="00FE3B60" w:rsidP="00361A55">
      <w:pPr>
        <w:jc w:val="both"/>
      </w:pPr>
      <w:r w:rsidRPr="008D7EB7">
        <w:rPr>
          <w:rFonts w:eastAsiaTheme="minorHAnsi"/>
          <w:lang w:eastAsia="en-US"/>
        </w:rPr>
        <w:t xml:space="preserve">Des statistiques en la matière étant régulièrement demandées, </w:t>
      </w:r>
      <w:r w:rsidRPr="00541AFA">
        <w:rPr>
          <w:rFonts w:eastAsiaTheme="minorHAnsi"/>
          <w:lang w:eastAsia="en-US"/>
        </w:rPr>
        <w:t>j</w:t>
      </w:r>
      <w:r w:rsidR="00054311" w:rsidRPr="00541AFA">
        <w:rPr>
          <w:rFonts w:eastAsiaTheme="minorHAnsi"/>
          <w:lang w:eastAsia="en-US"/>
        </w:rPr>
        <w:t xml:space="preserve">’insiste pour que vous </w:t>
      </w:r>
      <w:r w:rsidR="00361A55">
        <w:t>identifiez vos budgets participatifs au niveau du code fonctionnel FFF27.</w:t>
      </w:r>
    </w:p>
    <w:p w14:paraId="26837AF3" w14:textId="1D108E67" w:rsidR="00A67D96" w:rsidRDefault="00A67D96" w:rsidP="00361A55">
      <w:pPr>
        <w:jc w:val="both"/>
      </w:pPr>
    </w:p>
    <w:p w14:paraId="1F33BBE5" w14:textId="2BEE4F54" w:rsidR="00A67D96" w:rsidRPr="00256E9F" w:rsidRDefault="00A67D96" w:rsidP="00361A55">
      <w:pPr>
        <w:jc w:val="both"/>
        <w:rPr>
          <w:rFonts w:eastAsiaTheme="minorHAnsi"/>
          <w:b/>
          <w:bCs/>
          <w:lang w:eastAsia="en-US"/>
        </w:rPr>
      </w:pPr>
      <w:r w:rsidRPr="00256E9F">
        <w:rPr>
          <w:b/>
          <w:bCs/>
        </w:rPr>
        <w:t>Une analyse du dispositif étant en cours, une information spécifique vous sera communiquée le cas échéant.</w:t>
      </w:r>
    </w:p>
    <w:p w14:paraId="2B349626" w14:textId="77777777" w:rsidR="00361A55" w:rsidRDefault="00361A55" w:rsidP="00900C39">
      <w:pPr>
        <w:jc w:val="both"/>
        <w:rPr>
          <w:rFonts w:eastAsiaTheme="minorHAnsi"/>
          <w:lang w:eastAsia="en-US"/>
        </w:rPr>
      </w:pPr>
    </w:p>
    <w:p w14:paraId="0D48E956" w14:textId="274A8034" w:rsidR="000B0A63" w:rsidRPr="00ED2CF5" w:rsidRDefault="000B0A63" w:rsidP="00256E9F">
      <w:pPr>
        <w:pStyle w:val="Sam2"/>
        <w:spacing w:before="120"/>
      </w:pPr>
      <w:bookmarkStart w:id="1331" w:name="_Toc40185225"/>
      <w:bookmarkStart w:id="1332" w:name="_Toc40185960"/>
      <w:bookmarkStart w:id="1333" w:name="_Toc40185226"/>
      <w:bookmarkStart w:id="1334" w:name="_Toc40185961"/>
      <w:bookmarkStart w:id="1335" w:name="_Toc74557585"/>
      <w:bookmarkEnd w:id="1331"/>
      <w:bookmarkEnd w:id="1332"/>
      <w:bookmarkEnd w:id="1333"/>
      <w:bookmarkEnd w:id="1334"/>
      <w:r w:rsidRPr="00ED2CF5">
        <w:t>Prévisions budgétaires pluriannuelles</w:t>
      </w:r>
      <w:bookmarkEnd w:id="1335"/>
    </w:p>
    <w:p w14:paraId="412C4E3A" w14:textId="46E4E003" w:rsidR="000B0A63" w:rsidRDefault="000B0A63" w:rsidP="006C7CA8">
      <w:pPr>
        <w:jc w:val="both"/>
        <w:rPr>
          <w:rFonts w:eastAsiaTheme="minorHAnsi"/>
          <w:lang w:eastAsia="en-US"/>
        </w:rPr>
      </w:pPr>
      <w:r w:rsidRPr="008D7EB7">
        <w:rPr>
          <w:rFonts w:eastAsiaTheme="minorHAnsi"/>
          <w:lang w:eastAsia="en-US"/>
        </w:rPr>
        <w:t xml:space="preserve">L’article L1312-3 du CDLD ainsi que l’Arrêté du Gouvernement wallon du 11 octobre 2018 relatif aux prévisions budgétaires pluriannuelles des communes et des provinces wallonnes (MB 29.10.2018) prévoient une transmission des dites prévisions via un fichier </w:t>
      </w:r>
      <w:r w:rsidR="003D2B5E" w:rsidRPr="008D7EB7">
        <w:rPr>
          <w:rFonts w:eastAsiaTheme="minorHAnsi"/>
          <w:lang w:eastAsia="en-US"/>
        </w:rPr>
        <w:t xml:space="preserve">XML </w:t>
      </w:r>
      <w:r w:rsidRPr="008D7EB7">
        <w:rPr>
          <w:rFonts w:eastAsiaTheme="minorHAnsi"/>
          <w:lang w:eastAsia="en-US"/>
        </w:rPr>
        <w:t xml:space="preserve">(disponible dans </w:t>
      </w:r>
      <w:proofErr w:type="spellStart"/>
      <w:r w:rsidRPr="008D7EB7">
        <w:rPr>
          <w:rFonts w:eastAsiaTheme="minorHAnsi"/>
          <w:lang w:eastAsia="en-US"/>
        </w:rPr>
        <w:t>eComptes</w:t>
      </w:r>
      <w:proofErr w:type="spellEnd"/>
      <w:r w:rsidRPr="008D7EB7">
        <w:rPr>
          <w:rFonts w:eastAsiaTheme="minorHAnsi"/>
          <w:lang w:eastAsia="en-US"/>
        </w:rPr>
        <w:t>) à l’Administration régionale au moment où le budget initial ou une modification budgétaire sont transmis à la tutelle régionale.</w:t>
      </w:r>
    </w:p>
    <w:p w14:paraId="5572ABE1" w14:textId="77777777" w:rsidR="006C7CA8" w:rsidRPr="008D7EB7" w:rsidRDefault="006C7CA8">
      <w:pPr>
        <w:jc w:val="both"/>
        <w:rPr>
          <w:rFonts w:eastAsiaTheme="minorHAnsi"/>
          <w:lang w:eastAsia="en-US"/>
        </w:rPr>
      </w:pPr>
    </w:p>
    <w:p w14:paraId="35DE7356" w14:textId="65E3F54E" w:rsidR="000B0A63" w:rsidRDefault="000B0A63">
      <w:pPr>
        <w:jc w:val="both"/>
        <w:rPr>
          <w:rFonts w:eastAsiaTheme="minorHAnsi"/>
          <w:lang w:eastAsia="en-US"/>
        </w:rPr>
      </w:pPr>
      <w:r w:rsidRPr="008D7EB7">
        <w:rPr>
          <w:rFonts w:eastAsiaTheme="minorHAnsi"/>
          <w:lang w:eastAsia="en-US"/>
        </w:rPr>
        <w:t xml:space="preserve">Les prévisions budgétaires qui sont à communiquer doivent tenir compte des options stratégiques développées dans votre PST et doivent tenir compte des politiques que vous souhaitez mettre en œuvre durant la mandature 2019-2024. Il ne s’agit donc pas de réaliser </w:t>
      </w:r>
      <w:r w:rsidRPr="008D7EB7">
        <w:rPr>
          <w:rFonts w:eastAsiaTheme="minorHAnsi"/>
          <w:lang w:eastAsia="en-US"/>
        </w:rPr>
        <w:lastRenderedPageBreak/>
        <w:t>des prévisions budgétaires pluriannuelles à politique inchangée comme cela vous a été demandé précédemment.</w:t>
      </w:r>
    </w:p>
    <w:p w14:paraId="75468E3E" w14:textId="2ECBE9B8" w:rsidR="008B5FD3" w:rsidRDefault="008B5FD3">
      <w:pPr>
        <w:jc w:val="both"/>
        <w:rPr>
          <w:rFonts w:eastAsiaTheme="minorHAnsi"/>
          <w:lang w:eastAsia="en-US"/>
        </w:rPr>
      </w:pPr>
    </w:p>
    <w:p w14:paraId="5FD201CC" w14:textId="17AA2B26" w:rsidR="008B5FD3" w:rsidRDefault="008B5FD3">
      <w:pPr>
        <w:jc w:val="both"/>
        <w:rPr>
          <w:rFonts w:eastAsiaTheme="minorHAnsi"/>
          <w:lang w:eastAsia="en-US"/>
        </w:rPr>
      </w:pPr>
      <w:r>
        <w:rPr>
          <w:rFonts w:eastAsiaTheme="minorHAnsi"/>
          <w:lang w:eastAsia="en-US"/>
        </w:rPr>
        <w:t>Ces prévisions devront par ailleurs tenir compte des impacts de la crise du Covid-19</w:t>
      </w:r>
      <w:r w:rsidR="0077467A">
        <w:rPr>
          <w:rFonts w:eastAsiaTheme="minorHAnsi"/>
          <w:lang w:eastAsia="en-US"/>
        </w:rPr>
        <w:t>, des inondations et de l’accueil des émigrés ukrainiens</w:t>
      </w:r>
      <w:r w:rsidR="00263864">
        <w:rPr>
          <w:rFonts w:eastAsiaTheme="minorHAnsi"/>
          <w:lang w:eastAsia="en-US"/>
        </w:rPr>
        <w:t>, en ce compris les subventions et autres interventions,</w:t>
      </w:r>
      <w:r>
        <w:rPr>
          <w:rFonts w:eastAsiaTheme="minorHAnsi"/>
          <w:lang w:eastAsia="en-US"/>
        </w:rPr>
        <w:t xml:space="preserve"> sur vos finances et des politiques que vous envisagez de mettre en œuvre pour sortir de la crise et dans un éventuel plan de relance que vous souhaiteriez mettre en place</w:t>
      </w:r>
      <w:r w:rsidR="004240E1">
        <w:rPr>
          <w:rFonts w:eastAsiaTheme="minorHAnsi"/>
          <w:lang w:eastAsia="en-US"/>
        </w:rPr>
        <w:t xml:space="preserve"> pour soutenir le pouvoir d’achat des citoyens et relancer l’économie.</w:t>
      </w:r>
    </w:p>
    <w:p w14:paraId="49A62970" w14:textId="77777777" w:rsidR="00ED2CF5" w:rsidRPr="00256E9F" w:rsidRDefault="00ED2CF5" w:rsidP="000B0A63">
      <w:pPr>
        <w:jc w:val="both"/>
        <w:rPr>
          <w:sz w:val="10"/>
          <w:szCs w:val="10"/>
        </w:rPr>
      </w:pPr>
    </w:p>
    <w:p w14:paraId="19A7E410" w14:textId="01B24C6B" w:rsidR="000B0A63" w:rsidRPr="00ED2CF5" w:rsidRDefault="00CB7ADD" w:rsidP="00256E9F">
      <w:pPr>
        <w:pStyle w:val="Sam3"/>
      </w:pPr>
      <w:bookmarkStart w:id="1336" w:name="_Toc40185963"/>
      <w:bookmarkStart w:id="1337" w:name="_Toc74557586"/>
      <w:r>
        <w:t>II.21.1</w:t>
      </w:r>
      <w:bookmarkEnd w:id="1336"/>
      <w:r>
        <w:t xml:space="preserve"> </w:t>
      </w:r>
      <w:r w:rsidR="000B0A63" w:rsidRPr="00ED2CF5">
        <w:t>Indicateurs socio-économiques pouvant être pris en compte</w:t>
      </w:r>
      <w:bookmarkEnd w:id="1337"/>
    </w:p>
    <w:p w14:paraId="58E4EC3D" w14:textId="04DCADE2" w:rsidR="000B0A63" w:rsidRDefault="000B0A63" w:rsidP="000B0A63">
      <w:pPr>
        <w:jc w:val="both"/>
      </w:pPr>
      <w:r w:rsidRPr="00ED2CF5">
        <w:t>Les dépenses et les recettes ordinaires pouvant varier selon des paramètres socio-économiques comme le taux d’inflation, l’indice santé ou encore le taux de croissance du PIB, je vous recommande de consulter les actualisations que le Bureau fédéral du Plan publie chaque mois à ce sujet sur son site : www.plan.be. Au moment de rédiger la présente, les projections suivantes sont établies</w:t>
      </w:r>
      <w:r w:rsidR="00C41C3E">
        <w:t xml:space="preserve"> comme suit au 3 juin 2022</w:t>
      </w:r>
      <w:r w:rsidRPr="00ED2CF5">
        <w:t xml:space="preserve"> : </w:t>
      </w:r>
    </w:p>
    <w:p w14:paraId="110F4F60" w14:textId="1364C48F" w:rsidR="00C41C3E" w:rsidRDefault="00C41C3E" w:rsidP="000B0A63">
      <w:pPr>
        <w:jc w:val="both"/>
      </w:pPr>
    </w:p>
    <w:tbl>
      <w:tblPr>
        <w:tblStyle w:val="Grilledutableau"/>
        <w:tblW w:w="0" w:type="auto"/>
        <w:jc w:val="center"/>
        <w:tblLook w:val="04A0" w:firstRow="1" w:lastRow="0" w:firstColumn="1" w:lastColumn="0" w:noHBand="0" w:noVBand="1"/>
      </w:tblPr>
      <w:tblGrid>
        <w:gridCol w:w="1244"/>
        <w:gridCol w:w="1599"/>
        <w:gridCol w:w="1414"/>
        <w:gridCol w:w="1414"/>
      </w:tblGrid>
      <w:tr w:rsidR="00C41C3E" w14:paraId="3627222A"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66C09402" w14:textId="77777777" w:rsidR="00C41C3E" w:rsidRDefault="00C41C3E">
            <w:pPr>
              <w:jc w:val="center"/>
              <w:rPr>
                <w:rFonts w:cs="Arial"/>
                <w:b/>
                <w:sz w:val="20"/>
                <w:szCs w:val="20"/>
                <w:lang w:val="fr-BE"/>
              </w:rPr>
            </w:pPr>
            <w:r>
              <w:rPr>
                <w:rFonts w:cs="Arial"/>
                <w:b/>
                <w:sz w:val="20"/>
                <w:szCs w:val="20"/>
                <w:lang w:val="fr-BE"/>
              </w:rPr>
              <w:t>Exercice</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4FAEE2B" w14:textId="77777777" w:rsidR="00C41C3E" w:rsidRDefault="00C41C3E">
            <w:pPr>
              <w:jc w:val="center"/>
              <w:rPr>
                <w:rFonts w:cs="Arial"/>
                <w:b/>
                <w:sz w:val="20"/>
                <w:szCs w:val="20"/>
                <w:lang w:val="fr-BE"/>
              </w:rPr>
            </w:pPr>
            <w:r>
              <w:rPr>
                <w:rFonts w:cs="Arial"/>
                <w:b/>
                <w:sz w:val="20"/>
                <w:szCs w:val="20"/>
                <w:lang w:val="fr-BE"/>
              </w:rPr>
              <w:t>Taux de croissance du PIB</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98F8824" w14:textId="77777777" w:rsidR="00C41C3E" w:rsidRDefault="00C41C3E">
            <w:pPr>
              <w:jc w:val="center"/>
              <w:rPr>
                <w:rFonts w:cs="Arial"/>
                <w:b/>
                <w:sz w:val="20"/>
                <w:szCs w:val="20"/>
                <w:lang w:val="fr-BE"/>
              </w:rPr>
            </w:pPr>
            <w:r>
              <w:rPr>
                <w:rFonts w:cs="Arial"/>
                <w:b/>
                <w:sz w:val="20"/>
                <w:szCs w:val="20"/>
                <w:lang w:val="fr-BE"/>
              </w:rPr>
              <w:t>Taux d’inflation</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266A07A" w14:textId="77777777" w:rsidR="00C41C3E" w:rsidRDefault="00C41C3E">
            <w:pPr>
              <w:jc w:val="center"/>
              <w:rPr>
                <w:rFonts w:cs="Arial"/>
                <w:b/>
                <w:sz w:val="20"/>
                <w:szCs w:val="20"/>
                <w:lang w:val="fr-BE"/>
              </w:rPr>
            </w:pPr>
            <w:r>
              <w:rPr>
                <w:rFonts w:cs="Arial"/>
                <w:b/>
                <w:sz w:val="20"/>
                <w:szCs w:val="20"/>
                <w:lang w:val="fr-BE"/>
              </w:rPr>
              <w:t>Indice santé</w:t>
            </w:r>
          </w:p>
        </w:tc>
      </w:tr>
      <w:tr w:rsidR="00C41C3E" w14:paraId="671AE629"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165687CB" w14:textId="77777777" w:rsidR="00C41C3E" w:rsidRDefault="00C41C3E">
            <w:pPr>
              <w:jc w:val="center"/>
              <w:rPr>
                <w:rFonts w:cs="Arial"/>
                <w:b/>
                <w:sz w:val="20"/>
                <w:szCs w:val="20"/>
                <w:lang w:val="fr-BE"/>
              </w:rPr>
            </w:pPr>
            <w:r>
              <w:rPr>
                <w:rFonts w:cs="Arial"/>
                <w:b/>
                <w:sz w:val="20"/>
                <w:szCs w:val="20"/>
                <w:lang w:val="fr-BE"/>
              </w:rPr>
              <w:t>2020</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0A43BC2" w14:textId="77777777" w:rsidR="00C41C3E" w:rsidRDefault="00C41C3E">
            <w:pPr>
              <w:jc w:val="center"/>
              <w:rPr>
                <w:rFonts w:cs="Arial"/>
                <w:sz w:val="20"/>
                <w:szCs w:val="20"/>
                <w:lang w:val="fr-BE"/>
              </w:rPr>
            </w:pPr>
            <w:r>
              <w:rPr>
                <w:rFonts w:cs="Arial"/>
                <w:sz w:val="20"/>
                <w:szCs w:val="20"/>
                <w:lang w:val="fr-BE"/>
              </w:rPr>
              <w:t>-5.7%</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795401F" w14:textId="77777777" w:rsidR="00C41C3E" w:rsidRDefault="00C41C3E">
            <w:pPr>
              <w:jc w:val="center"/>
              <w:rPr>
                <w:rFonts w:cs="Arial"/>
                <w:sz w:val="20"/>
                <w:szCs w:val="20"/>
                <w:lang w:val="fr-BE"/>
              </w:rPr>
            </w:pPr>
            <w:r>
              <w:rPr>
                <w:rFonts w:cs="Arial"/>
                <w:sz w:val="20"/>
                <w:szCs w:val="20"/>
                <w:lang w:val="fr-BE"/>
              </w:rPr>
              <w:t>0.7%</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3C9930C" w14:textId="77777777" w:rsidR="00C41C3E" w:rsidRDefault="00C41C3E">
            <w:pPr>
              <w:jc w:val="center"/>
              <w:rPr>
                <w:rFonts w:cs="Arial"/>
                <w:sz w:val="20"/>
                <w:szCs w:val="20"/>
                <w:lang w:val="fr-BE"/>
              </w:rPr>
            </w:pPr>
            <w:r>
              <w:rPr>
                <w:rFonts w:cs="Arial"/>
                <w:sz w:val="20"/>
                <w:szCs w:val="20"/>
                <w:lang w:val="fr-BE"/>
              </w:rPr>
              <w:t>1.0%</w:t>
            </w:r>
          </w:p>
        </w:tc>
      </w:tr>
      <w:tr w:rsidR="00C41C3E" w14:paraId="42A476F7"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0DFC9295" w14:textId="77777777" w:rsidR="00C41C3E" w:rsidRDefault="00C41C3E">
            <w:pPr>
              <w:jc w:val="center"/>
              <w:rPr>
                <w:rFonts w:cs="Arial"/>
                <w:b/>
                <w:sz w:val="20"/>
                <w:szCs w:val="20"/>
                <w:lang w:val="fr-BE"/>
              </w:rPr>
            </w:pPr>
            <w:r>
              <w:rPr>
                <w:rFonts w:cs="Arial"/>
                <w:b/>
                <w:sz w:val="20"/>
                <w:szCs w:val="20"/>
                <w:lang w:val="fr-BE"/>
              </w:rPr>
              <w:t>2021</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D900FE2" w14:textId="482D30CF" w:rsidR="00C41C3E" w:rsidRDefault="00C41C3E">
            <w:pPr>
              <w:jc w:val="center"/>
              <w:rPr>
                <w:rFonts w:cs="Arial"/>
                <w:sz w:val="20"/>
                <w:szCs w:val="20"/>
                <w:lang w:val="fr-BE"/>
              </w:rPr>
            </w:pPr>
            <w:r>
              <w:rPr>
                <w:rFonts w:cs="Arial"/>
                <w:sz w:val="20"/>
                <w:szCs w:val="20"/>
                <w:lang w:val="fr-BE"/>
              </w:rPr>
              <w:t>+6.</w:t>
            </w:r>
            <w:r w:rsidR="001D599E">
              <w:rPr>
                <w:rFonts w:cs="Arial"/>
                <w:sz w:val="20"/>
                <w:szCs w:val="20"/>
                <w:lang w:val="fr-BE"/>
              </w:rPr>
              <w:t>2</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ABE1BF5" w14:textId="77777777" w:rsidR="00C41C3E" w:rsidRDefault="00C41C3E">
            <w:pPr>
              <w:jc w:val="center"/>
              <w:rPr>
                <w:rFonts w:cs="Arial"/>
                <w:sz w:val="20"/>
                <w:szCs w:val="20"/>
                <w:lang w:val="fr-BE"/>
              </w:rPr>
            </w:pPr>
            <w:r>
              <w:rPr>
                <w:rFonts w:cs="Arial"/>
                <w:sz w:val="20"/>
                <w:szCs w:val="20"/>
                <w:lang w:val="fr-BE"/>
              </w:rPr>
              <w:t>2.4%</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A434B17" w14:textId="77777777" w:rsidR="00C41C3E" w:rsidRDefault="00C41C3E">
            <w:pPr>
              <w:jc w:val="center"/>
              <w:rPr>
                <w:rFonts w:cs="Arial"/>
                <w:sz w:val="20"/>
                <w:szCs w:val="20"/>
                <w:lang w:val="fr-BE"/>
              </w:rPr>
            </w:pPr>
            <w:r>
              <w:rPr>
                <w:rFonts w:cs="Arial"/>
                <w:sz w:val="20"/>
                <w:szCs w:val="20"/>
                <w:lang w:val="fr-BE"/>
              </w:rPr>
              <w:t>2.0%</w:t>
            </w:r>
          </w:p>
        </w:tc>
      </w:tr>
      <w:tr w:rsidR="00C41C3E" w14:paraId="580AF98E"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A74B1C1" w14:textId="77777777" w:rsidR="00C41C3E" w:rsidRDefault="00C41C3E">
            <w:pPr>
              <w:jc w:val="center"/>
              <w:rPr>
                <w:rFonts w:cs="Arial"/>
                <w:b/>
                <w:sz w:val="20"/>
                <w:szCs w:val="20"/>
                <w:lang w:val="fr-BE"/>
              </w:rPr>
            </w:pPr>
            <w:r>
              <w:rPr>
                <w:rFonts w:cs="Arial"/>
                <w:b/>
                <w:sz w:val="20"/>
                <w:szCs w:val="20"/>
                <w:lang w:val="fr-BE"/>
              </w:rPr>
              <w:t>2022</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9D412A7" w14:textId="4456EAFF" w:rsidR="00C41C3E" w:rsidRDefault="00C41C3E">
            <w:pPr>
              <w:jc w:val="center"/>
              <w:rPr>
                <w:rFonts w:cs="Arial"/>
                <w:sz w:val="20"/>
                <w:szCs w:val="20"/>
                <w:lang w:val="fr-BE"/>
              </w:rPr>
            </w:pPr>
            <w:r>
              <w:rPr>
                <w:rFonts w:cs="Arial"/>
                <w:sz w:val="20"/>
                <w:szCs w:val="20"/>
                <w:lang w:val="fr-BE"/>
              </w:rPr>
              <w:t>+</w:t>
            </w:r>
            <w:r w:rsidR="001D599E">
              <w:rPr>
                <w:rFonts w:cs="Arial"/>
                <w:sz w:val="20"/>
                <w:szCs w:val="20"/>
                <w:lang w:val="fr-BE"/>
              </w:rPr>
              <w:t>2</w:t>
            </w:r>
            <w:r>
              <w:rPr>
                <w:rFonts w:cs="Arial"/>
                <w:sz w:val="20"/>
                <w:szCs w:val="20"/>
                <w:lang w:val="fr-BE"/>
              </w:rPr>
              <w:t>.</w:t>
            </w:r>
            <w:r w:rsidR="001D599E">
              <w:rPr>
                <w:rFonts w:cs="Arial"/>
                <w:sz w:val="20"/>
                <w:szCs w:val="20"/>
                <w:lang w:val="fr-BE"/>
              </w:rPr>
              <w:t>6</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7DC6CD4" w14:textId="7CB20578" w:rsidR="00C41C3E" w:rsidRDefault="00C41C3E">
            <w:pPr>
              <w:jc w:val="center"/>
              <w:rPr>
                <w:rFonts w:cs="Arial"/>
                <w:sz w:val="20"/>
                <w:szCs w:val="20"/>
                <w:lang w:val="fr-BE"/>
              </w:rPr>
            </w:pPr>
            <w:r>
              <w:rPr>
                <w:rFonts w:cs="Arial"/>
                <w:sz w:val="20"/>
                <w:szCs w:val="20"/>
                <w:lang w:val="fr-BE"/>
              </w:rPr>
              <w:t>8.</w:t>
            </w:r>
            <w:r w:rsidR="001D599E">
              <w:rPr>
                <w:rFonts w:cs="Arial"/>
                <w:sz w:val="20"/>
                <w:szCs w:val="20"/>
                <w:lang w:val="fr-BE"/>
              </w:rPr>
              <w:t>5</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E47EAE3" w14:textId="77777777" w:rsidR="00C41C3E" w:rsidRDefault="00C41C3E">
            <w:pPr>
              <w:jc w:val="center"/>
              <w:rPr>
                <w:rFonts w:cs="Arial"/>
                <w:sz w:val="20"/>
                <w:szCs w:val="20"/>
                <w:lang w:val="fr-BE"/>
              </w:rPr>
            </w:pPr>
            <w:r>
              <w:rPr>
                <w:rFonts w:cs="Arial"/>
                <w:sz w:val="20"/>
                <w:szCs w:val="20"/>
                <w:lang w:val="fr-BE"/>
              </w:rPr>
              <w:t>7.6%</w:t>
            </w:r>
          </w:p>
        </w:tc>
      </w:tr>
      <w:tr w:rsidR="00C41C3E" w14:paraId="6DC8F8AF"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814966D" w14:textId="77777777" w:rsidR="00C41C3E" w:rsidRDefault="00C41C3E">
            <w:pPr>
              <w:jc w:val="center"/>
              <w:rPr>
                <w:rFonts w:cs="Arial"/>
                <w:b/>
                <w:sz w:val="20"/>
                <w:szCs w:val="20"/>
                <w:lang w:val="fr-BE"/>
              </w:rPr>
            </w:pPr>
            <w:r>
              <w:rPr>
                <w:rFonts w:cs="Arial"/>
                <w:b/>
                <w:sz w:val="20"/>
                <w:szCs w:val="20"/>
                <w:lang w:val="fr-BE"/>
              </w:rPr>
              <w:t>2023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8DBA546" w14:textId="1D0ED7EA"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3</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D602174" w14:textId="016398A4" w:rsidR="00C41C3E" w:rsidRDefault="001D599E">
            <w:pPr>
              <w:jc w:val="center"/>
              <w:rPr>
                <w:rFonts w:cs="Arial"/>
                <w:sz w:val="20"/>
                <w:szCs w:val="20"/>
                <w:lang w:val="fr-BE"/>
              </w:rPr>
            </w:pPr>
            <w:r>
              <w:rPr>
                <w:rFonts w:cs="Arial"/>
                <w:sz w:val="20"/>
                <w:szCs w:val="20"/>
                <w:lang w:val="fr-BE"/>
              </w:rPr>
              <w:t>4</w:t>
            </w:r>
            <w:r w:rsidR="00C41C3E">
              <w:rPr>
                <w:rFonts w:cs="Arial"/>
                <w:sz w:val="20"/>
                <w:szCs w:val="20"/>
                <w:lang w:val="fr-BE"/>
              </w:rPr>
              <w:t>.</w:t>
            </w:r>
            <w:r>
              <w:rPr>
                <w:rFonts w:cs="Arial"/>
                <w:sz w:val="20"/>
                <w:szCs w:val="20"/>
                <w:lang w:val="fr-BE"/>
              </w:rPr>
              <w:t>4</w:t>
            </w:r>
            <w:r w:rsidR="00C41C3E">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BF053BB" w14:textId="77777777" w:rsidR="00C41C3E" w:rsidRDefault="00C41C3E">
            <w:pPr>
              <w:jc w:val="center"/>
              <w:rPr>
                <w:rFonts w:cs="Arial"/>
                <w:sz w:val="20"/>
                <w:szCs w:val="20"/>
                <w:lang w:val="fr-BE"/>
              </w:rPr>
            </w:pPr>
            <w:r>
              <w:rPr>
                <w:rFonts w:cs="Arial"/>
                <w:sz w:val="20"/>
                <w:szCs w:val="20"/>
                <w:lang w:val="fr-BE"/>
              </w:rPr>
              <w:t>3.6%</w:t>
            </w:r>
          </w:p>
        </w:tc>
      </w:tr>
      <w:tr w:rsidR="00C41C3E" w14:paraId="5D842061"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51F943EA" w14:textId="77777777" w:rsidR="00C41C3E" w:rsidRDefault="00C41C3E">
            <w:pPr>
              <w:jc w:val="center"/>
              <w:rPr>
                <w:rFonts w:cs="Arial"/>
                <w:b/>
                <w:sz w:val="20"/>
                <w:szCs w:val="20"/>
                <w:lang w:val="fr-BE"/>
              </w:rPr>
            </w:pPr>
            <w:r>
              <w:rPr>
                <w:rFonts w:cs="Arial"/>
                <w:b/>
                <w:sz w:val="20"/>
                <w:szCs w:val="20"/>
                <w:lang w:val="fr-BE"/>
              </w:rPr>
              <w:t>2024</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2AF490A" w14:textId="040D18FA"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6</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991E716" w14:textId="2CCD0EF8"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8</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D5B2AC1" w14:textId="67274568"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8</w:t>
            </w:r>
            <w:r>
              <w:rPr>
                <w:rFonts w:cs="Arial"/>
                <w:sz w:val="20"/>
                <w:szCs w:val="20"/>
                <w:lang w:val="fr-BE"/>
              </w:rPr>
              <w:t>%</w:t>
            </w:r>
          </w:p>
        </w:tc>
      </w:tr>
      <w:tr w:rsidR="00C41C3E" w14:paraId="7B208CE9"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0DB033A" w14:textId="77777777" w:rsidR="00C41C3E" w:rsidRDefault="00C41C3E">
            <w:pPr>
              <w:jc w:val="center"/>
              <w:rPr>
                <w:rFonts w:cs="Arial"/>
                <w:b/>
                <w:sz w:val="20"/>
                <w:szCs w:val="20"/>
                <w:lang w:val="fr-BE"/>
              </w:rPr>
            </w:pPr>
            <w:r>
              <w:rPr>
                <w:rFonts w:cs="Arial"/>
                <w:b/>
                <w:sz w:val="20"/>
                <w:szCs w:val="20"/>
                <w:lang w:val="fr-BE"/>
              </w:rPr>
              <w:t>2025</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D17A7AD" w14:textId="246E3D4A"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2</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F888F5B" w14:textId="7C96B37A"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7</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4F08B65" w14:textId="3ACA4376"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7</w:t>
            </w:r>
            <w:r>
              <w:rPr>
                <w:rFonts w:cs="Arial"/>
                <w:sz w:val="20"/>
                <w:szCs w:val="20"/>
                <w:lang w:val="fr-BE"/>
              </w:rPr>
              <w:t>%</w:t>
            </w:r>
          </w:p>
        </w:tc>
      </w:tr>
      <w:tr w:rsidR="00C41C3E" w14:paraId="56DB749C"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2ACAC413" w14:textId="77777777" w:rsidR="00C41C3E" w:rsidRDefault="00C41C3E">
            <w:pPr>
              <w:jc w:val="center"/>
              <w:rPr>
                <w:rFonts w:cs="Arial"/>
                <w:b/>
                <w:sz w:val="20"/>
                <w:szCs w:val="20"/>
                <w:lang w:val="fr-BE"/>
              </w:rPr>
            </w:pPr>
            <w:r>
              <w:rPr>
                <w:rFonts w:cs="Arial"/>
                <w:b/>
                <w:sz w:val="20"/>
                <w:szCs w:val="20"/>
                <w:lang w:val="fr-BE"/>
              </w:rPr>
              <w:t>2026</w:t>
            </w:r>
          </w:p>
        </w:tc>
        <w:tc>
          <w:tcPr>
            <w:tcW w:w="1599" w:type="dxa"/>
            <w:tcBorders>
              <w:top w:val="single" w:sz="4" w:space="0" w:color="auto"/>
              <w:left w:val="single" w:sz="4" w:space="0" w:color="auto"/>
              <w:bottom w:val="single" w:sz="4" w:space="0" w:color="auto"/>
              <w:right w:val="single" w:sz="4" w:space="0" w:color="auto"/>
            </w:tcBorders>
            <w:vAlign w:val="center"/>
            <w:hideMark/>
          </w:tcPr>
          <w:p w14:paraId="3FD0E970" w14:textId="77777777" w:rsidR="00C41C3E" w:rsidRDefault="00C41C3E">
            <w:pPr>
              <w:jc w:val="center"/>
              <w:rPr>
                <w:rFonts w:cs="Arial"/>
                <w:sz w:val="20"/>
                <w:szCs w:val="20"/>
                <w:lang w:val="fr-BE"/>
              </w:rPr>
            </w:pPr>
            <w:r>
              <w:rPr>
                <w:rFonts w:cs="Arial"/>
                <w:sz w:val="20"/>
                <w:szCs w:val="20"/>
                <w:lang w:val="fr-BE"/>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C98540A" w14:textId="77777777" w:rsidR="00C41C3E" w:rsidRDefault="00C41C3E">
            <w:pPr>
              <w:jc w:val="center"/>
              <w:rPr>
                <w:rFonts w:cs="Arial"/>
                <w:sz w:val="20"/>
                <w:szCs w:val="20"/>
                <w:lang w:val="fr-BE"/>
              </w:rPr>
            </w:pPr>
            <w:r>
              <w:rPr>
                <w:rFonts w:cs="Arial"/>
                <w:sz w:val="20"/>
                <w:szCs w:val="20"/>
                <w:lang w:val="fr-BE"/>
              </w:rPr>
              <w:t>1.6%</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ADCE21F" w14:textId="77777777" w:rsidR="00C41C3E" w:rsidRDefault="00C41C3E">
            <w:pPr>
              <w:jc w:val="center"/>
              <w:rPr>
                <w:rFonts w:cs="Arial"/>
                <w:sz w:val="20"/>
                <w:szCs w:val="20"/>
                <w:lang w:val="fr-BE"/>
              </w:rPr>
            </w:pPr>
            <w:r>
              <w:rPr>
                <w:rFonts w:cs="Arial"/>
                <w:sz w:val="20"/>
                <w:szCs w:val="20"/>
                <w:lang w:val="fr-BE"/>
              </w:rPr>
              <w:t>1.6%</w:t>
            </w:r>
          </w:p>
        </w:tc>
      </w:tr>
      <w:tr w:rsidR="00C41C3E" w14:paraId="7A3A82A3"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C156B19" w14:textId="77777777" w:rsidR="00C41C3E" w:rsidRDefault="00C41C3E">
            <w:pPr>
              <w:jc w:val="center"/>
              <w:rPr>
                <w:rFonts w:cs="Arial"/>
                <w:b/>
                <w:sz w:val="20"/>
                <w:szCs w:val="20"/>
                <w:lang w:val="fr-BE"/>
              </w:rPr>
            </w:pPr>
            <w:r>
              <w:rPr>
                <w:rFonts w:cs="Arial"/>
                <w:b/>
                <w:sz w:val="20"/>
                <w:szCs w:val="20"/>
                <w:lang w:val="fr-BE"/>
              </w:rPr>
              <w:t>2027</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CBA838A" w14:textId="748A2D62" w:rsidR="00C41C3E" w:rsidRDefault="00C41C3E">
            <w:pPr>
              <w:jc w:val="center"/>
              <w:rPr>
                <w:rFonts w:cs="Arial"/>
                <w:sz w:val="20"/>
                <w:szCs w:val="20"/>
                <w:lang w:val="fr-BE"/>
              </w:rPr>
            </w:pPr>
            <w:r>
              <w:rPr>
                <w:rFonts w:cs="Arial"/>
                <w:sz w:val="20"/>
                <w:szCs w:val="20"/>
                <w:lang w:val="fr-BE"/>
              </w:rPr>
              <w:t>+1.</w:t>
            </w:r>
            <w:r w:rsidR="001D599E">
              <w:rPr>
                <w:rFonts w:cs="Arial"/>
                <w:sz w:val="20"/>
                <w:szCs w:val="20"/>
                <w:lang w:val="fr-BE"/>
              </w:rPr>
              <w:t>4</w:t>
            </w:r>
            <w:r>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A54F65D" w14:textId="77777777" w:rsidR="00C41C3E" w:rsidRDefault="00C41C3E">
            <w:pPr>
              <w:jc w:val="center"/>
              <w:rPr>
                <w:rFonts w:cs="Arial"/>
                <w:sz w:val="20"/>
                <w:szCs w:val="20"/>
                <w:lang w:val="fr-BE"/>
              </w:rPr>
            </w:pPr>
            <w:r>
              <w:rPr>
                <w:rFonts w:cs="Arial"/>
                <w:sz w:val="20"/>
                <w:szCs w:val="20"/>
                <w:lang w:val="fr-BE"/>
              </w:rPr>
              <w:t>1.6%</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87C0E39" w14:textId="77777777" w:rsidR="00C41C3E" w:rsidRDefault="00C41C3E">
            <w:pPr>
              <w:jc w:val="center"/>
              <w:rPr>
                <w:rFonts w:cs="Arial"/>
                <w:sz w:val="20"/>
                <w:szCs w:val="20"/>
                <w:lang w:val="fr-BE"/>
              </w:rPr>
            </w:pPr>
            <w:r>
              <w:rPr>
                <w:rFonts w:cs="Arial"/>
                <w:sz w:val="20"/>
                <w:szCs w:val="20"/>
                <w:lang w:val="fr-BE"/>
              </w:rPr>
              <w:t>1.6%</w:t>
            </w:r>
          </w:p>
        </w:tc>
      </w:tr>
    </w:tbl>
    <w:p w14:paraId="1BD55BA6" w14:textId="77777777" w:rsidR="00C41C3E" w:rsidRPr="00ED2CF5" w:rsidRDefault="00C41C3E" w:rsidP="000B0A63">
      <w:pPr>
        <w:jc w:val="both"/>
      </w:pPr>
    </w:p>
    <w:p w14:paraId="09159F15" w14:textId="601B8DF2" w:rsidR="003E5247" w:rsidRDefault="000B0A63" w:rsidP="008D7EB7">
      <w:pPr>
        <w:jc w:val="both"/>
        <w:rPr>
          <w:rFonts w:eastAsiaTheme="minorHAnsi" w:cs="Calibri"/>
          <w:color w:val="000000"/>
          <w:lang w:eastAsia="en-US"/>
        </w:rPr>
      </w:pPr>
      <w:r w:rsidRPr="008D7EB7">
        <w:rPr>
          <w:rFonts w:eastAsiaTheme="minorHAnsi" w:cs="Calibri"/>
          <w:color w:val="000000"/>
          <w:lang w:eastAsia="en-US"/>
        </w:rPr>
        <w:t xml:space="preserve">Par ailleurs, compte tenu de l’évolution de l’indice santé, je vous invite également à </w:t>
      </w:r>
      <w:r w:rsidR="000811F7">
        <w:rPr>
          <w:rFonts w:eastAsiaTheme="minorHAnsi" w:cs="Calibri"/>
          <w:color w:val="000000"/>
          <w:lang w:eastAsia="en-US"/>
        </w:rPr>
        <w:t>en tenir</w:t>
      </w:r>
      <w:r w:rsidRPr="008D7EB7">
        <w:rPr>
          <w:rFonts w:eastAsiaTheme="minorHAnsi" w:cs="Calibri"/>
          <w:color w:val="000000"/>
          <w:lang w:eastAsia="en-US"/>
        </w:rPr>
        <w:t xml:space="preserve"> compte dans le calcul de vos prévisions budgétaires, et plus particulièrement celles liées aux allocations sociales et aux dépenses de personnel</w:t>
      </w:r>
      <w:r w:rsidR="003E5247" w:rsidRPr="008D7EB7">
        <w:rPr>
          <w:rFonts w:eastAsiaTheme="minorHAnsi" w:cs="Calibri"/>
          <w:color w:val="000000"/>
          <w:lang w:eastAsia="en-US"/>
        </w:rPr>
        <w:t>.</w:t>
      </w:r>
      <w:r w:rsidR="009C5603">
        <w:rPr>
          <w:rFonts w:eastAsiaTheme="minorHAnsi" w:cs="Calibri"/>
          <w:color w:val="000000"/>
          <w:lang w:eastAsia="en-US"/>
        </w:rPr>
        <w:t xml:space="preserve"> Le Bureau fédéral du plan actualise tous les mois les prévisions du taux d’inflation et de l’éventuelle indexation des allocations sociales et des traitements, je vous recommande dès lors d’être attentif à l’évolution de ces prévisions.</w:t>
      </w:r>
    </w:p>
    <w:p w14:paraId="3A423F46" w14:textId="77777777" w:rsidR="006C7CA8" w:rsidRPr="008D7EB7" w:rsidRDefault="006C7CA8">
      <w:pPr>
        <w:jc w:val="both"/>
        <w:rPr>
          <w:rFonts w:eastAsiaTheme="minorHAnsi" w:cs="Calibri"/>
          <w:color w:val="000000"/>
          <w:lang w:eastAsia="en-US"/>
        </w:rPr>
      </w:pPr>
    </w:p>
    <w:p w14:paraId="3695B240" w14:textId="4ED1948A" w:rsidR="000B0A63" w:rsidRPr="008D7EB7" w:rsidRDefault="003E5247">
      <w:pPr>
        <w:jc w:val="both"/>
        <w:rPr>
          <w:rFonts w:eastAsiaTheme="minorHAnsi" w:cs="Calibri"/>
          <w:color w:val="000000"/>
          <w:lang w:eastAsia="en-US"/>
        </w:rPr>
      </w:pPr>
      <w:r w:rsidRPr="008D7EB7">
        <w:rPr>
          <w:rFonts w:eastAsiaTheme="minorHAnsi" w:cs="Calibri"/>
          <w:color w:val="000000"/>
          <w:lang w:eastAsia="en-US"/>
        </w:rPr>
        <w:t>Compte tenu de la situation exceptionnelle rencontrée</w:t>
      </w:r>
      <w:r w:rsidR="000B0A63" w:rsidRPr="008D7EB7">
        <w:rPr>
          <w:rFonts w:eastAsiaTheme="minorHAnsi" w:cs="Calibri"/>
          <w:color w:val="000000"/>
          <w:lang w:eastAsia="en-US"/>
        </w:rPr>
        <w:t xml:space="preserve">, </w:t>
      </w:r>
      <w:r w:rsidRPr="008D7EB7">
        <w:rPr>
          <w:rFonts w:eastAsiaTheme="minorHAnsi" w:cs="Calibri"/>
          <w:color w:val="000000"/>
          <w:lang w:eastAsia="en-US"/>
        </w:rPr>
        <w:t xml:space="preserve">il est actuellement difficile de déterminer </w:t>
      </w:r>
      <w:r w:rsidR="000B0A63" w:rsidRPr="008D7EB7">
        <w:rPr>
          <w:rFonts w:eastAsiaTheme="minorHAnsi" w:cs="Calibri"/>
          <w:color w:val="000000"/>
          <w:lang w:eastAsia="en-US"/>
        </w:rPr>
        <w:t>le prochain dépassement de l’indice pivot</w:t>
      </w:r>
      <w:r w:rsidR="009C5603">
        <w:rPr>
          <w:rFonts w:eastAsiaTheme="minorHAnsi" w:cs="Calibri"/>
          <w:color w:val="000000"/>
          <w:lang w:eastAsia="en-US"/>
        </w:rPr>
        <w:t xml:space="preserve">. </w:t>
      </w:r>
    </w:p>
    <w:p w14:paraId="08244637" w14:textId="17415CE3" w:rsidR="00ED2CF5" w:rsidRDefault="00ED2CF5" w:rsidP="00ED2CF5">
      <w:pPr>
        <w:jc w:val="both"/>
      </w:pPr>
    </w:p>
    <w:tbl>
      <w:tblPr>
        <w:tblStyle w:val="Grilledutableau"/>
        <w:tblW w:w="0" w:type="auto"/>
        <w:jc w:val="center"/>
        <w:tblLook w:val="04A0" w:firstRow="1" w:lastRow="0" w:firstColumn="1" w:lastColumn="0" w:noHBand="0" w:noVBand="1"/>
      </w:tblPr>
      <w:tblGrid>
        <w:gridCol w:w="2245"/>
        <w:gridCol w:w="2551"/>
        <w:gridCol w:w="1843"/>
      </w:tblGrid>
      <w:tr w:rsidR="000B0A63" w:rsidRPr="000B0A63" w14:paraId="38B4DAD0" w14:textId="77777777" w:rsidTr="00C90985">
        <w:trPr>
          <w:jc w:val="center"/>
        </w:trPr>
        <w:tc>
          <w:tcPr>
            <w:tcW w:w="2245" w:type="dxa"/>
            <w:vAlign w:val="center"/>
          </w:tcPr>
          <w:p w14:paraId="27E420DC" w14:textId="77777777" w:rsidR="000B0A63" w:rsidRPr="00ED2CF5" w:rsidRDefault="000B0A63" w:rsidP="00C90985">
            <w:pPr>
              <w:jc w:val="center"/>
              <w:rPr>
                <w:rFonts w:cs="Arial"/>
                <w:b/>
                <w:sz w:val="20"/>
                <w:szCs w:val="20"/>
              </w:rPr>
            </w:pPr>
            <w:r w:rsidRPr="00ED2CF5">
              <w:rPr>
                <w:rFonts w:cs="Arial"/>
                <w:b/>
                <w:sz w:val="20"/>
                <w:szCs w:val="20"/>
              </w:rPr>
              <w:t>Dépassement indice pivot</w:t>
            </w:r>
          </w:p>
        </w:tc>
        <w:tc>
          <w:tcPr>
            <w:tcW w:w="2551" w:type="dxa"/>
            <w:vAlign w:val="center"/>
          </w:tcPr>
          <w:p w14:paraId="75CD6911" w14:textId="77777777" w:rsidR="000B0A63" w:rsidRPr="00ED2CF5" w:rsidRDefault="000B0A63" w:rsidP="00C90985">
            <w:pPr>
              <w:jc w:val="center"/>
              <w:rPr>
                <w:rFonts w:cs="Arial"/>
                <w:b/>
                <w:sz w:val="20"/>
                <w:szCs w:val="20"/>
              </w:rPr>
            </w:pPr>
            <w:r w:rsidRPr="00ED2CF5">
              <w:rPr>
                <w:rFonts w:cs="Arial"/>
                <w:b/>
                <w:sz w:val="20"/>
                <w:szCs w:val="20"/>
              </w:rPr>
              <w:t>Indexation allocations sociales</w:t>
            </w:r>
          </w:p>
        </w:tc>
        <w:tc>
          <w:tcPr>
            <w:tcW w:w="1843" w:type="dxa"/>
            <w:vAlign w:val="center"/>
          </w:tcPr>
          <w:p w14:paraId="6444A683" w14:textId="77777777" w:rsidR="000B0A63" w:rsidRPr="00ED2CF5" w:rsidRDefault="000B0A63" w:rsidP="00C90985">
            <w:pPr>
              <w:jc w:val="center"/>
              <w:rPr>
                <w:rFonts w:cs="Arial"/>
                <w:b/>
                <w:sz w:val="20"/>
                <w:szCs w:val="20"/>
              </w:rPr>
            </w:pPr>
            <w:r w:rsidRPr="00ED2CF5">
              <w:rPr>
                <w:rFonts w:cs="Arial"/>
                <w:b/>
                <w:sz w:val="20"/>
                <w:szCs w:val="20"/>
              </w:rPr>
              <w:t>Indexation traitements</w:t>
            </w:r>
          </w:p>
        </w:tc>
      </w:tr>
      <w:tr w:rsidR="000B0A63" w:rsidRPr="000B0A63" w14:paraId="5F7B311C" w14:textId="77777777" w:rsidTr="00C90985">
        <w:trPr>
          <w:jc w:val="center"/>
        </w:trPr>
        <w:tc>
          <w:tcPr>
            <w:tcW w:w="2245" w:type="dxa"/>
            <w:vAlign w:val="center"/>
          </w:tcPr>
          <w:p w14:paraId="0D3B34A2" w14:textId="32D25AF6" w:rsidR="000B0A63" w:rsidRPr="00ED2CF5" w:rsidRDefault="009C5603" w:rsidP="00B225DE">
            <w:pPr>
              <w:jc w:val="center"/>
              <w:rPr>
                <w:rFonts w:cs="Arial"/>
                <w:sz w:val="20"/>
                <w:szCs w:val="20"/>
              </w:rPr>
            </w:pPr>
            <w:r>
              <w:rPr>
                <w:rFonts w:cs="Arial"/>
                <w:sz w:val="20"/>
                <w:szCs w:val="20"/>
              </w:rPr>
              <w:t>Août 2021</w:t>
            </w:r>
          </w:p>
        </w:tc>
        <w:tc>
          <w:tcPr>
            <w:tcW w:w="2551" w:type="dxa"/>
            <w:vAlign w:val="center"/>
          </w:tcPr>
          <w:p w14:paraId="335EE0E0" w14:textId="5B16D41D" w:rsidR="000B0A63" w:rsidRPr="00ED2CF5" w:rsidRDefault="009C5603" w:rsidP="00B225DE">
            <w:pPr>
              <w:jc w:val="center"/>
              <w:rPr>
                <w:rFonts w:cs="Arial"/>
                <w:sz w:val="20"/>
                <w:szCs w:val="20"/>
              </w:rPr>
            </w:pPr>
            <w:r>
              <w:rPr>
                <w:rFonts w:cs="Arial"/>
                <w:sz w:val="20"/>
                <w:szCs w:val="20"/>
              </w:rPr>
              <w:t>Septembre 2021</w:t>
            </w:r>
          </w:p>
        </w:tc>
        <w:tc>
          <w:tcPr>
            <w:tcW w:w="1843" w:type="dxa"/>
            <w:vAlign w:val="center"/>
          </w:tcPr>
          <w:p w14:paraId="59E5C9CA" w14:textId="7998BB53" w:rsidR="000B0A63" w:rsidRPr="00ED2CF5" w:rsidRDefault="009C5603" w:rsidP="00B225DE">
            <w:pPr>
              <w:jc w:val="center"/>
              <w:rPr>
                <w:rFonts w:cs="Arial"/>
                <w:sz w:val="20"/>
                <w:szCs w:val="20"/>
              </w:rPr>
            </w:pPr>
            <w:r>
              <w:rPr>
                <w:rFonts w:cs="Arial"/>
                <w:sz w:val="20"/>
                <w:szCs w:val="20"/>
              </w:rPr>
              <w:t>Octobre 2021</w:t>
            </w:r>
          </w:p>
        </w:tc>
      </w:tr>
      <w:tr w:rsidR="009C5603" w:rsidRPr="000B0A63" w14:paraId="44049B1A" w14:textId="77777777" w:rsidTr="00C90985">
        <w:trPr>
          <w:jc w:val="center"/>
        </w:trPr>
        <w:tc>
          <w:tcPr>
            <w:tcW w:w="2245" w:type="dxa"/>
            <w:vAlign w:val="center"/>
          </w:tcPr>
          <w:p w14:paraId="1356A893" w14:textId="6FA17C40" w:rsidR="009C5603" w:rsidRDefault="009C5603" w:rsidP="00B225DE">
            <w:pPr>
              <w:jc w:val="center"/>
              <w:rPr>
                <w:rFonts w:cs="Arial"/>
                <w:sz w:val="20"/>
                <w:szCs w:val="20"/>
              </w:rPr>
            </w:pPr>
            <w:r>
              <w:rPr>
                <w:rFonts w:cs="Arial"/>
                <w:sz w:val="20"/>
                <w:szCs w:val="20"/>
              </w:rPr>
              <w:t>Décembre 2021</w:t>
            </w:r>
          </w:p>
        </w:tc>
        <w:tc>
          <w:tcPr>
            <w:tcW w:w="2551" w:type="dxa"/>
            <w:vAlign w:val="center"/>
          </w:tcPr>
          <w:p w14:paraId="7E8DD2FC" w14:textId="675FD8C6" w:rsidR="009C5603" w:rsidRDefault="009C5603" w:rsidP="00B225DE">
            <w:pPr>
              <w:jc w:val="center"/>
              <w:rPr>
                <w:rFonts w:cs="Arial"/>
                <w:sz w:val="20"/>
                <w:szCs w:val="20"/>
              </w:rPr>
            </w:pPr>
            <w:r>
              <w:rPr>
                <w:rFonts w:cs="Arial"/>
                <w:sz w:val="20"/>
                <w:szCs w:val="20"/>
              </w:rPr>
              <w:t>Janvier 2022</w:t>
            </w:r>
          </w:p>
        </w:tc>
        <w:tc>
          <w:tcPr>
            <w:tcW w:w="1843" w:type="dxa"/>
            <w:vAlign w:val="center"/>
          </w:tcPr>
          <w:p w14:paraId="21E4079B" w14:textId="55EFEACB" w:rsidR="009C5603" w:rsidRDefault="009C5603" w:rsidP="00B225DE">
            <w:pPr>
              <w:jc w:val="center"/>
              <w:rPr>
                <w:rFonts w:cs="Arial"/>
                <w:sz w:val="20"/>
                <w:szCs w:val="20"/>
              </w:rPr>
            </w:pPr>
            <w:r>
              <w:rPr>
                <w:rFonts w:cs="Arial"/>
                <w:sz w:val="20"/>
                <w:szCs w:val="20"/>
              </w:rPr>
              <w:t>Février 2022</w:t>
            </w:r>
          </w:p>
        </w:tc>
      </w:tr>
      <w:tr w:rsidR="009C5603" w:rsidRPr="000B0A63" w14:paraId="0962262E" w14:textId="77777777" w:rsidTr="00C90985">
        <w:trPr>
          <w:jc w:val="center"/>
        </w:trPr>
        <w:tc>
          <w:tcPr>
            <w:tcW w:w="2245" w:type="dxa"/>
            <w:vAlign w:val="center"/>
          </w:tcPr>
          <w:p w14:paraId="0AD32259" w14:textId="1A6A4C3B" w:rsidR="009C5603" w:rsidRDefault="009C5603" w:rsidP="00B225DE">
            <w:pPr>
              <w:jc w:val="center"/>
              <w:rPr>
                <w:rFonts w:cs="Arial"/>
                <w:sz w:val="20"/>
                <w:szCs w:val="20"/>
              </w:rPr>
            </w:pPr>
            <w:r>
              <w:rPr>
                <w:rFonts w:cs="Arial"/>
                <w:sz w:val="20"/>
                <w:szCs w:val="20"/>
              </w:rPr>
              <w:t>Février 2022</w:t>
            </w:r>
          </w:p>
        </w:tc>
        <w:tc>
          <w:tcPr>
            <w:tcW w:w="2551" w:type="dxa"/>
            <w:vAlign w:val="center"/>
          </w:tcPr>
          <w:p w14:paraId="60D95592" w14:textId="7424648C" w:rsidR="009C5603" w:rsidRDefault="009C5603" w:rsidP="00B225DE">
            <w:pPr>
              <w:jc w:val="center"/>
              <w:rPr>
                <w:rFonts w:cs="Arial"/>
                <w:sz w:val="20"/>
                <w:szCs w:val="20"/>
              </w:rPr>
            </w:pPr>
            <w:r>
              <w:rPr>
                <w:rFonts w:cs="Arial"/>
                <w:sz w:val="20"/>
                <w:szCs w:val="20"/>
              </w:rPr>
              <w:t>Mars 2022</w:t>
            </w:r>
          </w:p>
        </w:tc>
        <w:tc>
          <w:tcPr>
            <w:tcW w:w="1843" w:type="dxa"/>
            <w:vAlign w:val="center"/>
          </w:tcPr>
          <w:p w14:paraId="0CB4A672" w14:textId="2F8B6A27" w:rsidR="009C5603" w:rsidRDefault="009C5603" w:rsidP="00B225DE">
            <w:pPr>
              <w:jc w:val="center"/>
              <w:rPr>
                <w:rFonts w:cs="Arial"/>
                <w:sz w:val="20"/>
                <w:szCs w:val="20"/>
              </w:rPr>
            </w:pPr>
            <w:r>
              <w:rPr>
                <w:rFonts w:cs="Arial"/>
                <w:sz w:val="20"/>
                <w:szCs w:val="20"/>
              </w:rPr>
              <w:t>Avril 2022</w:t>
            </w:r>
          </w:p>
        </w:tc>
      </w:tr>
      <w:tr w:rsidR="009C5603" w:rsidRPr="000B0A63" w14:paraId="374A5A1D" w14:textId="77777777" w:rsidTr="00C90985">
        <w:trPr>
          <w:jc w:val="center"/>
        </w:trPr>
        <w:tc>
          <w:tcPr>
            <w:tcW w:w="2245" w:type="dxa"/>
            <w:vAlign w:val="center"/>
          </w:tcPr>
          <w:p w14:paraId="155F601F" w14:textId="01339886" w:rsidR="009C5603" w:rsidRDefault="009C5603" w:rsidP="00B225DE">
            <w:pPr>
              <w:jc w:val="center"/>
              <w:rPr>
                <w:rFonts w:cs="Arial"/>
                <w:sz w:val="20"/>
                <w:szCs w:val="20"/>
              </w:rPr>
            </w:pPr>
            <w:r>
              <w:rPr>
                <w:rFonts w:cs="Arial"/>
                <w:sz w:val="20"/>
                <w:szCs w:val="20"/>
              </w:rPr>
              <w:t>Avril 2022</w:t>
            </w:r>
          </w:p>
        </w:tc>
        <w:tc>
          <w:tcPr>
            <w:tcW w:w="2551" w:type="dxa"/>
            <w:vAlign w:val="center"/>
          </w:tcPr>
          <w:p w14:paraId="06F73B97" w14:textId="216421CC" w:rsidR="009C5603" w:rsidRDefault="009C5603" w:rsidP="00B225DE">
            <w:pPr>
              <w:jc w:val="center"/>
              <w:rPr>
                <w:rFonts w:cs="Arial"/>
                <w:sz w:val="20"/>
                <w:szCs w:val="20"/>
              </w:rPr>
            </w:pPr>
            <w:r>
              <w:rPr>
                <w:rFonts w:cs="Arial"/>
                <w:sz w:val="20"/>
                <w:szCs w:val="20"/>
              </w:rPr>
              <w:t>Mai 2022</w:t>
            </w:r>
          </w:p>
        </w:tc>
        <w:tc>
          <w:tcPr>
            <w:tcW w:w="1843" w:type="dxa"/>
            <w:vAlign w:val="center"/>
          </w:tcPr>
          <w:p w14:paraId="55B5B76B" w14:textId="74BCB1A0" w:rsidR="009C5603" w:rsidRDefault="009C5603" w:rsidP="00B225DE">
            <w:pPr>
              <w:jc w:val="center"/>
              <w:rPr>
                <w:rFonts w:cs="Arial"/>
                <w:sz w:val="20"/>
                <w:szCs w:val="20"/>
              </w:rPr>
            </w:pPr>
            <w:r>
              <w:rPr>
                <w:rFonts w:cs="Arial"/>
                <w:sz w:val="20"/>
                <w:szCs w:val="20"/>
              </w:rPr>
              <w:t>Juin 2022</w:t>
            </w:r>
          </w:p>
        </w:tc>
      </w:tr>
      <w:tr w:rsidR="000B0A63" w:rsidRPr="000B0A63" w14:paraId="0F2083B4" w14:textId="77777777" w:rsidTr="00C90985">
        <w:trPr>
          <w:jc w:val="center"/>
        </w:trPr>
        <w:tc>
          <w:tcPr>
            <w:tcW w:w="2245" w:type="dxa"/>
            <w:vAlign w:val="center"/>
          </w:tcPr>
          <w:p w14:paraId="1417DA23" w14:textId="79FD6E9D" w:rsidR="000B0A63" w:rsidRPr="00ED2CF5" w:rsidRDefault="001D599E" w:rsidP="00B225DE">
            <w:pPr>
              <w:jc w:val="center"/>
              <w:rPr>
                <w:rFonts w:cs="Arial"/>
                <w:sz w:val="20"/>
                <w:szCs w:val="20"/>
              </w:rPr>
            </w:pPr>
            <w:r>
              <w:rPr>
                <w:rFonts w:cs="Arial"/>
                <w:sz w:val="20"/>
                <w:szCs w:val="20"/>
              </w:rPr>
              <w:t>Août</w:t>
            </w:r>
            <w:r w:rsidR="009C5603">
              <w:rPr>
                <w:rFonts w:cs="Arial"/>
                <w:sz w:val="20"/>
                <w:szCs w:val="20"/>
              </w:rPr>
              <w:t xml:space="preserve"> 2022</w:t>
            </w:r>
          </w:p>
        </w:tc>
        <w:tc>
          <w:tcPr>
            <w:tcW w:w="2551" w:type="dxa"/>
            <w:vAlign w:val="center"/>
          </w:tcPr>
          <w:p w14:paraId="721837D2" w14:textId="7E4CCD08" w:rsidR="000B0A63" w:rsidRPr="00ED2CF5" w:rsidRDefault="001D599E" w:rsidP="00B225DE">
            <w:pPr>
              <w:jc w:val="center"/>
              <w:rPr>
                <w:rFonts w:cs="Arial"/>
                <w:sz w:val="20"/>
                <w:szCs w:val="20"/>
              </w:rPr>
            </w:pPr>
            <w:r>
              <w:rPr>
                <w:rFonts w:cs="Arial"/>
                <w:sz w:val="20"/>
                <w:szCs w:val="20"/>
              </w:rPr>
              <w:t>Septembre</w:t>
            </w:r>
            <w:r w:rsidR="009C5603">
              <w:rPr>
                <w:rFonts w:cs="Arial"/>
                <w:sz w:val="20"/>
                <w:szCs w:val="20"/>
              </w:rPr>
              <w:t xml:space="preserve"> 2022</w:t>
            </w:r>
          </w:p>
        </w:tc>
        <w:tc>
          <w:tcPr>
            <w:tcW w:w="1843" w:type="dxa"/>
            <w:vAlign w:val="center"/>
          </w:tcPr>
          <w:p w14:paraId="26225B97" w14:textId="23D6D510" w:rsidR="000B0A63" w:rsidRPr="00ED2CF5" w:rsidRDefault="001D599E" w:rsidP="00B225DE">
            <w:pPr>
              <w:jc w:val="center"/>
              <w:rPr>
                <w:rFonts w:cs="Arial"/>
                <w:sz w:val="20"/>
                <w:szCs w:val="20"/>
              </w:rPr>
            </w:pPr>
            <w:r>
              <w:rPr>
                <w:rFonts w:cs="Arial"/>
                <w:sz w:val="20"/>
                <w:szCs w:val="20"/>
              </w:rPr>
              <w:t>Octobre</w:t>
            </w:r>
            <w:r w:rsidR="009C5603">
              <w:rPr>
                <w:rFonts w:cs="Arial"/>
                <w:sz w:val="20"/>
                <w:szCs w:val="20"/>
              </w:rPr>
              <w:t xml:space="preserve"> 202</w:t>
            </w:r>
            <w:r w:rsidR="00594F93">
              <w:rPr>
                <w:rFonts w:cs="Arial"/>
                <w:sz w:val="20"/>
                <w:szCs w:val="20"/>
              </w:rPr>
              <w:t>2</w:t>
            </w:r>
          </w:p>
        </w:tc>
      </w:tr>
      <w:tr w:rsidR="000B0A63" w:rsidRPr="000B0A63" w14:paraId="3E4AE972" w14:textId="77777777" w:rsidTr="00C90985">
        <w:trPr>
          <w:jc w:val="center"/>
        </w:trPr>
        <w:tc>
          <w:tcPr>
            <w:tcW w:w="2245" w:type="dxa"/>
            <w:vAlign w:val="center"/>
          </w:tcPr>
          <w:p w14:paraId="6D694DAE" w14:textId="1DE2DBE6" w:rsidR="000B0A63" w:rsidRPr="00ED2CF5" w:rsidRDefault="001D599E" w:rsidP="00B225DE">
            <w:pPr>
              <w:jc w:val="center"/>
              <w:rPr>
                <w:rFonts w:cs="Arial"/>
                <w:sz w:val="20"/>
                <w:szCs w:val="20"/>
              </w:rPr>
            </w:pPr>
            <w:r>
              <w:rPr>
                <w:rFonts w:cs="Arial"/>
                <w:sz w:val="20"/>
                <w:szCs w:val="20"/>
              </w:rPr>
              <w:t>Décembre</w:t>
            </w:r>
            <w:r w:rsidR="009C5603">
              <w:rPr>
                <w:rFonts w:cs="Arial"/>
                <w:sz w:val="20"/>
                <w:szCs w:val="20"/>
              </w:rPr>
              <w:t xml:space="preserve"> 202</w:t>
            </w:r>
            <w:r>
              <w:rPr>
                <w:rFonts w:cs="Arial"/>
                <w:sz w:val="20"/>
                <w:szCs w:val="20"/>
              </w:rPr>
              <w:t>2</w:t>
            </w:r>
          </w:p>
        </w:tc>
        <w:tc>
          <w:tcPr>
            <w:tcW w:w="2551" w:type="dxa"/>
            <w:vAlign w:val="center"/>
          </w:tcPr>
          <w:p w14:paraId="7BD5FC60" w14:textId="48090C19" w:rsidR="000B0A63" w:rsidRPr="00ED2CF5" w:rsidRDefault="001D599E" w:rsidP="00B225DE">
            <w:pPr>
              <w:jc w:val="center"/>
              <w:rPr>
                <w:rFonts w:cs="Arial"/>
                <w:sz w:val="20"/>
                <w:szCs w:val="20"/>
              </w:rPr>
            </w:pPr>
            <w:r>
              <w:rPr>
                <w:rFonts w:cs="Arial"/>
                <w:sz w:val="20"/>
                <w:szCs w:val="20"/>
              </w:rPr>
              <w:t>Janvier</w:t>
            </w:r>
            <w:r w:rsidR="009C5603">
              <w:rPr>
                <w:rFonts w:cs="Arial"/>
                <w:sz w:val="20"/>
                <w:szCs w:val="20"/>
              </w:rPr>
              <w:t xml:space="preserve"> 2023</w:t>
            </w:r>
          </w:p>
        </w:tc>
        <w:tc>
          <w:tcPr>
            <w:tcW w:w="1843" w:type="dxa"/>
            <w:vAlign w:val="center"/>
          </w:tcPr>
          <w:p w14:paraId="5B3FEBEE" w14:textId="1578D3D2" w:rsidR="000B0A63" w:rsidRPr="00ED2CF5" w:rsidRDefault="001D599E" w:rsidP="00B225DE">
            <w:pPr>
              <w:jc w:val="center"/>
              <w:rPr>
                <w:rFonts w:cs="Arial"/>
                <w:sz w:val="20"/>
                <w:szCs w:val="20"/>
              </w:rPr>
            </w:pPr>
            <w:r>
              <w:rPr>
                <w:rFonts w:cs="Arial"/>
                <w:sz w:val="20"/>
                <w:szCs w:val="20"/>
              </w:rPr>
              <w:t>Février</w:t>
            </w:r>
            <w:r w:rsidR="009C5603">
              <w:rPr>
                <w:rFonts w:cs="Arial"/>
                <w:sz w:val="20"/>
                <w:szCs w:val="20"/>
              </w:rPr>
              <w:t xml:space="preserve"> 2023</w:t>
            </w:r>
          </w:p>
        </w:tc>
      </w:tr>
      <w:tr w:rsidR="009C5603" w:rsidRPr="000B0A63" w14:paraId="2CE6D382" w14:textId="77777777" w:rsidTr="00C90985">
        <w:trPr>
          <w:jc w:val="center"/>
        </w:trPr>
        <w:tc>
          <w:tcPr>
            <w:tcW w:w="2245" w:type="dxa"/>
            <w:vAlign w:val="center"/>
          </w:tcPr>
          <w:p w14:paraId="6E0901D5" w14:textId="04174812" w:rsidR="009C5603" w:rsidDel="009C5603" w:rsidRDefault="001D599E" w:rsidP="00B225DE">
            <w:pPr>
              <w:jc w:val="center"/>
              <w:rPr>
                <w:rFonts w:cs="Arial"/>
                <w:sz w:val="20"/>
                <w:szCs w:val="20"/>
              </w:rPr>
            </w:pPr>
            <w:r>
              <w:rPr>
                <w:rFonts w:cs="Arial"/>
                <w:sz w:val="20"/>
                <w:szCs w:val="20"/>
              </w:rPr>
              <w:t>Mars</w:t>
            </w:r>
            <w:r w:rsidR="009C5603">
              <w:rPr>
                <w:rFonts w:cs="Arial"/>
                <w:sz w:val="20"/>
                <w:szCs w:val="20"/>
              </w:rPr>
              <w:t xml:space="preserve"> 202</w:t>
            </w:r>
            <w:r>
              <w:rPr>
                <w:rFonts w:cs="Arial"/>
                <w:sz w:val="20"/>
                <w:szCs w:val="20"/>
              </w:rPr>
              <w:t>3</w:t>
            </w:r>
          </w:p>
        </w:tc>
        <w:tc>
          <w:tcPr>
            <w:tcW w:w="2551" w:type="dxa"/>
            <w:vAlign w:val="center"/>
          </w:tcPr>
          <w:p w14:paraId="6A983A58" w14:textId="56E884BF" w:rsidR="009C5603" w:rsidDel="009C5603" w:rsidRDefault="001D599E" w:rsidP="00B225DE">
            <w:pPr>
              <w:jc w:val="center"/>
              <w:rPr>
                <w:rFonts w:cs="Arial"/>
                <w:sz w:val="20"/>
                <w:szCs w:val="20"/>
              </w:rPr>
            </w:pPr>
            <w:r>
              <w:rPr>
                <w:rFonts w:cs="Arial"/>
                <w:sz w:val="20"/>
                <w:szCs w:val="20"/>
              </w:rPr>
              <w:t>Avril</w:t>
            </w:r>
            <w:r w:rsidR="009C5603">
              <w:rPr>
                <w:rFonts w:cs="Arial"/>
                <w:sz w:val="20"/>
                <w:szCs w:val="20"/>
              </w:rPr>
              <w:t xml:space="preserve"> 202</w:t>
            </w:r>
            <w:r>
              <w:rPr>
                <w:rFonts w:cs="Arial"/>
                <w:sz w:val="20"/>
                <w:szCs w:val="20"/>
              </w:rPr>
              <w:t>3</w:t>
            </w:r>
          </w:p>
        </w:tc>
        <w:tc>
          <w:tcPr>
            <w:tcW w:w="1843" w:type="dxa"/>
            <w:vAlign w:val="center"/>
          </w:tcPr>
          <w:p w14:paraId="6D032672" w14:textId="031A5C01" w:rsidR="009C5603" w:rsidDel="009C5603" w:rsidRDefault="001D599E" w:rsidP="00B225DE">
            <w:pPr>
              <w:jc w:val="center"/>
              <w:rPr>
                <w:rFonts w:cs="Arial"/>
                <w:sz w:val="20"/>
                <w:szCs w:val="20"/>
              </w:rPr>
            </w:pPr>
            <w:r>
              <w:rPr>
                <w:rFonts w:cs="Arial"/>
                <w:sz w:val="20"/>
                <w:szCs w:val="20"/>
              </w:rPr>
              <w:t>Mai</w:t>
            </w:r>
            <w:r w:rsidR="009C5603">
              <w:rPr>
                <w:rFonts w:cs="Arial"/>
                <w:sz w:val="20"/>
                <w:szCs w:val="20"/>
              </w:rPr>
              <w:t xml:space="preserve"> 202</w:t>
            </w:r>
            <w:r>
              <w:rPr>
                <w:rFonts w:cs="Arial"/>
                <w:sz w:val="20"/>
                <w:szCs w:val="20"/>
              </w:rPr>
              <w:t>3</w:t>
            </w:r>
          </w:p>
        </w:tc>
      </w:tr>
      <w:tr w:rsidR="009C5603" w:rsidRPr="000B0A63" w14:paraId="3013D45B" w14:textId="77777777" w:rsidTr="00C90985">
        <w:trPr>
          <w:jc w:val="center"/>
        </w:trPr>
        <w:tc>
          <w:tcPr>
            <w:tcW w:w="2245" w:type="dxa"/>
            <w:vAlign w:val="center"/>
          </w:tcPr>
          <w:p w14:paraId="2E4CF1E0" w14:textId="25484DA2" w:rsidR="009C5603" w:rsidDel="009C5603" w:rsidRDefault="001D599E" w:rsidP="00B225DE">
            <w:pPr>
              <w:jc w:val="center"/>
              <w:rPr>
                <w:rFonts w:cs="Arial"/>
                <w:sz w:val="20"/>
                <w:szCs w:val="20"/>
              </w:rPr>
            </w:pPr>
            <w:r>
              <w:rPr>
                <w:rFonts w:cs="Arial"/>
                <w:sz w:val="20"/>
                <w:szCs w:val="20"/>
              </w:rPr>
              <w:t>Juin</w:t>
            </w:r>
            <w:r w:rsidR="009C5603">
              <w:rPr>
                <w:rFonts w:cs="Arial"/>
                <w:sz w:val="20"/>
                <w:szCs w:val="20"/>
              </w:rPr>
              <w:t xml:space="preserve"> 2025</w:t>
            </w:r>
          </w:p>
        </w:tc>
        <w:tc>
          <w:tcPr>
            <w:tcW w:w="2551" w:type="dxa"/>
            <w:vAlign w:val="center"/>
          </w:tcPr>
          <w:p w14:paraId="58E7FB6F" w14:textId="61D70D54" w:rsidR="009C5603" w:rsidDel="009C5603" w:rsidRDefault="009C5603" w:rsidP="00B225DE">
            <w:pPr>
              <w:jc w:val="center"/>
              <w:rPr>
                <w:rFonts w:cs="Arial"/>
                <w:sz w:val="20"/>
                <w:szCs w:val="20"/>
              </w:rPr>
            </w:pPr>
            <w:r>
              <w:rPr>
                <w:rFonts w:cs="Arial"/>
                <w:sz w:val="20"/>
                <w:szCs w:val="20"/>
              </w:rPr>
              <w:t>Jui</w:t>
            </w:r>
            <w:r w:rsidR="001D599E">
              <w:rPr>
                <w:rFonts w:cs="Arial"/>
                <w:sz w:val="20"/>
                <w:szCs w:val="20"/>
              </w:rPr>
              <w:t>llet</w:t>
            </w:r>
            <w:r>
              <w:rPr>
                <w:rFonts w:cs="Arial"/>
                <w:sz w:val="20"/>
                <w:szCs w:val="20"/>
              </w:rPr>
              <w:t xml:space="preserve"> 2025</w:t>
            </w:r>
          </w:p>
        </w:tc>
        <w:tc>
          <w:tcPr>
            <w:tcW w:w="1843" w:type="dxa"/>
            <w:vAlign w:val="center"/>
          </w:tcPr>
          <w:p w14:paraId="56A5C217" w14:textId="12273951" w:rsidR="009C5603" w:rsidDel="009C5603" w:rsidRDefault="001D599E" w:rsidP="00B225DE">
            <w:pPr>
              <w:jc w:val="center"/>
              <w:rPr>
                <w:rFonts w:cs="Arial"/>
                <w:sz w:val="20"/>
                <w:szCs w:val="20"/>
              </w:rPr>
            </w:pPr>
            <w:r>
              <w:rPr>
                <w:rFonts w:cs="Arial"/>
                <w:sz w:val="20"/>
                <w:szCs w:val="20"/>
              </w:rPr>
              <w:t>Août</w:t>
            </w:r>
            <w:r w:rsidR="009C5603">
              <w:rPr>
                <w:rFonts w:cs="Arial"/>
                <w:sz w:val="20"/>
                <w:szCs w:val="20"/>
              </w:rPr>
              <w:t xml:space="preserve"> 2025</w:t>
            </w:r>
          </w:p>
        </w:tc>
      </w:tr>
      <w:tr w:rsidR="009C5603" w:rsidRPr="000B0A63" w14:paraId="0EACD38E" w14:textId="77777777" w:rsidTr="00C90985">
        <w:trPr>
          <w:jc w:val="center"/>
        </w:trPr>
        <w:tc>
          <w:tcPr>
            <w:tcW w:w="2245" w:type="dxa"/>
            <w:vAlign w:val="center"/>
          </w:tcPr>
          <w:p w14:paraId="64D596A6" w14:textId="05CE9E30" w:rsidR="009C5603" w:rsidDel="009C5603" w:rsidRDefault="001D599E" w:rsidP="00B225DE">
            <w:pPr>
              <w:jc w:val="center"/>
              <w:rPr>
                <w:rFonts w:cs="Arial"/>
                <w:sz w:val="20"/>
                <w:szCs w:val="20"/>
              </w:rPr>
            </w:pPr>
            <w:r>
              <w:rPr>
                <w:rFonts w:cs="Arial"/>
                <w:sz w:val="20"/>
                <w:szCs w:val="20"/>
              </w:rPr>
              <w:t>Septembre</w:t>
            </w:r>
            <w:r w:rsidR="009C5603">
              <w:rPr>
                <w:rFonts w:cs="Arial"/>
                <w:sz w:val="20"/>
                <w:szCs w:val="20"/>
              </w:rPr>
              <w:t xml:space="preserve"> 2026</w:t>
            </w:r>
          </w:p>
        </w:tc>
        <w:tc>
          <w:tcPr>
            <w:tcW w:w="2551" w:type="dxa"/>
            <w:vAlign w:val="center"/>
          </w:tcPr>
          <w:p w14:paraId="7101415B" w14:textId="61BFDD91" w:rsidR="009C5603" w:rsidDel="009C5603" w:rsidRDefault="001D599E" w:rsidP="00B225DE">
            <w:pPr>
              <w:jc w:val="center"/>
              <w:rPr>
                <w:rFonts w:cs="Arial"/>
                <w:sz w:val="20"/>
                <w:szCs w:val="20"/>
              </w:rPr>
            </w:pPr>
            <w:r>
              <w:rPr>
                <w:rFonts w:cs="Arial"/>
                <w:sz w:val="20"/>
                <w:szCs w:val="20"/>
              </w:rPr>
              <w:t>Octobre</w:t>
            </w:r>
            <w:r w:rsidR="009C5603">
              <w:rPr>
                <w:rFonts w:cs="Arial"/>
                <w:sz w:val="20"/>
                <w:szCs w:val="20"/>
              </w:rPr>
              <w:t xml:space="preserve"> 2026</w:t>
            </w:r>
          </w:p>
        </w:tc>
        <w:tc>
          <w:tcPr>
            <w:tcW w:w="1843" w:type="dxa"/>
            <w:vAlign w:val="center"/>
          </w:tcPr>
          <w:p w14:paraId="58354534" w14:textId="18A3E097" w:rsidR="009C5603" w:rsidDel="009C5603" w:rsidRDefault="001D599E" w:rsidP="00B225DE">
            <w:pPr>
              <w:jc w:val="center"/>
              <w:rPr>
                <w:rFonts w:cs="Arial"/>
                <w:sz w:val="20"/>
                <w:szCs w:val="20"/>
              </w:rPr>
            </w:pPr>
            <w:r>
              <w:rPr>
                <w:rFonts w:cs="Arial"/>
                <w:sz w:val="20"/>
                <w:szCs w:val="20"/>
              </w:rPr>
              <w:t>Novembre</w:t>
            </w:r>
            <w:r w:rsidR="009C5603">
              <w:rPr>
                <w:rFonts w:cs="Arial"/>
                <w:sz w:val="20"/>
                <w:szCs w:val="20"/>
              </w:rPr>
              <w:t xml:space="preserve"> 2026</w:t>
            </w:r>
          </w:p>
        </w:tc>
      </w:tr>
    </w:tbl>
    <w:p w14:paraId="43BA1D5C" w14:textId="59756C6C" w:rsidR="000B0A63" w:rsidRDefault="000B0A63" w:rsidP="000B0A63">
      <w:pPr>
        <w:jc w:val="both"/>
        <w:rPr>
          <w:b/>
          <w:szCs w:val="22"/>
          <w:highlight w:val="yellow"/>
        </w:rPr>
      </w:pPr>
    </w:p>
    <w:p w14:paraId="08CD4F31" w14:textId="700DB858" w:rsidR="007B15CD" w:rsidRDefault="007B15CD" w:rsidP="000B0A63">
      <w:pPr>
        <w:jc w:val="both"/>
        <w:rPr>
          <w:b/>
          <w:szCs w:val="22"/>
          <w:highlight w:val="yellow"/>
        </w:rPr>
      </w:pPr>
    </w:p>
    <w:p w14:paraId="5965EB06" w14:textId="77777777" w:rsidR="007B15CD" w:rsidRPr="008D7EB7" w:rsidRDefault="007B15CD" w:rsidP="000B0A63">
      <w:pPr>
        <w:jc w:val="both"/>
        <w:rPr>
          <w:b/>
          <w:szCs w:val="22"/>
          <w:highlight w:val="yellow"/>
        </w:rPr>
      </w:pPr>
    </w:p>
    <w:p w14:paraId="56052B36" w14:textId="63A5019C" w:rsidR="000B0A63" w:rsidRPr="00ED2CF5" w:rsidRDefault="00CB7ADD" w:rsidP="00256E9F">
      <w:pPr>
        <w:pStyle w:val="Sam3"/>
      </w:pPr>
      <w:bookmarkStart w:id="1338" w:name="_Toc74557587"/>
      <w:r>
        <w:lastRenderedPageBreak/>
        <w:t xml:space="preserve">II.21.2 </w:t>
      </w:r>
      <w:r w:rsidR="000B0A63" w:rsidRPr="00ED2CF5">
        <w:t>Informations communiquées par la Région</w:t>
      </w:r>
      <w:bookmarkEnd w:id="1338"/>
    </w:p>
    <w:p w14:paraId="1F5799D3" w14:textId="3B799C5E" w:rsidR="000B0A63" w:rsidRDefault="000B0A63" w:rsidP="006C7CA8">
      <w:pPr>
        <w:jc w:val="both"/>
        <w:rPr>
          <w:rFonts w:eastAsiaTheme="minorHAnsi"/>
          <w:lang w:eastAsia="en-US"/>
        </w:rPr>
      </w:pPr>
      <w:r w:rsidRPr="008D7EB7">
        <w:rPr>
          <w:rFonts w:eastAsiaTheme="minorHAnsi"/>
          <w:lang w:eastAsia="en-US"/>
        </w:rPr>
        <w:t>Le SPW Intérieur et Action sociale continuera par ailleurs à vous communiquer deux fois par an des prévisions budgétaires pluriannuelles pour le fonds des communes, le fonds spécial de l’aide sociale, le complément régional (</w:t>
      </w:r>
      <w:r w:rsidR="003D4ED8">
        <w:rPr>
          <w:rFonts w:eastAsiaTheme="minorHAnsi"/>
          <w:lang w:eastAsia="en-US"/>
        </w:rPr>
        <w:t xml:space="preserve">par exemple : les </w:t>
      </w:r>
      <w:r w:rsidRPr="008D7EB7">
        <w:rPr>
          <w:rFonts w:eastAsiaTheme="minorHAnsi"/>
          <w:lang w:eastAsia="en-US"/>
        </w:rPr>
        <w:t>compensations Plan Marshal)</w:t>
      </w:r>
      <w:r w:rsidR="00FB4FD5">
        <w:rPr>
          <w:rFonts w:eastAsiaTheme="minorHAnsi"/>
          <w:lang w:eastAsia="en-US"/>
        </w:rPr>
        <w:t xml:space="preserve">, </w:t>
      </w:r>
      <w:r w:rsidRPr="008D7EB7">
        <w:rPr>
          <w:rFonts w:eastAsiaTheme="minorHAnsi"/>
          <w:lang w:eastAsia="en-US"/>
        </w:rPr>
        <w:t xml:space="preserve">la compensation liée à la forfaitarisation des réductions du </w:t>
      </w:r>
      <w:proofErr w:type="spellStart"/>
      <w:r w:rsidRPr="008D7EB7">
        <w:rPr>
          <w:rFonts w:eastAsiaTheme="minorHAnsi"/>
          <w:lang w:eastAsia="en-US"/>
        </w:rPr>
        <w:t>PrI</w:t>
      </w:r>
      <w:proofErr w:type="spellEnd"/>
      <w:r w:rsidRPr="008D7EB7">
        <w:rPr>
          <w:rFonts w:eastAsiaTheme="minorHAnsi"/>
          <w:lang w:eastAsia="en-US"/>
        </w:rPr>
        <w:t xml:space="preserve"> pour enfants et personnes à charge</w:t>
      </w:r>
      <w:r w:rsidR="00FB4FD5">
        <w:rPr>
          <w:rFonts w:eastAsiaTheme="minorHAnsi"/>
          <w:lang w:eastAsia="en-US"/>
        </w:rPr>
        <w:t xml:space="preserve"> et les additionnels au précompte immobilier</w:t>
      </w:r>
      <w:r w:rsidRPr="008D7EB7">
        <w:rPr>
          <w:rFonts w:eastAsiaTheme="minorHAnsi"/>
          <w:lang w:eastAsia="en-US"/>
        </w:rPr>
        <w:t xml:space="preserve">. Ces prévisions vous sont généralement communiquées en juillet / août N-1 afin de pouvoir préparer l’élaboration de votre budget initial N et en avril N afin de préparer votre modification budgétaire. </w:t>
      </w:r>
    </w:p>
    <w:p w14:paraId="350B49B7" w14:textId="77777777" w:rsidR="006C7CA8" w:rsidRPr="008D7EB7" w:rsidRDefault="006C7CA8">
      <w:pPr>
        <w:jc w:val="both"/>
        <w:rPr>
          <w:rFonts w:eastAsiaTheme="minorHAnsi"/>
          <w:lang w:eastAsia="en-US"/>
        </w:rPr>
      </w:pPr>
    </w:p>
    <w:p w14:paraId="7D8A858B" w14:textId="750AC953" w:rsidR="003E5247" w:rsidRDefault="003E5247" w:rsidP="006C7CA8">
      <w:pPr>
        <w:jc w:val="both"/>
        <w:rPr>
          <w:rFonts w:eastAsiaTheme="minorHAnsi"/>
          <w:lang w:eastAsia="en-US"/>
        </w:rPr>
      </w:pPr>
      <w:r w:rsidRPr="008D7EB7">
        <w:rPr>
          <w:rFonts w:eastAsiaTheme="minorHAnsi"/>
          <w:lang w:eastAsia="en-US"/>
        </w:rPr>
        <w:t xml:space="preserve">Concernant la compensation fiscale relative au Plan Marshal, il est bien entendu que les prévisions communiquées par l’administration ne peuvent inclure toute opération de régularisation </w:t>
      </w:r>
      <w:r w:rsidR="00A3260E" w:rsidRPr="008D7EB7">
        <w:rPr>
          <w:rFonts w:eastAsiaTheme="minorHAnsi"/>
          <w:lang w:eastAsia="en-US"/>
        </w:rPr>
        <w:t>diligentée par la commune ou tout évènement particulier ayant un impact sur les différents postes pouvant impacter la compensation.</w:t>
      </w:r>
    </w:p>
    <w:p w14:paraId="39DA5A02" w14:textId="77777777" w:rsidR="006C7CA8" w:rsidRPr="008D7EB7" w:rsidRDefault="006C7CA8">
      <w:pPr>
        <w:jc w:val="both"/>
        <w:rPr>
          <w:rFonts w:eastAsiaTheme="minorHAnsi"/>
          <w:lang w:eastAsia="en-US"/>
        </w:rPr>
      </w:pPr>
    </w:p>
    <w:p w14:paraId="1BF87DF4" w14:textId="43709193" w:rsidR="000B0A63" w:rsidRDefault="000B0A63">
      <w:pPr>
        <w:jc w:val="both"/>
        <w:rPr>
          <w:rFonts w:eastAsiaTheme="minorHAnsi"/>
          <w:lang w:eastAsia="en-US"/>
        </w:rPr>
      </w:pPr>
      <w:r w:rsidRPr="008D7EB7">
        <w:rPr>
          <w:rFonts w:eastAsiaTheme="minorHAnsi"/>
          <w:b/>
          <w:bCs/>
          <w:lang w:eastAsia="en-US"/>
        </w:rPr>
        <w:t>Je rappelle par ailleurs que l’</w:t>
      </w:r>
      <w:r w:rsidR="00FB4FD5">
        <w:rPr>
          <w:rFonts w:eastAsiaTheme="minorHAnsi"/>
          <w:b/>
          <w:bCs/>
          <w:lang w:eastAsia="en-US"/>
        </w:rPr>
        <w:t>a</w:t>
      </w:r>
      <w:r w:rsidRPr="008D7EB7">
        <w:rPr>
          <w:rFonts w:eastAsiaTheme="minorHAnsi"/>
          <w:b/>
          <w:bCs/>
          <w:lang w:eastAsia="en-US"/>
        </w:rPr>
        <w:t xml:space="preserve">dministration peut, à votre demande, simuler l’impact sur la dotation au fonds des communes </w:t>
      </w:r>
      <w:r w:rsidR="00FB4FD5">
        <w:rPr>
          <w:rFonts w:eastAsiaTheme="minorHAnsi"/>
          <w:b/>
          <w:bCs/>
          <w:lang w:eastAsia="en-US"/>
        </w:rPr>
        <w:t xml:space="preserve">ou des additionnels au précompte immobilier </w:t>
      </w:r>
      <w:r w:rsidRPr="008D7EB7">
        <w:rPr>
          <w:rFonts w:eastAsiaTheme="minorHAnsi"/>
          <w:b/>
          <w:bCs/>
          <w:lang w:eastAsia="en-US"/>
        </w:rPr>
        <w:t>de tout changement de politique fiscale en matière de taux des additionnels à l’impôt des personnes physiques et au précompte immobilier</w:t>
      </w:r>
      <w:r w:rsidRPr="008D7EB7">
        <w:rPr>
          <w:rFonts w:eastAsiaTheme="minorHAnsi"/>
          <w:lang w:eastAsia="en-US"/>
        </w:rPr>
        <w:t xml:space="preserve">. </w:t>
      </w:r>
    </w:p>
    <w:p w14:paraId="392B0172" w14:textId="77777777" w:rsidR="002E7775" w:rsidRPr="008D7EB7" w:rsidRDefault="002E7775">
      <w:pPr>
        <w:jc w:val="both"/>
        <w:rPr>
          <w:rFonts w:eastAsiaTheme="minorHAnsi"/>
          <w:lang w:eastAsia="en-US"/>
        </w:rPr>
      </w:pPr>
    </w:p>
    <w:p w14:paraId="75ED5F6C" w14:textId="77777777" w:rsidR="004A2669" w:rsidRPr="001E1353" w:rsidRDefault="004A2669" w:rsidP="001E1353">
      <w:pPr>
        <w:pStyle w:val="Sam1"/>
        <w:rPr>
          <w:lang w:val="fr-FR"/>
        </w:rPr>
      </w:pPr>
      <w:bookmarkStart w:id="1339" w:name="_Toc512520192"/>
      <w:bookmarkStart w:id="1340" w:name="_Toc512520323"/>
      <w:bookmarkStart w:id="1341" w:name="_Toc512520455"/>
      <w:bookmarkStart w:id="1342" w:name="_Toc512520586"/>
      <w:bookmarkStart w:id="1343" w:name="_Toc512520717"/>
      <w:bookmarkStart w:id="1344" w:name="_Toc512520848"/>
      <w:bookmarkStart w:id="1345" w:name="_Toc512520979"/>
      <w:bookmarkStart w:id="1346" w:name="_Toc512606777"/>
      <w:bookmarkStart w:id="1347" w:name="_Toc512606912"/>
      <w:bookmarkStart w:id="1348" w:name="_Toc512607047"/>
      <w:bookmarkStart w:id="1349" w:name="_Toc515355845"/>
      <w:bookmarkStart w:id="1350" w:name="_Toc515355982"/>
      <w:bookmarkStart w:id="1351" w:name="_Toc515360392"/>
      <w:bookmarkStart w:id="1352" w:name="_Toc515974988"/>
      <w:bookmarkStart w:id="1353" w:name="_Toc515978496"/>
      <w:bookmarkStart w:id="1354" w:name="_Toc516058880"/>
      <w:bookmarkStart w:id="1355" w:name="_Toc516059022"/>
      <w:bookmarkStart w:id="1356" w:name="_Toc516227746"/>
      <w:bookmarkStart w:id="1357" w:name="_Toc516229559"/>
      <w:bookmarkStart w:id="1358" w:name="_Toc516229854"/>
      <w:bookmarkStart w:id="1359" w:name="_Toc516230149"/>
      <w:bookmarkStart w:id="1360" w:name="_Toc516230444"/>
      <w:bookmarkStart w:id="1361" w:name="_Toc516230738"/>
      <w:bookmarkStart w:id="1362" w:name="_Toc516231032"/>
      <w:bookmarkStart w:id="1363" w:name="_Toc516231327"/>
      <w:bookmarkStart w:id="1364" w:name="_Toc516231623"/>
      <w:bookmarkStart w:id="1365" w:name="_Toc516242716"/>
      <w:bookmarkStart w:id="1366" w:name="_Toc516243019"/>
      <w:bookmarkStart w:id="1367" w:name="_Toc516244952"/>
      <w:bookmarkStart w:id="1368" w:name="_Toc516473524"/>
      <w:bookmarkStart w:id="1369" w:name="_Toc516473834"/>
      <w:bookmarkStart w:id="1370" w:name="_Toc516474144"/>
      <w:bookmarkStart w:id="1371" w:name="_Toc516474452"/>
      <w:bookmarkStart w:id="1372" w:name="_Toc516474783"/>
      <w:bookmarkStart w:id="1373" w:name="_Toc516478814"/>
      <w:bookmarkStart w:id="1374" w:name="_Toc516479277"/>
      <w:bookmarkStart w:id="1375" w:name="_Toc516479594"/>
      <w:bookmarkStart w:id="1376" w:name="_Toc516479917"/>
      <w:bookmarkStart w:id="1377" w:name="_Toc516480232"/>
      <w:bookmarkStart w:id="1378" w:name="_Toc516480546"/>
      <w:bookmarkStart w:id="1379" w:name="_Toc516480860"/>
      <w:bookmarkStart w:id="1380" w:name="_Toc516481174"/>
      <w:bookmarkStart w:id="1381" w:name="_Toc516481488"/>
      <w:bookmarkStart w:id="1382" w:name="_Toc516481802"/>
      <w:bookmarkStart w:id="1383" w:name="_Toc516482116"/>
      <w:bookmarkStart w:id="1384" w:name="_Toc516482430"/>
      <w:bookmarkStart w:id="1385" w:name="_Toc516739552"/>
      <w:bookmarkStart w:id="1386" w:name="_Toc516751465"/>
      <w:bookmarkStart w:id="1387" w:name="_Toc7455758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1E1353">
        <w:rPr>
          <w:lang w:val="fr-FR"/>
        </w:rPr>
        <w:t>SERVICE ORDINAIRE — RECETTES</w:t>
      </w:r>
      <w:bookmarkEnd w:id="1387"/>
      <w:r w:rsidRPr="001E1353">
        <w:rPr>
          <w:lang w:val="fr-FR"/>
        </w:rPr>
        <w:t xml:space="preserve"> </w:t>
      </w:r>
    </w:p>
    <w:p w14:paraId="2E72B07D" w14:textId="647E1E69" w:rsidR="004A2669" w:rsidRDefault="004A2669" w:rsidP="004A2669">
      <w:pPr>
        <w:jc w:val="both"/>
      </w:pPr>
      <w:r w:rsidRPr="001E1353">
        <w:t xml:space="preserve">De manière générale et afin de se conformer aux obligations européennes de calendrier de vote des budgets, les montants des recettes qui ne seraient pas connus lors de l'élaboration des budgets devront être calculés sur la base de la progression en pourcentage de la moyenne des 5 dernières années. En ce qui concerne l'impôt des personnes physiques, le dernier montant communiqué sera pris en compte. </w:t>
      </w:r>
    </w:p>
    <w:p w14:paraId="55619456" w14:textId="77777777" w:rsidR="002E7775" w:rsidRPr="001E1353" w:rsidRDefault="002E7775" w:rsidP="004A2669">
      <w:pPr>
        <w:jc w:val="both"/>
      </w:pPr>
    </w:p>
    <w:p w14:paraId="00E987CD" w14:textId="77777777" w:rsidR="004A2669" w:rsidRPr="001E1353" w:rsidRDefault="004A2669" w:rsidP="001E1353">
      <w:pPr>
        <w:pStyle w:val="Sam2"/>
        <w:rPr>
          <w:lang w:val="fr-FR"/>
        </w:rPr>
      </w:pPr>
      <w:bookmarkStart w:id="1388" w:name="_Toc512520194"/>
      <w:bookmarkStart w:id="1389" w:name="_Toc512520325"/>
      <w:bookmarkStart w:id="1390" w:name="_Toc512520457"/>
      <w:bookmarkStart w:id="1391" w:name="_Toc512520588"/>
      <w:bookmarkStart w:id="1392" w:name="_Toc512520719"/>
      <w:bookmarkStart w:id="1393" w:name="_Toc512520850"/>
      <w:bookmarkStart w:id="1394" w:name="_Toc512520981"/>
      <w:bookmarkStart w:id="1395" w:name="_Toc512606779"/>
      <w:bookmarkStart w:id="1396" w:name="_Toc512606914"/>
      <w:bookmarkStart w:id="1397" w:name="_Toc512607049"/>
      <w:bookmarkStart w:id="1398" w:name="_Toc515355847"/>
      <w:bookmarkStart w:id="1399" w:name="_Toc515355984"/>
      <w:bookmarkStart w:id="1400" w:name="_Toc515360394"/>
      <w:bookmarkStart w:id="1401" w:name="_Toc515974990"/>
      <w:bookmarkStart w:id="1402" w:name="_Toc515978498"/>
      <w:bookmarkStart w:id="1403" w:name="_Toc516058882"/>
      <w:bookmarkStart w:id="1404" w:name="_Toc516059024"/>
      <w:bookmarkStart w:id="1405" w:name="_Toc516227748"/>
      <w:bookmarkStart w:id="1406" w:name="_Toc516229561"/>
      <w:bookmarkStart w:id="1407" w:name="_Toc516229856"/>
      <w:bookmarkStart w:id="1408" w:name="_Toc516230151"/>
      <w:bookmarkStart w:id="1409" w:name="_Toc516230446"/>
      <w:bookmarkStart w:id="1410" w:name="_Toc516230740"/>
      <w:bookmarkStart w:id="1411" w:name="_Toc516231034"/>
      <w:bookmarkStart w:id="1412" w:name="_Toc516231329"/>
      <w:bookmarkStart w:id="1413" w:name="_Toc516231625"/>
      <w:bookmarkStart w:id="1414" w:name="_Toc516242718"/>
      <w:bookmarkStart w:id="1415" w:name="_Toc516243021"/>
      <w:bookmarkStart w:id="1416" w:name="_Toc516244954"/>
      <w:bookmarkStart w:id="1417" w:name="_Toc516473526"/>
      <w:bookmarkStart w:id="1418" w:name="_Toc516473836"/>
      <w:bookmarkStart w:id="1419" w:name="_Toc516474146"/>
      <w:bookmarkStart w:id="1420" w:name="_Toc516474454"/>
      <w:bookmarkStart w:id="1421" w:name="_Toc516474785"/>
      <w:bookmarkStart w:id="1422" w:name="_Toc516478816"/>
      <w:bookmarkStart w:id="1423" w:name="_Toc516479279"/>
      <w:bookmarkStart w:id="1424" w:name="_Toc516479596"/>
      <w:bookmarkStart w:id="1425" w:name="_Toc516479919"/>
      <w:bookmarkStart w:id="1426" w:name="_Toc516480234"/>
      <w:bookmarkStart w:id="1427" w:name="_Toc516480548"/>
      <w:bookmarkStart w:id="1428" w:name="_Toc516480862"/>
      <w:bookmarkStart w:id="1429" w:name="_Toc516481176"/>
      <w:bookmarkStart w:id="1430" w:name="_Toc516481490"/>
      <w:bookmarkStart w:id="1431" w:name="_Toc516481804"/>
      <w:bookmarkStart w:id="1432" w:name="_Toc516482118"/>
      <w:bookmarkStart w:id="1433" w:name="_Toc516482432"/>
      <w:bookmarkStart w:id="1434" w:name="_Toc516739554"/>
      <w:bookmarkStart w:id="1435" w:name="_Toc516751467"/>
      <w:bookmarkStart w:id="1436" w:name="_Toc74557589"/>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1E1353">
        <w:rPr>
          <w:lang w:val="fr-FR"/>
        </w:rPr>
        <w:t>Financement général des communes</w:t>
      </w:r>
      <w:bookmarkEnd w:id="1436"/>
    </w:p>
    <w:p w14:paraId="1A0B7587" w14:textId="77777777" w:rsidR="00B92378" w:rsidRDefault="004A2669" w:rsidP="004A2669">
      <w:pPr>
        <w:jc w:val="both"/>
      </w:pPr>
      <w:r w:rsidRPr="001E1353">
        <w:t xml:space="preserve">Dans le cadre du financement général, c’est-à-dire du financement libre de toute affectation, les communes bénéficient de plusieurs dotations ou compensations octroyées par la Région wallonne ou le Fédéral. </w:t>
      </w:r>
    </w:p>
    <w:p w14:paraId="4DEBCBAD" w14:textId="77777777" w:rsidR="007A5706" w:rsidRDefault="007A5706" w:rsidP="004A2669">
      <w:pPr>
        <w:jc w:val="both"/>
      </w:pPr>
    </w:p>
    <w:p w14:paraId="44A87C68" w14:textId="02E2393D" w:rsidR="004A2669" w:rsidRDefault="004A2669" w:rsidP="004A2669">
      <w:pPr>
        <w:jc w:val="both"/>
      </w:pPr>
      <w:r w:rsidRPr="001E1353">
        <w:t>Le tableau suivant reprend les informations relatives à la comptabilisation des prévisions qui sont communiquées par les diverses administrations régionales ou fédérales. J’insiste pour que les articles budgétaires renseignés soient scrupuleusement respectés.</w:t>
      </w:r>
    </w:p>
    <w:p w14:paraId="3BBA7E40" w14:textId="5912E49F" w:rsidR="00ED2CF5" w:rsidRDefault="00ED2CF5" w:rsidP="004A2669">
      <w:pPr>
        <w:jc w:val="both"/>
      </w:pPr>
    </w:p>
    <w:tbl>
      <w:tblPr>
        <w:tblStyle w:val="Grilledutableau"/>
        <w:tblW w:w="0" w:type="auto"/>
        <w:jc w:val="center"/>
        <w:tblLook w:val="04A0" w:firstRow="1" w:lastRow="0" w:firstColumn="1" w:lastColumn="0" w:noHBand="0" w:noVBand="1"/>
      </w:tblPr>
      <w:tblGrid>
        <w:gridCol w:w="1555"/>
        <w:gridCol w:w="4252"/>
        <w:gridCol w:w="3255"/>
      </w:tblGrid>
      <w:tr w:rsidR="004A2669" w:rsidRPr="008C5E39" w14:paraId="2D333326" w14:textId="77777777" w:rsidTr="00576EF5">
        <w:trPr>
          <w:jc w:val="center"/>
        </w:trPr>
        <w:tc>
          <w:tcPr>
            <w:tcW w:w="1555" w:type="dxa"/>
            <w:shd w:val="clear" w:color="auto" w:fill="auto"/>
            <w:vAlign w:val="center"/>
          </w:tcPr>
          <w:p w14:paraId="41B3425B" w14:textId="77777777" w:rsidR="004A2669" w:rsidRPr="008C5E39" w:rsidRDefault="004A2669" w:rsidP="00E063FD">
            <w:pPr>
              <w:jc w:val="center"/>
              <w:rPr>
                <w:rFonts w:asciiTheme="minorHAnsi" w:hAnsiTheme="minorHAnsi" w:cstheme="minorHAnsi"/>
                <w:b/>
                <w:sz w:val="22"/>
                <w:szCs w:val="22"/>
              </w:rPr>
            </w:pPr>
            <w:r w:rsidRPr="008C5E39">
              <w:rPr>
                <w:rFonts w:asciiTheme="minorHAnsi" w:hAnsiTheme="minorHAnsi" w:cstheme="minorHAnsi"/>
                <w:b/>
                <w:sz w:val="22"/>
                <w:szCs w:val="22"/>
              </w:rPr>
              <w:t>Article budgétaire</w:t>
            </w:r>
          </w:p>
        </w:tc>
        <w:tc>
          <w:tcPr>
            <w:tcW w:w="4252" w:type="dxa"/>
            <w:shd w:val="clear" w:color="auto" w:fill="auto"/>
            <w:vAlign w:val="center"/>
          </w:tcPr>
          <w:p w14:paraId="15057301" w14:textId="77777777" w:rsidR="004A2669" w:rsidRPr="008C5E39" w:rsidRDefault="004A2669" w:rsidP="00E063FD">
            <w:pPr>
              <w:jc w:val="center"/>
              <w:rPr>
                <w:rFonts w:asciiTheme="minorHAnsi" w:hAnsiTheme="minorHAnsi" w:cstheme="minorHAnsi"/>
                <w:b/>
                <w:sz w:val="22"/>
                <w:szCs w:val="22"/>
              </w:rPr>
            </w:pPr>
            <w:r w:rsidRPr="008C5E39">
              <w:rPr>
                <w:rFonts w:asciiTheme="minorHAnsi" w:hAnsiTheme="minorHAnsi" w:cstheme="minorHAnsi"/>
                <w:b/>
                <w:sz w:val="22"/>
                <w:szCs w:val="22"/>
              </w:rPr>
              <w:t>Libellé</w:t>
            </w:r>
          </w:p>
        </w:tc>
        <w:tc>
          <w:tcPr>
            <w:tcW w:w="3255" w:type="dxa"/>
            <w:shd w:val="clear" w:color="auto" w:fill="auto"/>
            <w:vAlign w:val="center"/>
          </w:tcPr>
          <w:p w14:paraId="0D19ADF4" w14:textId="77777777" w:rsidR="004A2669" w:rsidRPr="008C5E39" w:rsidRDefault="004A2669" w:rsidP="00E063FD">
            <w:pPr>
              <w:jc w:val="center"/>
              <w:rPr>
                <w:rFonts w:asciiTheme="minorHAnsi" w:hAnsiTheme="minorHAnsi" w:cstheme="minorHAnsi"/>
                <w:b/>
                <w:sz w:val="22"/>
                <w:szCs w:val="22"/>
              </w:rPr>
            </w:pPr>
            <w:r w:rsidRPr="008C5E39">
              <w:rPr>
                <w:rFonts w:asciiTheme="minorHAnsi" w:hAnsiTheme="minorHAnsi" w:cstheme="minorHAnsi"/>
                <w:b/>
                <w:sz w:val="22"/>
                <w:szCs w:val="22"/>
              </w:rPr>
              <w:t>Prévision budgétaire</w:t>
            </w:r>
          </w:p>
        </w:tc>
      </w:tr>
      <w:tr w:rsidR="00FB4FD5" w:rsidRPr="008C5E39" w14:paraId="47E22830" w14:textId="77777777" w:rsidTr="00576EF5">
        <w:tblPrEx>
          <w:jc w:val="left"/>
        </w:tblPrEx>
        <w:tc>
          <w:tcPr>
            <w:tcW w:w="1555" w:type="dxa"/>
            <w:shd w:val="clear" w:color="auto" w:fill="auto"/>
            <w:vAlign w:val="center"/>
          </w:tcPr>
          <w:p w14:paraId="744F96CA" w14:textId="77777777" w:rsidR="00FB4FD5" w:rsidRPr="008C5E39" w:rsidRDefault="00FB4FD5" w:rsidP="00B225DE">
            <w:pPr>
              <w:jc w:val="center"/>
              <w:rPr>
                <w:rFonts w:asciiTheme="minorHAnsi" w:hAnsiTheme="minorHAnsi" w:cstheme="minorHAnsi"/>
                <w:sz w:val="22"/>
                <w:szCs w:val="22"/>
              </w:rPr>
            </w:pPr>
            <w:r w:rsidRPr="008C5E39">
              <w:rPr>
                <w:rFonts w:asciiTheme="minorHAnsi" w:hAnsiTheme="minorHAnsi" w:cstheme="minorHAnsi"/>
                <w:sz w:val="22"/>
                <w:szCs w:val="22"/>
              </w:rPr>
              <w:t>00010/466-48</w:t>
            </w:r>
          </w:p>
        </w:tc>
        <w:tc>
          <w:tcPr>
            <w:tcW w:w="4252" w:type="dxa"/>
            <w:shd w:val="clear" w:color="auto" w:fill="auto"/>
            <w:vAlign w:val="center"/>
          </w:tcPr>
          <w:p w14:paraId="2C58C469" w14:textId="77777777" w:rsidR="00FB4FD5" w:rsidRPr="008C5E39" w:rsidRDefault="00FB4FD5" w:rsidP="00B225DE">
            <w:pPr>
              <w:rPr>
                <w:rFonts w:asciiTheme="minorHAnsi" w:hAnsiTheme="minorHAnsi" w:cstheme="minorHAnsi"/>
                <w:sz w:val="22"/>
                <w:szCs w:val="22"/>
              </w:rPr>
            </w:pPr>
            <w:r w:rsidRPr="008C5E39">
              <w:rPr>
                <w:rFonts w:asciiTheme="minorHAnsi" w:hAnsiTheme="minorHAnsi" w:cstheme="minorHAnsi"/>
                <w:sz w:val="22"/>
                <w:szCs w:val="22"/>
              </w:rPr>
              <w:t>Compensation travailleurs frontaliers luxembourgeois</w:t>
            </w:r>
          </w:p>
        </w:tc>
        <w:tc>
          <w:tcPr>
            <w:tcW w:w="3255" w:type="dxa"/>
            <w:shd w:val="clear" w:color="auto" w:fill="auto"/>
            <w:vAlign w:val="center"/>
          </w:tcPr>
          <w:p w14:paraId="6473C1E4" w14:textId="77777777" w:rsidR="00FB4FD5" w:rsidRPr="008C5E39" w:rsidRDefault="00FB4FD5" w:rsidP="00B225DE">
            <w:pPr>
              <w:rPr>
                <w:rFonts w:asciiTheme="minorHAnsi" w:hAnsiTheme="minorHAnsi" w:cstheme="minorHAnsi"/>
                <w:sz w:val="22"/>
                <w:szCs w:val="22"/>
              </w:rPr>
            </w:pPr>
            <w:r w:rsidRPr="008C5E39">
              <w:rPr>
                <w:rFonts w:asciiTheme="minorHAnsi" w:hAnsiTheme="minorHAnsi" w:cstheme="minorHAnsi"/>
                <w:sz w:val="22"/>
                <w:szCs w:val="22"/>
              </w:rPr>
              <w:t>La prévision correspondra au dernier montant communiqué par le SPF Finances.</w:t>
            </w:r>
          </w:p>
        </w:tc>
      </w:tr>
      <w:tr w:rsidR="004A2669" w:rsidRPr="008C5E39" w14:paraId="373D7CAD" w14:textId="77777777" w:rsidTr="00576EF5">
        <w:trPr>
          <w:jc w:val="center"/>
        </w:trPr>
        <w:tc>
          <w:tcPr>
            <w:tcW w:w="1555" w:type="dxa"/>
            <w:shd w:val="clear" w:color="auto" w:fill="auto"/>
            <w:vAlign w:val="center"/>
          </w:tcPr>
          <w:p w14:paraId="203DF38D" w14:textId="77777777" w:rsidR="004A2669" w:rsidRPr="008C5E39" w:rsidRDefault="004A2669" w:rsidP="00B225DE">
            <w:pPr>
              <w:jc w:val="center"/>
              <w:rPr>
                <w:rFonts w:asciiTheme="minorHAnsi" w:hAnsiTheme="minorHAnsi" w:cstheme="minorHAnsi"/>
                <w:sz w:val="22"/>
                <w:szCs w:val="22"/>
              </w:rPr>
            </w:pPr>
            <w:r w:rsidRPr="008C5E39">
              <w:rPr>
                <w:rFonts w:asciiTheme="minorHAnsi" w:hAnsiTheme="minorHAnsi" w:cstheme="minorHAnsi"/>
                <w:sz w:val="22"/>
                <w:szCs w:val="22"/>
              </w:rPr>
              <w:t>021/466-01</w:t>
            </w:r>
          </w:p>
        </w:tc>
        <w:tc>
          <w:tcPr>
            <w:tcW w:w="4252" w:type="dxa"/>
            <w:shd w:val="clear" w:color="auto" w:fill="auto"/>
            <w:vAlign w:val="center"/>
          </w:tcPr>
          <w:p w14:paraId="03B52B4A" w14:textId="77777777" w:rsidR="004A2669" w:rsidRPr="008C5E39" w:rsidRDefault="004A2669" w:rsidP="00B225DE">
            <w:pPr>
              <w:rPr>
                <w:rFonts w:asciiTheme="minorHAnsi" w:hAnsiTheme="minorHAnsi" w:cstheme="minorHAnsi"/>
                <w:sz w:val="22"/>
                <w:szCs w:val="22"/>
              </w:rPr>
            </w:pPr>
            <w:r w:rsidRPr="008C5E39">
              <w:rPr>
                <w:rFonts w:asciiTheme="minorHAnsi" w:hAnsiTheme="minorHAnsi" w:cstheme="minorHAnsi"/>
                <w:sz w:val="22"/>
                <w:szCs w:val="22"/>
              </w:rPr>
              <w:t>Dotation générale au fonds des communes</w:t>
            </w:r>
          </w:p>
        </w:tc>
        <w:tc>
          <w:tcPr>
            <w:tcW w:w="3255" w:type="dxa"/>
            <w:shd w:val="clear" w:color="auto" w:fill="auto"/>
            <w:vAlign w:val="center"/>
          </w:tcPr>
          <w:p w14:paraId="584A58CC" w14:textId="06DFC98D" w:rsidR="004A2669" w:rsidRPr="008C5E39" w:rsidRDefault="004A2669" w:rsidP="00B225DE">
            <w:pPr>
              <w:rPr>
                <w:rFonts w:asciiTheme="minorHAnsi" w:hAnsiTheme="minorHAnsi" w:cstheme="minorHAnsi"/>
                <w:sz w:val="22"/>
                <w:szCs w:val="22"/>
              </w:rPr>
            </w:pPr>
            <w:r w:rsidRPr="008C5E39">
              <w:rPr>
                <w:rFonts w:asciiTheme="minorHAnsi" w:hAnsiTheme="minorHAnsi" w:cstheme="minorHAnsi"/>
                <w:sz w:val="22"/>
                <w:szCs w:val="22"/>
              </w:rPr>
              <w:t xml:space="preserve">La prévision sera calculée sur la base des dernières statistiques disponibles et vous sera communiquée par courrier de la </w:t>
            </w:r>
            <w:r w:rsidR="00C65221" w:rsidRPr="008C5E39">
              <w:rPr>
                <w:rFonts w:asciiTheme="minorHAnsi" w:hAnsiTheme="minorHAnsi" w:cstheme="minorHAnsi"/>
                <w:sz w:val="22"/>
                <w:szCs w:val="22"/>
              </w:rPr>
              <w:t xml:space="preserve">SPW </w:t>
            </w:r>
            <w:r w:rsidR="00B32427" w:rsidRPr="008C5E39">
              <w:rPr>
                <w:rFonts w:asciiTheme="minorHAnsi" w:hAnsiTheme="minorHAnsi" w:cstheme="minorHAnsi"/>
                <w:sz w:val="22"/>
                <w:szCs w:val="22"/>
              </w:rPr>
              <w:t>Intérieur et Action sociale</w:t>
            </w:r>
            <w:r w:rsidR="00ED2CF5" w:rsidRPr="008C5E39">
              <w:rPr>
                <w:rFonts w:asciiTheme="minorHAnsi" w:hAnsiTheme="minorHAnsi" w:cstheme="minorHAnsi"/>
                <w:sz w:val="22"/>
                <w:szCs w:val="22"/>
              </w:rPr>
              <w:t>.</w:t>
            </w:r>
            <w:r w:rsidR="00B32427" w:rsidRPr="008C5E39">
              <w:rPr>
                <w:rFonts w:asciiTheme="minorHAnsi" w:hAnsiTheme="minorHAnsi" w:cstheme="minorHAnsi"/>
                <w:sz w:val="22"/>
                <w:szCs w:val="22"/>
              </w:rPr>
              <w:t xml:space="preserve"> </w:t>
            </w:r>
          </w:p>
        </w:tc>
      </w:tr>
      <w:tr w:rsidR="00B32427" w:rsidRPr="008C5E39" w14:paraId="0892C1BB" w14:textId="77777777" w:rsidTr="00576EF5">
        <w:trPr>
          <w:jc w:val="center"/>
        </w:trPr>
        <w:tc>
          <w:tcPr>
            <w:tcW w:w="1555" w:type="dxa"/>
            <w:shd w:val="clear" w:color="auto" w:fill="auto"/>
            <w:vAlign w:val="center"/>
          </w:tcPr>
          <w:p w14:paraId="4CE4C845" w14:textId="77777777" w:rsidR="00B32427" w:rsidRPr="008C5E39" w:rsidRDefault="00B32427" w:rsidP="00B225DE">
            <w:pPr>
              <w:jc w:val="center"/>
              <w:rPr>
                <w:rFonts w:asciiTheme="minorHAnsi" w:hAnsiTheme="minorHAnsi" w:cstheme="minorHAnsi"/>
                <w:sz w:val="22"/>
                <w:szCs w:val="22"/>
              </w:rPr>
            </w:pPr>
          </w:p>
          <w:p w14:paraId="7FE3ED95" w14:textId="77777777" w:rsidR="00B32427" w:rsidRPr="008C5E39" w:rsidRDefault="00B32427" w:rsidP="00B225DE">
            <w:pPr>
              <w:jc w:val="center"/>
              <w:rPr>
                <w:rFonts w:asciiTheme="minorHAnsi" w:hAnsiTheme="minorHAnsi" w:cstheme="minorHAnsi"/>
                <w:sz w:val="22"/>
                <w:szCs w:val="22"/>
              </w:rPr>
            </w:pPr>
            <w:r w:rsidRPr="008C5E39">
              <w:rPr>
                <w:rFonts w:asciiTheme="minorHAnsi" w:hAnsiTheme="minorHAnsi" w:cstheme="minorHAnsi"/>
                <w:sz w:val="22"/>
                <w:szCs w:val="22"/>
              </w:rPr>
              <w:t>02110/466-01</w:t>
            </w:r>
          </w:p>
          <w:p w14:paraId="661E6A42" w14:textId="77777777" w:rsidR="00B32427" w:rsidRPr="008C5E39" w:rsidRDefault="00B32427" w:rsidP="00B225DE">
            <w:pPr>
              <w:jc w:val="center"/>
              <w:rPr>
                <w:rFonts w:asciiTheme="minorHAnsi" w:hAnsiTheme="minorHAnsi" w:cstheme="minorHAnsi"/>
                <w:sz w:val="22"/>
                <w:szCs w:val="22"/>
              </w:rPr>
            </w:pPr>
          </w:p>
        </w:tc>
        <w:tc>
          <w:tcPr>
            <w:tcW w:w="4252" w:type="dxa"/>
            <w:shd w:val="clear" w:color="auto" w:fill="auto"/>
            <w:vAlign w:val="center"/>
          </w:tcPr>
          <w:p w14:paraId="37DF4D01" w14:textId="77777777" w:rsidR="00B32427" w:rsidRPr="008C5E39" w:rsidRDefault="00B32427" w:rsidP="00B225DE">
            <w:pPr>
              <w:rPr>
                <w:rFonts w:asciiTheme="minorHAnsi" w:hAnsiTheme="minorHAnsi" w:cstheme="minorHAnsi"/>
                <w:sz w:val="22"/>
                <w:szCs w:val="22"/>
              </w:rPr>
            </w:pPr>
            <w:r w:rsidRPr="008C5E39">
              <w:rPr>
                <w:rFonts w:asciiTheme="minorHAnsi" w:hAnsiTheme="minorHAnsi" w:cstheme="minorHAnsi"/>
                <w:sz w:val="22"/>
                <w:szCs w:val="22"/>
              </w:rPr>
              <w:t>Dotation complémentaire au fonds des communes</w:t>
            </w:r>
          </w:p>
        </w:tc>
        <w:tc>
          <w:tcPr>
            <w:tcW w:w="3255" w:type="dxa"/>
            <w:shd w:val="clear" w:color="auto" w:fill="auto"/>
            <w:vAlign w:val="center"/>
          </w:tcPr>
          <w:p w14:paraId="0C99EFD7" w14:textId="2144C59D" w:rsidR="00B32427" w:rsidRPr="008C5E39" w:rsidRDefault="00AE30C8" w:rsidP="00B225DE">
            <w:pPr>
              <w:rPr>
                <w:rFonts w:asciiTheme="minorHAnsi" w:hAnsiTheme="minorHAnsi" w:cstheme="minorHAnsi"/>
                <w:sz w:val="22"/>
                <w:szCs w:val="22"/>
              </w:rPr>
            </w:pPr>
            <w:r w:rsidRPr="008C5E39">
              <w:rPr>
                <w:rFonts w:asciiTheme="minorHAnsi" w:hAnsiTheme="minorHAnsi" w:cstheme="minorHAnsi"/>
                <w:sz w:val="22"/>
                <w:szCs w:val="22"/>
              </w:rPr>
              <w:t>La prévision sera calculée sur la base des dernières statistiques disponibles et vous sera communiquée par courrier d</w:t>
            </w:r>
            <w:r w:rsidR="00426AB3" w:rsidRPr="008C5E39">
              <w:rPr>
                <w:rFonts w:asciiTheme="minorHAnsi" w:hAnsiTheme="minorHAnsi" w:cstheme="minorHAnsi"/>
                <w:sz w:val="22"/>
                <w:szCs w:val="22"/>
              </w:rPr>
              <w:t>u SPW</w:t>
            </w:r>
            <w:r w:rsidRPr="008C5E39">
              <w:rPr>
                <w:rFonts w:asciiTheme="minorHAnsi" w:hAnsiTheme="minorHAnsi" w:cstheme="minorHAnsi"/>
                <w:sz w:val="22"/>
                <w:szCs w:val="22"/>
              </w:rPr>
              <w:t xml:space="preserve"> Intérieur et Action sociale</w:t>
            </w:r>
            <w:r w:rsidR="00ED2CF5" w:rsidRPr="008C5E39">
              <w:rPr>
                <w:rFonts w:asciiTheme="minorHAnsi" w:hAnsiTheme="minorHAnsi" w:cstheme="minorHAnsi"/>
                <w:sz w:val="22"/>
                <w:szCs w:val="22"/>
              </w:rPr>
              <w:t>.</w:t>
            </w:r>
          </w:p>
        </w:tc>
      </w:tr>
      <w:tr w:rsidR="00FB4FD5" w:rsidRPr="008C5E39" w14:paraId="6918312A" w14:textId="77777777" w:rsidTr="00576EF5">
        <w:trPr>
          <w:jc w:val="center"/>
        </w:trPr>
        <w:tc>
          <w:tcPr>
            <w:tcW w:w="1555" w:type="dxa"/>
            <w:shd w:val="clear" w:color="auto" w:fill="auto"/>
            <w:vAlign w:val="center"/>
          </w:tcPr>
          <w:p w14:paraId="400B0598" w14:textId="77777777" w:rsidR="00FB4FD5" w:rsidRPr="008C5E39" w:rsidRDefault="00FB4FD5" w:rsidP="00B225DE">
            <w:pPr>
              <w:jc w:val="center"/>
              <w:rPr>
                <w:rFonts w:asciiTheme="minorHAnsi" w:hAnsiTheme="minorHAnsi" w:cstheme="minorHAnsi"/>
                <w:sz w:val="22"/>
                <w:szCs w:val="22"/>
              </w:rPr>
            </w:pPr>
            <w:r w:rsidRPr="008C5E39">
              <w:rPr>
                <w:rFonts w:asciiTheme="minorHAnsi" w:hAnsiTheme="minorHAnsi" w:cstheme="minorHAnsi"/>
                <w:sz w:val="22"/>
                <w:szCs w:val="22"/>
              </w:rPr>
              <w:t>025/466-09</w:t>
            </w:r>
          </w:p>
        </w:tc>
        <w:tc>
          <w:tcPr>
            <w:tcW w:w="4252" w:type="dxa"/>
            <w:shd w:val="clear" w:color="auto" w:fill="auto"/>
            <w:vAlign w:val="center"/>
          </w:tcPr>
          <w:p w14:paraId="01E26B8B" w14:textId="77777777" w:rsidR="00FB4FD5" w:rsidRPr="008C5E39" w:rsidRDefault="00FB4FD5" w:rsidP="00046E7D">
            <w:pPr>
              <w:rPr>
                <w:rFonts w:asciiTheme="minorHAnsi" w:hAnsiTheme="minorHAnsi" w:cstheme="minorHAnsi"/>
                <w:sz w:val="22"/>
                <w:szCs w:val="22"/>
              </w:rPr>
            </w:pPr>
            <w:r w:rsidRPr="008C5E39">
              <w:rPr>
                <w:rFonts w:asciiTheme="minorHAnsi" w:hAnsiTheme="minorHAnsi" w:cstheme="minorHAnsi"/>
                <w:sz w:val="22"/>
                <w:szCs w:val="22"/>
              </w:rPr>
              <w:t>Compensation main morte</w:t>
            </w:r>
          </w:p>
        </w:tc>
        <w:tc>
          <w:tcPr>
            <w:tcW w:w="3255" w:type="dxa"/>
            <w:shd w:val="clear" w:color="auto" w:fill="auto"/>
            <w:vAlign w:val="center"/>
          </w:tcPr>
          <w:p w14:paraId="6644665F" w14:textId="77777777" w:rsidR="00FB4FD5" w:rsidRPr="008C5E39" w:rsidRDefault="00FB4FD5" w:rsidP="00046E7D">
            <w:pPr>
              <w:rPr>
                <w:rFonts w:asciiTheme="minorHAnsi" w:hAnsiTheme="minorHAnsi" w:cstheme="minorHAnsi"/>
                <w:sz w:val="22"/>
                <w:szCs w:val="22"/>
              </w:rPr>
            </w:pPr>
            <w:r w:rsidRPr="008C5E39">
              <w:rPr>
                <w:rFonts w:asciiTheme="minorHAnsi" w:hAnsiTheme="minorHAnsi" w:cstheme="minorHAnsi"/>
                <w:sz w:val="22"/>
                <w:szCs w:val="22"/>
              </w:rPr>
              <w:t>La prévision correspondra au dernier montant communiqué par le SPF Finances.</w:t>
            </w:r>
          </w:p>
        </w:tc>
      </w:tr>
      <w:tr w:rsidR="00FB4FD5" w:rsidRPr="008C5E39" w14:paraId="284B4F3A" w14:textId="77777777" w:rsidTr="00576EF5">
        <w:trPr>
          <w:jc w:val="center"/>
        </w:trPr>
        <w:tc>
          <w:tcPr>
            <w:tcW w:w="1555" w:type="dxa"/>
            <w:shd w:val="clear" w:color="auto" w:fill="auto"/>
            <w:vAlign w:val="center"/>
          </w:tcPr>
          <w:p w14:paraId="620A73E9" w14:textId="77777777" w:rsidR="00FB4FD5" w:rsidRPr="008C5E39" w:rsidRDefault="00FB4FD5" w:rsidP="00046E7D">
            <w:pPr>
              <w:jc w:val="center"/>
              <w:rPr>
                <w:rFonts w:asciiTheme="minorHAnsi" w:hAnsiTheme="minorHAnsi" w:cstheme="minorHAnsi"/>
                <w:sz w:val="22"/>
                <w:szCs w:val="22"/>
              </w:rPr>
            </w:pPr>
            <w:r w:rsidRPr="008C5E39">
              <w:rPr>
                <w:rFonts w:asciiTheme="minorHAnsi" w:hAnsiTheme="minorHAnsi" w:cstheme="minorHAnsi"/>
                <w:sz w:val="22"/>
                <w:szCs w:val="22"/>
              </w:rPr>
              <w:t>02510/466-09</w:t>
            </w:r>
          </w:p>
        </w:tc>
        <w:tc>
          <w:tcPr>
            <w:tcW w:w="4252" w:type="dxa"/>
            <w:shd w:val="clear" w:color="auto" w:fill="auto"/>
            <w:vAlign w:val="center"/>
          </w:tcPr>
          <w:p w14:paraId="460D9932" w14:textId="77777777" w:rsidR="00FB4FD5" w:rsidRPr="008C5E39" w:rsidRDefault="00FB4FD5" w:rsidP="00046E7D">
            <w:pPr>
              <w:rPr>
                <w:rFonts w:asciiTheme="minorHAnsi" w:hAnsiTheme="minorHAnsi" w:cstheme="minorHAnsi"/>
                <w:sz w:val="22"/>
                <w:szCs w:val="22"/>
              </w:rPr>
            </w:pPr>
            <w:r w:rsidRPr="008C5E39">
              <w:rPr>
                <w:rFonts w:asciiTheme="minorHAnsi" w:hAnsiTheme="minorHAnsi" w:cstheme="minorHAnsi"/>
                <w:sz w:val="22"/>
                <w:szCs w:val="22"/>
              </w:rPr>
              <w:t>Compensation liée à la forfaitarisation des réductions du précompte immobilier pour enfants et personnes à charge</w:t>
            </w:r>
          </w:p>
        </w:tc>
        <w:tc>
          <w:tcPr>
            <w:tcW w:w="3255" w:type="dxa"/>
            <w:shd w:val="clear" w:color="auto" w:fill="auto"/>
            <w:vAlign w:val="center"/>
          </w:tcPr>
          <w:p w14:paraId="12BAEE0E" w14:textId="77777777" w:rsidR="00FB4FD5" w:rsidRPr="008C5E39" w:rsidRDefault="00FB4FD5" w:rsidP="00046E7D">
            <w:pPr>
              <w:rPr>
                <w:rFonts w:asciiTheme="minorHAnsi" w:hAnsiTheme="minorHAnsi" w:cstheme="minorHAnsi"/>
                <w:sz w:val="22"/>
                <w:szCs w:val="22"/>
              </w:rPr>
            </w:pPr>
            <w:r w:rsidRPr="008C5E39">
              <w:rPr>
                <w:rFonts w:asciiTheme="minorHAnsi" w:hAnsiTheme="minorHAnsi" w:cstheme="minorHAnsi"/>
                <w:sz w:val="22"/>
                <w:szCs w:val="22"/>
              </w:rPr>
              <w:t>La prévision vous sera communiquée par courrier du SPW Intérieur et Action sociale du SPW.</w:t>
            </w:r>
          </w:p>
        </w:tc>
      </w:tr>
      <w:tr w:rsidR="00FB4FD5" w:rsidRPr="008C5E39" w14:paraId="4F97DA0E" w14:textId="77777777" w:rsidTr="00576EF5">
        <w:trPr>
          <w:jc w:val="center"/>
        </w:trPr>
        <w:tc>
          <w:tcPr>
            <w:tcW w:w="1555" w:type="dxa"/>
            <w:shd w:val="clear" w:color="auto" w:fill="auto"/>
            <w:vAlign w:val="center"/>
          </w:tcPr>
          <w:p w14:paraId="6AC33520" w14:textId="7688B85A" w:rsidR="00FB4FD5" w:rsidRPr="008C5E39" w:rsidRDefault="00FB4FD5" w:rsidP="00B225DE">
            <w:pPr>
              <w:jc w:val="center"/>
              <w:rPr>
                <w:rFonts w:asciiTheme="minorHAnsi" w:hAnsiTheme="minorHAnsi" w:cstheme="minorHAnsi"/>
                <w:sz w:val="22"/>
                <w:szCs w:val="22"/>
              </w:rPr>
            </w:pPr>
            <w:r w:rsidRPr="008C5E39">
              <w:rPr>
                <w:rFonts w:asciiTheme="minorHAnsi" w:hAnsiTheme="minorHAnsi" w:cstheme="minorHAnsi"/>
                <w:sz w:val="22"/>
                <w:szCs w:val="22"/>
              </w:rPr>
              <w:t>040/371-01</w:t>
            </w:r>
          </w:p>
        </w:tc>
        <w:tc>
          <w:tcPr>
            <w:tcW w:w="4252" w:type="dxa"/>
            <w:shd w:val="clear" w:color="auto" w:fill="auto"/>
            <w:vAlign w:val="center"/>
          </w:tcPr>
          <w:p w14:paraId="5DDA015D" w14:textId="45F1BD9D" w:rsidR="00FB4FD5" w:rsidRPr="008C5E39" w:rsidRDefault="0041061D" w:rsidP="00B225DE">
            <w:pPr>
              <w:rPr>
                <w:rFonts w:asciiTheme="minorHAnsi" w:hAnsiTheme="minorHAnsi" w:cstheme="minorHAnsi"/>
                <w:sz w:val="22"/>
                <w:szCs w:val="22"/>
              </w:rPr>
            </w:pPr>
            <w:r w:rsidRPr="008C5E39">
              <w:rPr>
                <w:rFonts w:asciiTheme="minorHAnsi" w:hAnsiTheme="minorHAnsi" w:cstheme="minorHAnsi"/>
                <w:sz w:val="22"/>
                <w:szCs w:val="22"/>
              </w:rPr>
              <w:t xml:space="preserve">Additionnels au </w:t>
            </w:r>
            <w:proofErr w:type="spellStart"/>
            <w:r w:rsidRPr="008C5E39">
              <w:rPr>
                <w:rFonts w:asciiTheme="minorHAnsi" w:hAnsiTheme="minorHAnsi" w:cstheme="minorHAnsi"/>
                <w:sz w:val="22"/>
                <w:szCs w:val="22"/>
              </w:rPr>
              <w:t>PrI</w:t>
            </w:r>
            <w:proofErr w:type="spellEnd"/>
          </w:p>
        </w:tc>
        <w:tc>
          <w:tcPr>
            <w:tcW w:w="3255" w:type="dxa"/>
            <w:shd w:val="clear" w:color="auto" w:fill="auto"/>
            <w:vAlign w:val="center"/>
          </w:tcPr>
          <w:p w14:paraId="0F73267A" w14:textId="68F35107" w:rsidR="00FB4FD5"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La prévision vous sera communiquée par courrier du SPW Intérieur et Action sociale du SPW.</w:t>
            </w:r>
          </w:p>
        </w:tc>
      </w:tr>
      <w:tr w:rsidR="00254CCB" w:rsidRPr="008C5E39" w14:paraId="0BA0DC5D" w14:textId="77777777" w:rsidTr="00576EF5">
        <w:trPr>
          <w:jc w:val="center"/>
        </w:trPr>
        <w:tc>
          <w:tcPr>
            <w:tcW w:w="1555" w:type="dxa"/>
            <w:shd w:val="clear" w:color="auto" w:fill="auto"/>
            <w:vAlign w:val="center"/>
          </w:tcPr>
          <w:p w14:paraId="250F9FBA" w14:textId="3A4C1240" w:rsidR="00254CCB" w:rsidRPr="008C5E39" w:rsidRDefault="00254CCB" w:rsidP="00B225DE">
            <w:pPr>
              <w:jc w:val="center"/>
              <w:rPr>
                <w:rFonts w:asciiTheme="minorHAnsi" w:hAnsiTheme="minorHAnsi" w:cstheme="minorHAnsi"/>
                <w:sz w:val="22"/>
                <w:szCs w:val="22"/>
              </w:rPr>
            </w:pPr>
            <w:r w:rsidRPr="008C5E39">
              <w:rPr>
                <w:rFonts w:asciiTheme="minorHAnsi" w:hAnsiTheme="minorHAnsi" w:cstheme="minorHAnsi"/>
                <w:sz w:val="22"/>
                <w:szCs w:val="22"/>
              </w:rPr>
              <w:t>040/372-01</w:t>
            </w:r>
          </w:p>
        </w:tc>
        <w:tc>
          <w:tcPr>
            <w:tcW w:w="4252" w:type="dxa"/>
            <w:shd w:val="clear" w:color="auto" w:fill="auto"/>
            <w:vAlign w:val="center"/>
          </w:tcPr>
          <w:p w14:paraId="636F58BE" w14:textId="01B327E3" w:rsidR="00254CCB"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Additionnels à l’IPP</w:t>
            </w:r>
          </w:p>
        </w:tc>
        <w:tc>
          <w:tcPr>
            <w:tcW w:w="3255" w:type="dxa"/>
            <w:shd w:val="clear" w:color="auto" w:fill="auto"/>
            <w:vAlign w:val="center"/>
          </w:tcPr>
          <w:p w14:paraId="41AC5760" w14:textId="12F85F33" w:rsidR="00254CCB"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La prévision correspondra au dernier montant communiqué par le SPF Finances.</w:t>
            </w:r>
          </w:p>
        </w:tc>
      </w:tr>
      <w:tr w:rsidR="00254CCB" w:rsidRPr="008C5E39" w14:paraId="56533A57" w14:textId="77777777" w:rsidTr="00576EF5">
        <w:trPr>
          <w:jc w:val="center"/>
        </w:trPr>
        <w:tc>
          <w:tcPr>
            <w:tcW w:w="1555" w:type="dxa"/>
            <w:shd w:val="clear" w:color="auto" w:fill="auto"/>
            <w:vAlign w:val="center"/>
          </w:tcPr>
          <w:p w14:paraId="011EE660" w14:textId="77777777" w:rsidR="00254CCB" w:rsidRPr="008C5E39" w:rsidRDefault="00254CCB" w:rsidP="00B225DE">
            <w:pPr>
              <w:jc w:val="center"/>
              <w:rPr>
                <w:rFonts w:asciiTheme="minorHAnsi" w:hAnsiTheme="minorHAnsi" w:cstheme="minorHAnsi"/>
                <w:sz w:val="22"/>
                <w:szCs w:val="22"/>
              </w:rPr>
            </w:pPr>
            <w:r w:rsidRPr="008C5E39">
              <w:rPr>
                <w:rFonts w:asciiTheme="minorHAnsi" w:hAnsiTheme="minorHAnsi" w:cstheme="minorHAnsi"/>
                <w:sz w:val="22"/>
                <w:szCs w:val="22"/>
              </w:rPr>
              <w:t>04020/465-48</w:t>
            </w:r>
          </w:p>
        </w:tc>
        <w:tc>
          <w:tcPr>
            <w:tcW w:w="4252" w:type="dxa"/>
            <w:shd w:val="clear" w:color="auto" w:fill="auto"/>
            <w:vAlign w:val="center"/>
          </w:tcPr>
          <w:p w14:paraId="19789046" w14:textId="77777777" w:rsidR="00254CCB"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Complément régional (compensation Plan Marshall)</w:t>
            </w:r>
          </w:p>
        </w:tc>
        <w:tc>
          <w:tcPr>
            <w:tcW w:w="3255" w:type="dxa"/>
            <w:shd w:val="clear" w:color="auto" w:fill="auto"/>
            <w:vAlign w:val="center"/>
          </w:tcPr>
          <w:p w14:paraId="41438507" w14:textId="0A6F68B1" w:rsidR="00254CCB"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La prévision vous sera communiquée par courrier du SPW Intérieur et Action sociale.</w:t>
            </w:r>
          </w:p>
        </w:tc>
      </w:tr>
      <w:tr w:rsidR="00254CCB" w:rsidRPr="008C5E39" w14:paraId="360A9489" w14:textId="77777777" w:rsidTr="00576EF5">
        <w:trPr>
          <w:jc w:val="center"/>
        </w:trPr>
        <w:tc>
          <w:tcPr>
            <w:tcW w:w="1555" w:type="dxa"/>
            <w:shd w:val="clear" w:color="auto" w:fill="auto"/>
            <w:vAlign w:val="center"/>
          </w:tcPr>
          <w:p w14:paraId="1AC5F139" w14:textId="77777777" w:rsidR="00254CCB" w:rsidRPr="008C5E39" w:rsidRDefault="00254CCB" w:rsidP="00B225DE">
            <w:pPr>
              <w:jc w:val="center"/>
              <w:rPr>
                <w:rFonts w:asciiTheme="minorHAnsi" w:hAnsiTheme="minorHAnsi" w:cstheme="minorHAnsi"/>
                <w:sz w:val="22"/>
                <w:szCs w:val="22"/>
              </w:rPr>
            </w:pPr>
            <w:r w:rsidRPr="008C5E39">
              <w:rPr>
                <w:rFonts w:asciiTheme="minorHAnsi" w:hAnsiTheme="minorHAnsi" w:cstheme="minorHAnsi"/>
                <w:sz w:val="22"/>
                <w:szCs w:val="22"/>
              </w:rPr>
              <w:t>04030/465-48</w:t>
            </w:r>
          </w:p>
        </w:tc>
        <w:tc>
          <w:tcPr>
            <w:tcW w:w="4252" w:type="dxa"/>
            <w:shd w:val="clear" w:color="auto" w:fill="auto"/>
            <w:vAlign w:val="center"/>
          </w:tcPr>
          <w:p w14:paraId="36C3D85F" w14:textId="77777777" w:rsidR="00254CCB"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Compensation Natura 2000</w:t>
            </w:r>
          </w:p>
        </w:tc>
        <w:tc>
          <w:tcPr>
            <w:tcW w:w="3255" w:type="dxa"/>
            <w:shd w:val="clear" w:color="auto" w:fill="auto"/>
            <w:vAlign w:val="center"/>
          </w:tcPr>
          <w:p w14:paraId="125084FD" w14:textId="56A2E7E9" w:rsidR="00254CCB" w:rsidRPr="008C5E39" w:rsidRDefault="00254CCB" w:rsidP="00B225DE">
            <w:pPr>
              <w:rPr>
                <w:rFonts w:asciiTheme="minorHAnsi" w:hAnsiTheme="minorHAnsi" w:cstheme="minorHAnsi"/>
                <w:sz w:val="22"/>
                <w:szCs w:val="22"/>
              </w:rPr>
            </w:pPr>
            <w:r w:rsidRPr="008C5E39">
              <w:rPr>
                <w:rFonts w:asciiTheme="minorHAnsi" w:hAnsiTheme="minorHAnsi" w:cstheme="minorHAnsi"/>
                <w:sz w:val="22"/>
                <w:szCs w:val="22"/>
              </w:rPr>
              <w:t>La prévision correspondra au dernier montant communiqué par le SPW Agriculture, Ressources naturelles et Environnement.</w:t>
            </w:r>
          </w:p>
        </w:tc>
      </w:tr>
    </w:tbl>
    <w:p w14:paraId="28E8E308" w14:textId="77777777" w:rsidR="004A2669" w:rsidRPr="001E1353" w:rsidRDefault="004A2669" w:rsidP="006843B9">
      <w:pPr>
        <w:pStyle w:val="Sam2"/>
        <w:spacing w:before="480"/>
      </w:pPr>
      <w:bookmarkStart w:id="1437" w:name="_Toc512520196"/>
      <w:bookmarkStart w:id="1438" w:name="_Toc512520327"/>
      <w:bookmarkStart w:id="1439" w:name="_Toc512520459"/>
      <w:bookmarkStart w:id="1440" w:name="_Toc512520590"/>
      <w:bookmarkStart w:id="1441" w:name="_Toc512520721"/>
      <w:bookmarkStart w:id="1442" w:name="_Toc512520852"/>
      <w:bookmarkStart w:id="1443" w:name="_Toc512520983"/>
      <w:bookmarkStart w:id="1444" w:name="_Toc512606781"/>
      <w:bookmarkStart w:id="1445" w:name="_Toc512606916"/>
      <w:bookmarkStart w:id="1446" w:name="_Toc512607051"/>
      <w:bookmarkStart w:id="1447" w:name="_Toc515355849"/>
      <w:bookmarkStart w:id="1448" w:name="_Toc515355986"/>
      <w:bookmarkStart w:id="1449" w:name="_Toc515360396"/>
      <w:bookmarkStart w:id="1450" w:name="_Toc515974992"/>
      <w:bookmarkStart w:id="1451" w:name="_Toc515978500"/>
      <w:bookmarkStart w:id="1452" w:name="_Toc516058884"/>
      <w:bookmarkStart w:id="1453" w:name="_Toc516059026"/>
      <w:bookmarkStart w:id="1454" w:name="_Toc516227750"/>
      <w:bookmarkStart w:id="1455" w:name="_Toc516229563"/>
      <w:bookmarkStart w:id="1456" w:name="_Toc516229858"/>
      <w:bookmarkStart w:id="1457" w:name="_Toc516230153"/>
      <w:bookmarkStart w:id="1458" w:name="_Toc516230448"/>
      <w:bookmarkStart w:id="1459" w:name="_Toc516230742"/>
      <w:bookmarkStart w:id="1460" w:name="_Toc516231036"/>
      <w:bookmarkStart w:id="1461" w:name="_Toc516231331"/>
      <w:bookmarkStart w:id="1462" w:name="_Toc516231627"/>
      <w:bookmarkStart w:id="1463" w:name="_Toc516242720"/>
      <w:bookmarkStart w:id="1464" w:name="_Toc516243023"/>
      <w:bookmarkStart w:id="1465" w:name="_Toc516244956"/>
      <w:bookmarkStart w:id="1466" w:name="_Toc516473528"/>
      <w:bookmarkStart w:id="1467" w:name="_Toc516473838"/>
      <w:bookmarkStart w:id="1468" w:name="_Toc516474148"/>
      <w:bookmarkStart w:id="1469" w:name="_Toc516474456"/>
      <w:bookmarkStart w:id="1470" w:name="_Toc516474787"/>
      <w:bookmarkStart w:id="1471" w:name="_Toc516478818"/>
      <w:bookmarkStart w:id="1472" w:name="_Toc516479281"/>
      <w:bookmarkStart w:id="1473" w:name="_Toc516479598"/>
      <w:bookmarkStart w:id="1474" w:name="_Toc516479921"/>
      <w:bookmarkStart w:id="1475" w:name="_Toc516480236"/>
      <w:bookmarkStart w:id="1476" w:name="_Toc516480550"/>
      <w:bookmarkStart w:id="1477" w:name="_Toc516480864"/>
      <w:bookmarkStart w:id="1478" w:name="_Toc516481178"/>
      <w:bookmarkStart w:id="1479" w:name="_Toc516481492"/>
      <w:bookmarkStart w:id="1480" w:name="_Toc516481806"/>
      <w:bookmarkStart w:id="1481" w:name="_Toc516482120"/>
      <w:bookmarkStart w:id="1482" w:name="_Toc516482434"/>
      <w:bookmarkStart w:id="1483" w:name="_Toc516739556"/>
      <w:bookmarkStart w:id="1484" w:name="_Toc516751469"/>
      <w:bookmarkStart w:id="1485" w:name="_Toc516825536"/>
      <w:bookmarkStart w:id="1486" w:name="_Toc516826094"/>
      <w:bookmarkStart w:id="1487" w:name="_Toc516837413"/>
      <w:bookmarkStart w:id="1488" w:name="_Toc516837972"/>
      <w:bookmarkStart w:id="1489" w:name="_Toc516838531"/>
      <w:bookmarkStart w:id="1490" w:name="_Toc516839090"/>
      <w:bookmarkStart w:id="1491" w:name="_Toc517173186"/>
      <w:bookmarkStart w:id="1492" w:name="_Toc517174860"/>
      <w:bookmarkStart w:id="1493" w:name="_Toc517175447"/>
      <w:bookmarkStart w:id="1494" w:name="_Toc517176035"/>
      <w:bookmarkStart w:id="1495" w:name="_Toc517337357"/>
      <w:bookmarkStart w:id="1496" w:name="_Toc517360152"/>
      <w:bookmarkStart w:id="1497" w:name="_Toc40185233"/>
      <w:bookmarkStart w:id="1498" w:name="_Toc40185968"/>
      <w:bookmarkStart w:id="1499" w:name="_Toc40185234"/>
      <w:bookmarkStart w:id="1500" w:name="_Toc40185969"/>
      <w:bookmarkStart w:id="1501" w:name="_Toc40185235"/>
      <w:bookmarkStart w:id="1502" w:name="_Toc40185970"/>
      <w:bookmarkStart w:id="1503" w:name="_Toc40185236"/>
      <w:bookmarkStart w:id="1504" w:name="_Toc40185971"/>
      <w:bookmarkStart w:id="1505" w:name="_Toc40185237"/>
      <w:bookmarkStart w:id="1506" w:name="_Toc40185972"/>
      <w:bookmarkStart w:id="1507" w:name="_Toc8121669"/>
      <w:bookmarkStart w:id="1508" w:name="_Toc8129610"/>
      <w:bookmarkStart w:id="1509" w:name="_Toc8121670"/>
      <w:bookmarkStart w:id="1510" w:name="_Toc8129611"/>
      <w:bookmarkStart w:id="1511" w:name="_Toc40185238"/>
      <w:bookmarkStart w:id="1512" w:name="_Toc40185973"/>
      <w:bookmarkStart w:id="1513" w:name="_Toc40185239"/>
      <w:bookmarkStart w:id="1514" w:name="_Toc40185974"/>
      <w:bookmarkStart w:id="1515" w:name="_Toc40185240"/>
      <w:bookmarkStart w:id="1516" w:name="_Toc40185975"/>
      <w:bookmarkStart w:id="1517" w:name="_Toc40185271"/>
      <w:bookmarkStart w:id="1518" w:name="_Toc40186006"/>
      <w:bookmarkStart w:id="1519" w:name="_Toc40185272"/>
      <w:bookmarkStart w:id="1520" w:name="_Toc40186007"/>
      <w:bookmarkStart w:id="1521" w:name="_Toc40185293"/>
      <w:bookmarkStart w:id="1522" w:name="_Toc40186028"/>
      <w:bookmarkStart w:id="1523" w:name="_Toc40185294"/>
      <w:bookmarkStart w:id="1524" w:name="_Toc40186029"/>
      <w:bookmarkStart w:id="1525" w:name="_Toc40185295"/>
      <w:bookmarkStart w:id="1526" w:name="_Toc40186030"/>
      <w:bookmarkStart w:id="1527" w:name="_Toc40185296"/>
      <w:bookmarkStart w:id="1528" w:name="_Toc40186031"/>
      <w:bookmarkStart w:id="1529" w:name="_Toc40185297"/>
      <w:bookmarkStart w:id="1530" w:name="_Toc40186032"/>
      <w:bookmarkStart w:id="1531" w:name="_Toc40185298"/>
      <w:bookmarkStart w:id="1532" w:name="_Toc40186033"/>
      <w:bookmarkStart w:id="1533" w:name="_Toc8121673"/>
      <w:bookmarkStart w:id="1534" w:name="_Toc8129614"/>
      <w:bookmarkStart w:id="1535" w:name="_Toc74557590"/>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1E1353">
        <w:t>Amendes administratives</w:t>
      </w:r>
      <w:bookmarkEnd w:id="1535"/>
      <w:r w:rsidRPr="001E1353">
        <w:t xml:space="preserve"> </w:t>
      </w:r>
    </w:p>
    <w:p w14:paraId="095A7C68" w14:textId="36C22095" w:rsidR="00226268" w:rsidRDefault="004A2669" w:rsidP="00226268">
      <w:pPr>
        <w:jc w:val="both"/>
      </w:pPr>
      <w:r w:rsidRPr="001E1353">
        <w:t>En ce qui concerne les sanctions administratives communales, je vous renvoie à</w:t>
      </w:r>
      <w:r w:rsidR="00226268">
        <w:t> :</w:t>
      </w:r>
    </w:p>
    <w:p w14:paraId="5068C4C0" w14:textId="77777777" w:rsidR="00ED2CF5" w:rsidRPr="001E1353" w:rsidRDefault="00ED2CF5" w:rsidP="00226268">
      <w:pPr>
        <w:jc w:val="both"/>
      </w:pPr>
    </w:p>
    <w:p w14:paraId="6F6354BB" w14:textId="6871D79E" w:rsidR="00226268" w:rsidRDefault="00226268" w:rsidP="008D7EB7">
      <w:pPr>
        <w:numPr>
          <w:ilvl w:val="0"/>
          <w:numId w:val="292"/>
        </w:numPr>
        <w:ind w:hanging="414"/>
        <w:jc w:val="both"/>
      </w:pPr>
      <w:proofErr w:type="gramStart"/>
      <w:r w:rsidRPr="001E1353">
        <w:t>à</w:t>
      </w:r>
      <w:proofErr w:type="gramEnd"/>
      <w:r w:rsidRPr="001E1353">
        <w:t xml:space="preserve"> la loi du 24 juin 2013</w:t>
      </w:r>
      <w:r w:rsidR="00ED2CF5">
        <w:rPr>
          <w:rStyle w:val="Appelnotedebasdep"/>
        </w:rPr>
        <w:footnoteReference w:id="15"/>
      </w:r>
      <w:r w:rsidRPr="001E1353">
        <w:t xml:space="preserve"> </w:t>
      </w:r>
      <w:r>
        <w:t>;</w:t>
      </w:r>
    </w:p>
    <w:p w14:paraId="50B6778E" w14:textId="77777777" w:rsidR="00226268" w:rsidRDefault="00226268" w:rsidP="008D7EB7">
      <w:pPr>
        <w:numPr>
          <w:ilvl w:val="0"/>
          <w:numId w:val="292"/>
        </w:numPr>
        <w:ind w:hanging="414"/>
        <w:jc w:val="both"/>
      </w:pPr>
      <w:proofErr w:type="gramStart"/>
      <w:r w:rsidRPr="001E1353">
        <w:t>la</w:t>
      </w:r>
      <w:proofErr w:type="gramEnd"/>
      <w:r w:rsidRPr="001E1353">
        <w:t xml:space="preserve"> circulaire explicative du 22 juillet 2014</w:t>
      </w:r>
      <w:r>
        <w:t> ;</w:t>
      </w:r>
    </w:p>
    <w:p w14:paraId="0315528A" w14:textId="0B2551B1" w:rsidR="00226268" w:rsidRPr="001E1353" w:rsidRDefault="00226268" w:rsidP="008D7EB7">
      <w:pPr>
        <w:numPr>
          <w:ilvl w:val="0"/>
          <w:numId w:val="292"/>
        </w:numPr>
        <w:ind w:hanging="414"/>
        <w:jc w:val="both"/>
      </w:pPr>
      <w:proofErr w:type="gramStart"/>
      <w:r w:rsidRPr="001E1353">
        <w:t>l’arrêté</w:t>
      </w:r>
      <w:proofErr w:type="gramEnd"/>
      <w:r w:rsidRPr="001E1353">
        <w:t xml:space="preserve"> royal du 9 mars 2014 relatif aux sanctions administratives communales pour les infractions en matière d’arrêt et de stationnement et pour les infractions aux signaux C3 et F103 constatées au moyen d’appareils fonctionnant automatiquement</w:t>
      </w:r>
      <w:r w:rsidR="00ED2CF5">
        <w:rPr>
          <w:rStyle w:val="Appelnotedebasdep"/>
        </w:rPr>
        <w:footnoteReference w:id="16"/>
      </w:r>
      <w:r w:rsidR="006C043F">
        <w:t> ;</w:t>
      </w:r>
    </w:p>
    <w:p w14:paraId="640C2457" w14:textId="299E050D" w:rsidR="00226268" w:rsidRDefault="00226268" w:rsidP="008D7EB7">
      <w:pPr>
        <w:numPr>
          <w:ilvl w:val="0"/>
          <w:numId w:val="292"/>
        </w:numPr>
        <w:ind w:hanging="414"/>
        <w:jc w:val="both"/>
      </w:pPr>
      <w:proofErr w:type="gramStart"/>
      <w:r w:rsidRPr="001E1353">
        <w:t>le</w:t>
      </w:r>
      <w:proofErr w:type="gramEnd"/>
      <w:r w:rsidRPr="001E1353">
        <w:t xml:space="preserve"> décret du 5 juin 2008</w:t>
      </w:r>
      <w:r w:rsidR="00ED2CF5">
        <w:rPr>
          <w:rStyle w:val="Appelnotedebasdep"/>
        </w:rPr>
        <w:footnoteReference w:id="17"/>
      </w:r>
      <w:r w:rsidRPr="001E1353">
        <w:t xml:space="preserve"> relatif à la recherche, la constatation, la poursuite et la répression des infractions et les mesures de réparation en matière d'environnement</w:t>
      </w:r>
      <w:r w:rsidR="006C043F">
        <w:t> ;</w:t>
      </w:r>
    </w:p>
    <w:p w14:paraId="40DAFDE4" w14:textId="5920D3C4" w:rsidR="00226268" w:rsidRDefault="00226268" w:rsidP="008D7EB7">
      <w:pPr>
        <w:numPr>
          <w:ilvl w:val="0"/>
          <w:numId w:val="292"/>
        </w:numPr>
        <w:ind w:hanging="414"/>
        <w:jc w:val="both"/>
      </w:pPr>
      <w:proofErr w:type="gramStart"/>
      <w:r w:rsidRPr="001E1353">
        <w:t>le</w:t>
      </w:r>
      <w:proofErr w:type="gramEnd"/>
      <w:r w:rsidRPr="001E1353">
        <w:t xml:space="preserve"> décret du 1</w:t>
      </w:r>
      <w:r w:rsidRPr="00226268">
        <w:rPr>
          <w:vertAlign w:val="superscript"/>
        </w:rPr>
        <w:t>er</w:t>
      </w:r>
      <w:r w:rsidRPr="001E1353">
        <w:t xml:space="preserve"> juin 2017</w:t>
      </w:r>
      <w:r w:rsidR="00ED2CF5">
        <w:rPr>
          <w:rStyle w:val="Appelnotedebasdep"/>
        </w:rPr>
        <w:footnoteReference w:id="18"/>
      </w:r>
      <w:r w:rsidRPr="001E1353">
        <w:t xml:space="preserve"> modifiant le Code wallon du Logement et de l’Habitat durable qui a instauré une sanction administrative en cas de maintien d’un bien inoccupé qui coexiste éventuellement avec la taxe communale en matière d’immeuble inoccupé</w:t>
      </w:r>
      <w:r w:rsidR="00F5243A">
        <w:t> ;</w:t>
      </w:r>
      <w:r w:rsidRPr="001E1353">
        <w:t xml:space="preserve">  </w:t>
      </w:r>
    </w:p>
    <w:p w14:paraId="643A36B0" w14:textId="1949FDD5" w:rsidR="00F5243A" w:rsidRPr="001E1353" w:rsidRDefault="00F5243A" w:rsidP="00F5243A">
      <w:pPr>
        <w:numPr>
          <w:ilvl w:val="0"/>
          <w:numId w:val="292"/>
        </w:numPr>
        <w:ind w:hanging="414"/>
        <w:jc w:val="both"/>
      </w:pPr>
      <w:proofErr w:type="gramStart"/>
      <w:r>
        <w:lastRenderedPageBreak/>
        <w:t>la</w:t>
      </w:r>
      <w:proofErr w:type="gramEnd"/>
      <w:r>
        <w:t xml:space="preserve"> loi du 5 mars 2021</w:t>
      </w:r>
      <w:r>
        <w:rPr>
          <w:rStyle w:val="Appelnotedebasdep"/>
        </w:rPr>
        <w:footnoteReference w:id="19"/>
      </w:r>
      <w:r>
        <w:t xml:space="preserve"> visant à harmoniser la procédure relative aux infractions de roulage relevant de l’application de la loi du 24 juin 2013 relative aux sanctions administratives.</w:t>
      </w:r>
    </w:p>
    <w:p w14:paraId="2C4AEDF8" w14:textId="77777777" w:rsidR="004A2669" w:rsidRPr="001E1353" w:rsidRDefault="004A2669" w:rsidP="004A2669">
      <w:pPr>
        <w:jc w:val="both"/>
      </w:pPr>
    </w:p>
    <w:p w14:paraId="36CE9B55" w14:textId="709E2F10" w:rsidR="004A2669" w:rsidRDefault="004A2669" w:rsidP="00671240">
      <w:pPr>
        <w:jc w:val="both"/>
      </w:pPr>
      <w:r w:rsidRPr="001E1353">
        <w:t>Je vous invite à regrouper les recettes de ces amendes sous un article 100/380-03 (éventuellement individualisé au niveau du code fonctionnel : 100xx/380-03).</w:t>
      </w:r>
    </w:p>
    <w:p w14:paraId="3273B8C1" w14:textId="77777777" w:rsidR="004A2669" w:rsidRPr="001E1353" w:rsidRDefault="004A2669" w:rsidP="001E1353">
      <w:pPr>
        <w:pStyle w:val="Sam2"/>
      </w:pPr>
      <w:bookmarkStart w:id="1536" w:name="_Toc40185300"/>
      <w:bookmarkStart w:id="1537" w:name="_Toc40186035"/>
      <w:bookmarkStart w:id="1538" w:name="_Toc74557591"/>
      <w:bookmarkEnd w:id="1536"/>
      <w:bookmarkEnd w:id="1537"/>
      <w:r w:rsidRPr="001E1353">
        <w:t>Dividendes et redevances du secteur intercommunal</w:t>
      </w:r>
      <w:bookmarkEnd w:id="1538"/>
      <w:r w:rsidRPr="001E1353">
        <w:t xml:space="preserve"> </w:t>
      </w:r>
    </w:p>
    <w:p w14:paraId="1C8381C8" w14:textId="5B68F5B2" w:rsidR="004A2669" w:rsidRDefault="004A2669">
      <w:pPr>
        <w:jc w:val="both"/>
        <w:rPr>
          <w:rFonts w:eastAsiaTheme="minorHAnsi"/>
          <w:lang w:eastAsia="en-US"/>
        </w:rPr>
      </w:pPr>
      <w:r w:rsidRPr="008D7EB7">
        <w:rPr>
          <w:rFonts w:eastAsiaTheme="minorHAnsi"/>
          <w:lang w:eastAsia="en-US"/>
        </w:rPr>
        <w:t>A défaut de notification de prévisions en provenance des intercommunales, les communes prendr</w:t>
      </w:r>
      <w:r w:rsidR="00FE0C15">
        <w:rPr>
          <w:rFonts w:eastAsiaTheme="minorHAnsi"/>
          <w:lang w:eastAsia="en-US"/>
        </w:rPr>
        <w:t>ont les</w:t>
      </w:r>
      <w:r w:rsidRPr="008D7EB7">
        <w:rPr>
          <w:rFonts w:eastAsiaTheme="minorHAnsi"/>
          <w:lang w:eastAsia="en-US"/>
        </w:rPr>
        <w:t xml:space="preserve"> contact</w:t>
      </w:r>
      <w:r w:rsidR="00FE0C15">
        <w:rPr>
          <w:rFonts w:eastAsiaTheme="minorHAnsi"/>
          <w:lang w:eastAsia="en-US"/>
        </w:rPr>
        <w:t>s utiles</w:t>
      </w:r>
      <w:r w:rsidRPr="008D7EB7">
        <w:rPr>
          <w:rFonts w:eastAsiaTheme="minorHAnsi"/>
          <w:lang w:eastAsia="en-US"/>
        </w:rPr>
        <w:t xml:space="preserve"> avec l'intercommunale qui </w:t>
      </w:r>
      <w:r w:rsidR="00FE0C15">
        <w:rPr>
          <w:rFonts w:eastAsiaTheme="minorHAnsi"/>
          <w:lang w:eastAsia="en-US"/>
        </w:rPr>
        <w:t>les</w:t>
      </w:r>
      <w:r w:rsidRPr="008D7EB7">
        <w:rPr>
          <w:rFonts w:eastAsiaTheme="minorHAnsi"/>
          <w:lang w:eastAsia="en-US"/>
        </w:rPr>
        <w:t xml:space="preserve"> concerne aux fins d'obtenir </w:t>
      </w:r>
      <w:r w:rsidR="00FE0C15">
        <w:rPr>
          <w:rFonts w:eastAsiaTheme="minorHAnsi"/>
          <w:lang w:eastAsia="en-US"/>
        </w:rPr>
        <w:t xml:space="preserve">une estimation des dividendes à inscrire au budget </w:t>
      </w:r>
      <w:r w:rsidR="005D1E26">
        <w:rPr>
          <w:rFonts w:eastAsiaTheme="minorHAnsi"/>
          <w:lang w:eastAsia="en-US"/>
        </w:rPr>
        <w:t>2023</w:t>
      </w:r>
      <w:r w:rsidRPr="008D7EB7">
        <w:rPr>
          <w:rFonts w:eastAsiaTheme="minorHAnsi"/>
          <w:lang w:eastAsia="en-US"/>
        </w:rPr>
        <w:t>.</w:t>
      </w:r>
    </w:p>
    <w:p w14:paraId="514BB873" w14:textId="77777777" w:rsidR="00001DBD" w:rsidRPr="008D7EB7" w:rsidRDefault="00001DBD">
      <w:pPr>
        <w:jc w:val="both"/>
        <w:rPr>
          <w:rFonts w:eastAsiaTheme="minorHAnsi"/>
          <w:lang w:eastAsia="en-US"/>
        </w:rPr>
      </w:pPr>
    </w:p>
    <w:p w14:paraId="0A692E91" w14:textId="60EFE513" w:rsidR="004A2669" w:rsidRDefault="004A2669" w:rsidP="00001DBD">
      <w:pPr>
        <w:jc w:val="both"/>
        <w:rPr>
          <w:rFonts w:eastAsiaTheme="minorHAnsi"/>
          <w:lang w:eastAsia="en-US"/>
        </w:rPr>
      </w:pPr>
      <w:r w:rsidRPr="008D7EB7">
        <w:rPr>
          <w:rFonts w:eastAsiaTheme="minorHAnsi"/>
          <w:lang w:eastAsia="en-US"/>
        </w:rPr>
        <w:t>Les arrêtés des 28 novembre 2002 et 15 juillet 2010 relatifs à la redevance pour l’occupation du domaine public par le réseau électrique et gazier fixent le montant des redevances dont le gestionnaire de réseau doit s’acquitter</w:t>
      </w:r>
      <w:r w:rsidR="00226268" w:rsidRPr="008D7EB7">
        <w:rPr>
          <w:rFonts w:eastAsiaTheme="minorHAnsi"/>
          <w:lang w:eastAsia="en-US"/>
        </w:rPr>
        <w:t>.</w:t>
      </w:r>
      <w:r w:rsidRPr="008D7EB7">
        <w:rPr>
          <w:rFonts w:eastAsiaTheme="minorHAnsi"/>
          <w:lang w:eastAsia="en-US"/>
        </w:rPr>
        <w:t xml:space="preserve"> </w:t>
      </w:r>
    </w:p>
    <w:p w14:paraId="6E33E6D0" w14:textId="77777777" w:rsidR="00001DBD" w:rsidRPr="008D7EB7" w:rsidRDefault="00001DBD">
      <w:pPr>
        <w:jc w:val="both"/>
        <w:rPr>
          <w:rFonts w:eastAsiaTheme="minorHAnsi"/>
          <w:lang w:eastAsia="en-US"/>
        </w:rPr>
      </w:pPr>
    </w:p>
    <w:p w14:paraId="389BFC08" w14:textId="3C2C587A" w:rsidR="00001DBD" w:rsidRDefault="004A2669" w:rsidP="00001DBD">
      <w:pPr>
        <w:jc w:val="both"/>
        <w:rPr>
          <w:rFonts w:eastAsiaTheme="minorHAnsi"/>
          <w:lang w:eastAsia="en-US"/>
        </w:rPr>
      </w:pPr>
      <w:r w:rsidRPr="008D7EB7">
        <w:rPr>
          <w:rFonts w:eastAsiaTheme="minorHAnsi"/>
          <w:lang w:eastAsia="en-US"/>
        </w:rPr>
        <w:t>La redevance électricité doit être individualisée et inscrite sur l'article budgétaire 552/161-05</w:t>
      </w:r>
      <w:r w:rsidR="00CB7ADD">
        <w:rPr>
          <w:rFonts w:eastAsiaTheme="minorHAnsi"/>
          <w:b/>
          <w:lang w:eastAsia="en-US"/>
        </w:rPr>
        <w:t xml:space="preserve"> </w:t>
      </w:r>
      <w:r w:rsidRPr="008D7EB7">
        <w:rPr>
          <w:rFonts w:eastAsiaTheme="minorHAnsi"/>
          <w:lang w:eastAsia="en-US"/>
        </w:rPr>
        <w:t>et la redevance gaz sur l'article 551/161-05.</w:t>
      </w:r>
    </w:p>
    <w:p w14:paraId="532084F7" w14:textId="77777777" w:rsidR="004A2669" w:rsidRPr="001E1353" w:rsidRDefault="004A2669" w:rsidP="001E1353">
      <w:pPr>
        <w:pStyle w:val="Sam2"/>
      </w:pPr>
      <w:bookmarkStart w:id="1539" w:name="_Toc74557592"/>
      <w:r w:rsidRPr="001E1353">
        <w:t>Subventions en général</w:t>
      </w:r>
      <w:bookmarkEnd w:id="1539"/>
    </w:p>
    <w:p w14:paraId="2199D997" w14:textId="77777777" w:rsidR="004A2669" w:rsidRPr="001E1353" w:rsidRDefault="00EA20D9" w:rsidP="004A2669">
      <w:pPr>
        <w:jc w:val="both"/>
      </w:pPr>
      <w:r>
        <w:t>L</w:t>
      </w:r>
      <w:r w:rsidR="004A2669" w:rsidRPr="001E1353">
        <w:t>a date de la notification de la subvention définit l'exercice d'inscription de la recette comptable.</w:t>
      </w:r>
    </w:p>
    <w:p w14:paraId="263D31E0" w14:textId="77777777" w:rsidR="004A2669" w:rsidRPr="001E1353" w:rsidRDefault="004A2669" w:rsidP="001E1353">
      <w:pPr>
        <w:pStyle w:val="Sam2"/>
      </w:pPr>
      <w:bookmarkStart w:id="1540" w:name="_Toc74557593"/>
      <w:r w:rsidRPr="001E1353">
        <w:t xml:space="preserve">Subventions pour la mise en </w:t>
      </w:r>
      <w:r w:rsidR="00EA20D9" w:rsidRPr="001E1353">
        <w:t>œuvre</w:t>
      </w:r>
      <w:r w:rsidRPr="001E1353">
        <w:t xml:space="preserve"> du plan de cohésion sociale</w:t>
      </w:r>
      <w:bookmarkEnd w:id="1540"/>
    </w:p>
    <w:p w14:paraId="14AF24D0" w14:textId="57A0BF05" w:rsidR="004A2669" w:rsidRDefault="004A2669" w:rsidP="00F558F2">
      <w:pPr>
        <w:jc w:val="both"/>
        <w:rPr>
          <w:rFonts w:eastAsiaTheme="minorHAnsi"/>
          <w:lang w:eastAsia="en-US"/>
        </w:rPr>
      </w:pPr>
      <w:r w:rsidRPr="008D7EB7">
        <w:rPr>
          <w:rFonts w:eastAsiaTheme="minorHAnsi"/>
          <w:lang w:eastAsia="en-US"/>
        </w:rPr>
        <w:t>Dans la mesure où ledit plan peut concerner une multitude d'actions (crèches, logements sociaux, mobilité, entreprises d'économie sociale, relations interculturelles, lutte contre les assuétudes ...), et par souci de cohérence globale, je vous recommande d'inscrire les subventions y relatives sous un article 84010/465-48 et les dépenses sous des articles 84010/xxx-xx.</w:t>
      </w:r>
    </w:p>
    <w:p w14:paraId="4CCD0832" w14:textId="77777777" w:rsidR="00F558F2" w:rsidRPr="008D7EB7" w:rsidRDefault="00F558F2">
      <w:pPr>
        <w:jc w:val="both"/>
        <w:rPr>
          <w:rFonts w:eastAsiaTheme="minorHAnsi"/>
          <w:lang w:eastAsia="en-US"/>
        </w:rPr>
      </w:pPr>
    </w:p>
    <w:p w14:paraId="34A42829" w14:textId="65471EE9" w:rsidR="00F968A7" w:rsidRDefault="00F968A7" w:rsidP="00F558F2">
      <w:pPr>
        <w:jc w:val="both"/>
        <w:rPr>
          <w:rFonts w:eastAsiaTheme="minorHAnsi"/>
          <w:lang w:eastAsia="en-US"/>
        </w:rPr>
      </w:pPr>
      <w:r w:rsidRPr="008D7EB7">
        <w:rPr>
          <w:rFonts w:eastAsiaTheme="minorHAnsi"/>
          <w:lang w:eastAsia="en-US"/>
        </w:rPr>
        <w:t>Pour la programmation PCS 2020-2026, il convient de se référer aux décrets du 22 novembre 2018</w:t>
      </w:r>
      <w:r w:rsidR="00F558F2">
        <w:rPr>
          <w:rStyle w:val="Appelnotedebasdep"/>
          <w:rFonts w:eastAsiaTheme="minorHAnsi"/>
          <w:lang w:eastAsia="en-US"/>
        </w:rPr>
        <w:footnoteReference w:id="20"/>
      </w:r>
      <w:r w:rsidRPr="008D7EB7">
        <w:rPr>
          <w:rFonts w:eastAsiaTheme="minorHAnsi"/>
          <w:lang w:eastAsia="en-US"/>
        </w:rPr>
        <w:t xml:space="preserve"> relatif au plan de cohésion sociale et relatif au plan de cohésion sociale pour ce qui concerne les matières dont l'exercice a été transféré à la Communauté française.</w:t>
      </w:r>
      <w:r w:rsidR="00886ED8" w:rsidRPr="008D7EB7">
        <w:rPr>
          <w:rFonts w:eastAsiaTheme="minorHAnsi"/>
          <w:lang w:eastAsia="en-US"/>
        </w:rPr>
        <w:t xml:space="preserve"> Un </w:t>
      </w:r>
      <w:proofErr w:type="spellStart"/>
      <w:r w:rsidR="00886ED8" w:rsidRPr="008D7EB7">
        <w:rPr>
          <w:rFonts w:eastAsiaTheme="minorHAnsi"/>
          <w:lang w:eastAsia="en-US"/>
        </w:rPr>
        <w:t>vad</w:t>
      </w:r>
      <w:r w:rsidR="00AA7D3D">
        <w:rPr>
          <w:rFonts w:eastAsiaTheme="minorHAnsi"/>
          <w:lang w:eastAsia="en-US"/>
        </w:rPr>
        <w:t>e</w:t>
      </w:r>
      <w:r w:rsidR="00886ED8" w:rsidRPr="008D7EB7">
        <w:rPr>
          <w:rFonts w:eastAsiaTheme="minorHAnsi"/>
          <w:lang w:eastAsia="en-US"/>
        </w:rPr>
        <w:t>m</w:t>
      </w:r>
      <w:r w:rsidR="00AA7D3D">
        <w:rPr>
          <w:rFonts w:eastAsiaTheme="minorHAnsi"/>
          <w:lang w:eastAsia="en-US"/>
        </w:rPr>
        <w:t>e</w:t>
      </w:r>
      <w:r w:rsidR="00886ED8" w:rsidRPr="008D7EB7">
        <w:rPr>
          <w:rFonts w:eastAsiaTheme="minorHAnsi"/>
          <w:lang w:eastAsia="en-US"/>
        </w:rPr>
        <w:t>cum</w:t>
      </w:r>
      <w:proofErr w:type="spellEnd"/>
      <w:r w:rsidR="00886ED8" w:rsidRPr="008D7EB7">
        <w:rPr>
          <w:rFonts w:eastAsiaTheme="minorHAnsi"/>
          <w:lang w:eastAsia="en-US"/>
        </w:rPr>
        <w:t xml:space="preserve"> sur la mise en œuvre et les aspects financiers du plan est disponible sur le portail </w:t>
      </w:r>
      <w:r w:rsidR="00B070FC" w:rsidRPr="008D7EB7">
        <w:rPr>
          <w:rFonts w:eastAsiaTheme="minorHAnsi"/>
          <w:lang w:eastAsia="en-US"/>
        </w:rPr>
        <w:t>de la Cohésion sociale.</w:t>
      </w:r>
    </w:p>
    <w:p w14:paraId="7ABD9F9A" w14:textId="77777777" w:rsidR="00F558F2" w:rsidRPr="008D7EB7" w:rsidRDefault="00F558F2">
      <w:pPr>
        <w:jc w:val="both"/>
        <w:rPr>
          <w:rFonts w:eastAsiaTheme="minorHAnsi"/>
          <w:lang w:eastAsia="en-US"/>
        </w:rPr>
      </w:pPr>
    </w:p>
    <w:p w14:paraId="1DC7B328" w14:textId="7168B95D" w:rsidR="004A2669" w:rsidRDefault="000F5C1E">
      <w:pPr>
        <w:jc w:val="both"/>
        <w:rPr>
          <w:rFonts w:eastAsiaTheme="minorHAnsi"/>
          <w:lang w:eastAsia="en-US"/>
        </w:rPr>
      </w:pPr>
      <w:r w:rsidRPr="008D7EB7">
        <w:rPr>
          <w:rFonts w:eastAsiaTheme="minorHAnsi"/>
          <w:lang w:eastAsia="en-US"/>
        </w:rPr>
        <w:t>Pour les communes qui ont conclu une convention de partenariat dans le cadre de l’article</w:t>
      </w:r>
      <w:r w:rsidR="003A750D" w:rsidRPr="008D7EB7">
        <w:rPr>
          <w:rFonts w:eastAsiaTheme="minorHAnsi"/>
          <w:lang w:eastAsia="en-US"/>
        </w:rPr>
        <w:t xml:space="preserve"> 20 du</w:t>
      </w:r>
      <w:r w:rsidR="007F02CC" w:rsidRPr="008D7EB7">
        <w:rPr>
          <w:rFonts w:eastAsiaTheme="minorHAnsi"/>
          <w:lang w:eastAsia="en-US"/>
        </w:rPr>
        <w:t>dit</w:t>
      </w:r>
      <w:r w:rsidR="003A750D" w:rsidRPr="008D7EB7">
        <w:rPr>
          <w:rFonts w:eastAsiaTheme="minorHAnsi"/>
          <w:lang w:eastAsia="en-US"/>
        </w:rPr>
        <w:t xml:space="preserve"> décret</w:t>
      </w:r>
      <w:r w:rsidRPr="008D7EB7">
        <w:rPr>
          <w:rFonts w:eastAsiaTheme="minorHAnsi"/>
          <w:lang w:eastAsia="en-US"/>
        </w:rPr>
        <w:t>, il conviendra d'inscrire les recettes et dépenses y relatives sous des articles 84011/xxx-xx</w:t>
      </w:r>
      <w:r w:rsidR="004A2669" w:rsidRPr="008D7EB7">
        <w:rPr>
          <w:rFonts w:eastAsiaTheme="minorHAnsi"/>
          <w:lang w:eastAsia="en-US"/>
        </w:rPr>
        <w:t>.</w:t>
      </w:r>
    </w:p>
    <w:p w14:paraId="599C0C7C" w14:textId="77777777" w:rsidR="007B15CD" w:rsidRPr="008D7EB7" w:rsidRDefault="007B15CD">
      <w:pPr>
        <w:jc w:val="both"/>
        <w:rPr>
          <w:rFonts w:eastAsiaTheme="minorHAnsi"/>
          <w:lang w:eastAsia="en-US"/>
        </w:rPr>
      </w:pPr>
    </w:p>
    <w:p w14:paraId="1130CD9E" w14:textId="77777777" w:rsidR="004A2669" w:rsidRPr="001E1353" w:rsidRDefault="004A2669" w:rsidP="001E1353">
      <w:pPr>
        <w:pStyle w:val="Sam2"/>
      </w:pPr>
      <w:bookmarkStart w:id="1541" w:name="_Toc512520201"/>
      <w:bookmarkStart w:id="1542" w:name="_Toc512520332"/>
      <w:bookmarkStart w:id="1543" w:name="_Toc512520464"/>
      <w:bookmarkStart w:id="1544" w:name="_Toc512520595"/>
      <w:bookmarkStart w:id="1545" w:name="_Toc512520726"/>
      <w:bookmarkStart w:id="1546" w:name="_Toc512520857"/>
      <w:bookmarkStart w:id="1547" w:name="_Toc512520988"/>
      <w:bookmarkStart w:id="1548" w:name="_Toc512606786"/>
      <w:bookmarkStart w:id="1549" w:name="_Toc512606921"/>
      <w:bookmarkStart w:id="1550" w:name="_Toc512607056"/>
      <w:bookmarkStart w:id="1551" w:name="_Toc515355854"/>
      <w:bookmarkStart w:id="1552" w:name="_Toc515355991"/>
      <w:bookmarkStart w:id="1553" w:name="_Toc515360401"/>
      <w:bookmarkStart w:id="1554" w:name="_Toc515974997"/>
      <w:bookmarkStart w:id="1555" w:name="_Toc515978505"/>
      <w:bookmarkStart w:id="1556" w:name="_Toc516058889"/>
      <w:bookmarkStart w:id="1557" w:name="_Toc516059031"/>
      <w:bookmarkStart w:id="1558" w:name="_Toc516227755"/>
      <w:bookmarkStart w:id="1559" w:name="_Toc516229568"/>
      <w:bookmarkStart w:id="1560" w:name="_Toc516229863"/>
      <w:bookmarkStart w:id="1561" w:name="_Toc516230158"/>
      <w:bookmarkStart w:id="1562" w:name="_Toc516230453"/>
      <w:bookmarkStart w:id="1563" w:name="_Toc516230747"/>
      <w:bookmarkStart w:id="1564" w:name="_Toc516231041"/>
      <w:bookmarkStart w:id="1565" w:name="_Toc516231336"/>
      <w:bookmarkStart w:id="1566" w:name="_Toc516231632"/>
      <w:bookmarkStart w:id="1567" w:name="_Toc516242725"/>
      <w:bookmarkStart w:id="1568" w:name="_Toc516243028"/>
      <w:bookmarkStart w:id="1569" w:name="_Toc516244961"/>
      <w:bookmarkStart w:id="1570" w:name="_Toc516473533"/>
      <w:bookmarkStart w:id="1571" w:name="_Toc516473843"/>
      <w:bookmarkStart w:id="1572" w:name="_Toc516474153"/>
      <w:bookmarkStart w:id="1573" w:name="_Toc516474461"/>
      <w:bookmarkStart w:id="1574" w:name="_Toc516474792"/>
      <w:bookmarkStart w:id="1575" w:name="_Toc516478823"/>
      <w:bookmarkStart w:id="1576" w:name="_Toc516479286"/>
      <w:bookmarkStart w:id="1577" w:name="_Toc516479603"/>
      <w:bookmarkStart w:id="1578" w:name="_Toc516479926"/>
      <w:bookmarkStart w:id="1579" w:name="_Toc516480241"/>
      <w:bookmarkStart w:id="1580" w:name="_Toc516480555"/>
      <w:bookmarkStart w:id="1581" w:name="_Toc516480869"/>
      <w:bookmarkStart w:id="1582" w:name="_Toc516481183"/>
      <w:bookmarkStart w:id="1583" w:name="_Toc516481497"/>
      <w:bookmarkStart w:id="1584" w:name="_Toc516481811"/>
      <w:bookmarkStart w:id="1585" w:name="_Toc516482125"/>
      <w:bookmarkStart w:id="1586" w:name="_Toc516482439"/>
      <w:bookmarkStart w:id="1587" w:name="_Toc516739561"/>
      <w:bookmarkStart w:id="1588" w:name="_Toc516751474"/>
      <w:bookmarkStart w:id="1589" w:name="_Toc516825541"/>
      <w:bookmarkStart w:id="1590" w:name="_Toc516826099"/>
      <w:bookmarkStart w:id="1591" w:name="_Toc516837418"/>
      <w:bookmarkStart w:id="1592" w:name="_Toc516837977"/>
      <w:bookmarkStart w:id="1593" w:name="_Toc516838536"/>
      <w:bookmarkStart w:id="1594" w:name="_Toc516839095"/>
      <w:bookmarkStart w:id="1595" w:name="_Toc517173191"/>
      <w:bookmarkStart w:id="1596" w:name="_Toc517174865"/>
      <w:bookmarkStart w:id="1597" w:name="_Toc517175452"/>
      <w:bookmarkStart w:id="1598" w:name="_Toc517176040"/>
      <w:bookmarkStart w:id="1599" w:name="_Toc517337362"/>
      <w:bookmarkStart w:id="1600" w:name="_Toc517360157"/>
      <w:bookmarkStart w:id="1601" w:name="_Toc74557594"/>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1E1353">
        <w:lastRenderedPageBreak/>
        <w:t>Crédit spécial de recettes préfigurant les dépenses non engagées de l'exercice</w:t>
      </w:r>
      <w:bookmarkEnd w:id="1601"/>
    </w:p>
    <w:p w14:paraId="184CCFD6" w14:textId="7479BE69" w:rsidR="00915F50" w:rsidRDefault="00E159B7" w:rsidP="008D7EB7">
      <w:pPr>
        <w:jc w:val="both"/>
        <w:rPr>
          <w:rFonts w:eastAsiaTheme="minorHAnsi"/>
          <w:lang w:eastAsia="en-US"/>
        </w:rPr>
      </w:pPr>
      <w:r>
        <w:rPr>
          <w:rFonts w:eastAsiaTheme="minorHAnsi"/>
          <w:lang w:eastAsia="en-US"/>
        </w:rPr>
        <w:t>Selon les modalités reprises ci-dessous, i</w:t>
      </w:r>
      <w:r w:rsidR="00915F50" w:rsidRPr="008D7EB7">
        <w:rPr>
          <w:rFonts w:eastAsiaTheme="minorHAnsi"/>
          <w:lang w:eastAsia="en-US"/>
        </w:rPr>
        <w:t xml:space="preserve">l </w:t>
      </w:r>
      <w:r w:rsidR="00270327" w:rsidRPr="008D7EB7">
        <w:rPr>
          <w:rFonts w:eastAsiaTheme="minorHAnsi"/>
          <w:lang w:eastAsia="en-US"/>
        </w:rPr>
        <w:t>est</w:t>
      </w:r>
      <w:r w:rsidR="00915F50" w:rsidRPr="008D7EB7">
        <w:rPr>
          <w:rFonts w:eastAsiaTheme="minorHAnsi"/>
          <w:lang w:eastAsia="en-US"/>
        </w:rPr>
        <w:t xml:space="preserve"> admis </w:t>
      </w:r>
      <w:r>
        <w:rPr>
          <w:rFonts w:eastAsiaTheme="minorHAnsi"/>
          <w:lang w:eastAsia="en-US"/>
        </w:rPr>
        <w:t xml:space="preserve">de procéder à </w:t>
      </w:r>
      <w:r w:rsidR="00915F50" w:rsidRPr="008D7EB7">
        <w:rPr>
          <w:rFonts w:eastAsiaTheme="minorHAnsi"/>
          <w:lang w:eastAsia="en-US"/>
        </w:rPr>
        <w:t xml:space="preserve">l'inscription au budget ordinaire d'une recette spécifique visant à préfigurer les dépenses budgétisées pour l'exercice et qui ne seront pas engagées. Cette possibilité est également envisageable pour les </w:t>
      </w:r>
      <w:r w:rsidR="00915F50" w:rsidRPr="00541AFA">
        <w:rPr>
          <w:rFonts w:eastAsiaTheme="minorHAnsi"/>
          <w:lang w:eastAsia="en-US"/>
        </w:rPr>
        <w:t>CPAS</w:t>
      </w:r>
      <w:r w:rsidR="00DA04E9" w:rsidRPr="008C5E39">
        <w:rPr>
          <w:rFonts w:eastAsiaTheme="minorHAnsi"/>
          <w:lang w:eastAsia="en-US"/>
        </w:rPr>
        <w:t>.</w:t>
      </w:r>
    </w:p>
    <w:p w14:paraId="7DF5268B" w14:textId="68F53B6C" w:rsidR="00F558F2" w:rsidRPr="00681CF5" w:rsidRDefault="00F558F2" w:rsidP="008D7EB7">
      <w:pPr>
        <w:jc w:val="both"/>
        <w:rPr>
          <w:rFonts w:eastAsiaTheme="minorHAnsi"/>
          <w:sz w:val="10"/>
          <w:szCs w:val="10"/>
          <w:lang w:eastAsia="en-US"/>
        </w:rPr>
      </w:pPr>
    </w:p>
    <w:p w14:paraId="22F58D94" w14:textId="72B9B706" w:rsidR="00752378" w:rsidRDefault="00752378" w:rsidP="00256E9F">
      <w:pPr>
        <w:spacing w:after="120"/>
        <w:jc w:val="both"/>
        <w:rPr>
          <w:rFonts w:eastAsiaTheme="minorHAnsi"/>
          <w:b/>
          <w:bCs/>
          <w:lang w:eastAsia="en-US"/>
        </w:rPr>
      </w:pPr>
      <w:bookmarkStart w:id="1602" w:name="_Hlk105056436"/>
      <w:r w:rsidRPr="00B225DE">
        <w:rPr>
          <w:rFonts w:eastAsiaTheme="minorHAnsi"/>
          <w:b/>
          <w:bCs/>
          <w:lang w:eastAsia="en-US"/>
        </w:rPr>
        <w:t>Comme précisé ci-dessous, ce crédit spécial de recettes devra être réduit lors des modifications budgétaires.</w:t>
      </w:r>
    </w:p>
    <w:p w14:paraId="3865BC48" w14:textId="77777777" w:rsidR="006A11AD" w:rsidRDefault="006A11AD" w:rsidP="006A11AD">
      <w:pPr>
        <w:spacing w:before="5" w:after="120"/>
        <w:jc w:val="both"/>
        <w:rPr>
          <w:rFonts w:eastAsia="Arial" w:cs="Arial"/>
        </w:rPr>
      </w:pPr>
      <w:r w:rsidRPr="002158DE">
        <w:rPr>
          <w:rFonts w:eastAsia="Arial" w:cs="Arial"/>
          <w:b/>
        </w:rPr>
        <w:t>Toutefois,</w:t>
      </w:r>
      <w:r w:rsidRPr="002158DE">
        <w:rPr>
          <w:rFonts w:eastAsia="Arial" w:cs="Arial"/>
        </w:rPr>
        <w:t xml:space="preserve"> il s’avère que les résultats du compte sont de moins en moins favorables en comparaison aux prévisions budgétaires, notamment en lien avec le différentiel à la baisse du versement des additionnels à l’impôt des personnes physiques, la hausse des charges </w:t>
      </w:r>
      <w:proofErr w:type="gramStart"/>
      <w:r w:rsidRPr="002158DE">
        <w:rPr>
          <w:rFonts w:eastAsia="Arial" w:cs="Arial"/>
        </w:rPr>
        <w:t>pensions</w:t>
      </w:r>
      <w:proofErr w:type="gramEnd"/>
      <w:r w:rsidRPr="002158DE">
        <w:rPr>
          <w:rFonts w:eastAsia="Arial" w:cs="Arial"/>
        </w:rPr>
        <w:t xml:space="preserve"> et les conséquences de l’inflation sur les dépenses de personnel, de fonctionnement et parfois même de transferts</w:t>
      </w:r>
      <w:r>
        <w:rPr>
          <w:rFonts w:eastAsia="Arial" w:cs="Arial"/>
        </w:rPr>
        <w:t>.</w:t>
      </w:r>
    </w:p>
    <w:p w14:paraId="31F4DAF1" w14:textId="77777777" w:rsidR="006A11AD" w:rsidRPr="0020056E" w:rsidRDefault="006A11AD" w:rsidP="006A11AD">
      <w:pPr>
        <w:spacing w:before="5" w:after="120"/>
        <w:jc w:val="both"/>
        <w:rPr>
          <w:rFonts w:eastAsia="Arial" w:cs="Arial"/>
        </w:rPr>
      </w:pPr>
      <w:bookmarkStart w:id="1603" w:name="_Hlk107221153"/>
      <w:r>
        <w:rPr>
          <w:rFonts w:eastAsia="Arial" w:cs="Arial"/>
        </w:rPr>
        <w:t xml:space="preserve">Il vous est par conséquent demandé de porter une attention particulière aux estimations de </w:t>
      </w:r>
      <w:r w:rsidRPr="0020056E">
        <w:rPr>
          <w:rFonts w:eastAsia="Arial" w:cs="Arial"/>
        </w:rPr>
        <w:t>dépenses et de recettes, et, en cohérence au montant du crédit spécial lors de son inscription au budget initial.</w:t>
      </w:r>
    </w:p>
    <w:bookmarkEnd w:id="1603"/>
    <w:p w14:paraId="095ADA06" w14:textId="6B8C1E93" w:rsidR="00B27AAE" w:rsidRPr="00B225DE" w:rsidRDefault="00B27AAE" w:rsidP="008D7EB7">
      <w:pPr>
        <w:jc w:val="both"/>
        <w:rPr>
          <w:rFonts w:eastAsiaTheme="minorHAnsi"/>
          <w:b/>
          <w:bCs/>
          <w:lang w:eastAsia="en-US"/>
        </w:rPr>
      </w:pPr>
      <w:r>
        <w:rPr>
          <w:rFonts w:eastAsiaTheme="minorHAnsi"/>
          <w:b/>
          <w:bCs/>
          <w:lang w:eastAsia="en-US"/>
        </w:rPr>
        <w:t>Par ailleurs, ce crédit spécial de recettes ne peut être pris en compte dans le cadre des projections pluriannuelles.</w:t>
      </w:r>
    </w:p>
    <w:bookmarkEnd w:id="1602"/>
    <w:p w14:paraId="1853916A" w14:textId="77777777" w:rsidR="00752378" w:rsidRPr="008D7EB7" w:rsidRDefault="00752378" w:rsidP="008D7EB7">
      <w:pPr>
        <w:jc w:val="both"/>
        <w:rPr>
          <w:rFonts w:eastAsiaTheme="minorHAnsi"/>
          <w:lang w:eastAsia="en-US"/>
        </w:rPr>
      </w:pPr>
    </w:p>
    <w:p w14:paraId="5C4A9066" w14:textId="6D5E6DAE" w:rsidR="00915F50" w:rsidRDefault="00915F50" w:rsidP="00F558F2">
      <w:pPr>
        <w:jc w:val="both"/>
        <w:rPr>
          <w:rFonts w:eastAsiaTheme="minorHAnsi"/>
          <w:lang w:eastAsia="en-US"/>
        </w:rPr>
      </w:pPr>
      <w:r w:rsidRPr="008D7EB7">
        <w:rPr>
          <w:rFonts w:eastAsiaTheme="minorHAnsi"/>
          <w:lang w:eastAsia="en-US"/>
        </w:rPr>
        <w:t xml:space="preserve">Cette ligne correspondant à une non-exécution des crédits permet de rencontrer en partie les soucis de gestion et les aléas de la vie locale qui empêchent bien souvent de connaître avec précision les crédits budgétaires exacts qui seront utilisés, mais qu'il est nécessaire de maintenir pour des engagements potentiels. Le crédit de recette susvisé constituera donc une marge de </w:t>
      </w:r>
      <w:r w:rsidR="00F528FC">
        <w:rPr>
          <w:rFonts w:eastAsiaTheme="minorHAnsi"/>
          <w:lang w:eastAsia="en-US"/>
        </w:rPr>
        <w:t>manœuvre</w:t>
      </w:r>
      <w:r w:rsidRPr="008D7EB7">
        <w:rPr>
          <w:rFonts w:eastAsiaTheme="minorHAnsi"/>
          <w:lang w:eastAsia="en-US"/>
        </w:rPr>
        <w:t xml:space="preserve"> globale rencontrant cet objectif</w:t>
      </w:r>
      <w:r w:rsidR="00A12F89" w:rsidRPr="008D7EB7">
        <w:rPr>
          <w:rFonts w:eastAsiaTheme="minorHAnsi"/>
          <w:lang w:eastAsia="en-US"/>
        </w:rPr>
        <w:t>.</w:t>
      </w:r>
      <w:r w:rsidRPr="008D7EB7">
        <w:rPr>
          <w:rFonts w:eastAsiaTheme="minorHAnsi"/>
          <w:lang w:eastAsia="en-US"/>
        </w:rPr>
        <w:t xml:space="preserve"> Ce crédit, bien évidemment, ne sera pas à constater et s'annulera automatiquement dans les comptes de l'exercice (pas de droit constaté aux comptes).</w:t>
      </w:r>
    </w:p>
    <w:p w14:paraId="0890D918" w14:textId="77777777" w:rsidR="00F558F2" w:rsidRPr="008D7EB7" w:rsidRDefault="00F558F2" w:rsidP="008D7EB7">
      <w:pPr>
        <w:jc w:val="both"/>
        <w:rPr>
          <w:rFonts w:eastAsiaTheme="minorHAnsi"/>
          <w:lang w:eastAsia="en-US"/>
        </w:rPr>
      </w:pPr>
    </w:p>
    <w:p w14:paraId="168A9321" w14:textId="40D498CF" w:rsidR="00915F50" w:rsidRDefault="000E6D3E" w:rsidP="00F558F2">
      <w:pPr>
        <w:jc w:val="both"/>
        <w:rPr>
          <w:rFonts w:eastAsiaTheme="minorHAnsi"/>
          <w:b/>
          <w:lang w:eastAsia="en-US"/>
        </w:rPr>
      </w:pPr>
      <w:r w:rsidRPr="008D7EB7">
        <w:rPr>
          <w:rFonts w:eastAsiaTheme="minorHAnsi"/>
          <w:lang w:eastAsia="en-US"/>
        </w:rPr>
        <w:t>Article à utiliser absolument : 00010/106-01 : crédit spécial de recettes préfigurant les dépenses non engagées de l'exercice</w:t>
      </w:r>
      <w:r w:rsidR="00CB7ADD">
        <w:rPr>
          <w:rFonts w:eastAsiaTheme="minorHAnsi"/>
          <w:b/>
          <w:lang w:eastAsia="en-US"/>
        </w:rPr>
        <w:t>.</w:t>
      </w:r>
    </w:p>
    <w:p w14:paraId="36F70FD9" w14:textId="77777777" w:rsidR="00F558F2" w:rsidRPr="008D7EB7" w:rsidRDefault="00F558F2" w:rsidP="008D7EB7">
      <w:pPr>
        <w:jc w:val="both"/>
        <w:rPr>
          <w:rFonts w:eastAsiaTheme="minorHAnsi"/>
          <w:lang w:eastAsia="en-US"/>
        </w:rPr>
      </w:pPr>
    </w:p>
    <w:p w14:paraId="5D3B23EA" w14:textId="7427C9DF" w:rsidR="00915F50" w:rsidRPr="005B06A3" w:rsidRDefault="000E6D3E" w:rsidP="00915F50">
      <w:pPr>
        <w:spacing w:before="9" w:line="275" w:lineRule="exact"/>
        <w:jc w:val="both"/>
        <w:textAlignment w:val="baseline"/>
        <w:rPr>
          <w:spacing w:val="-1"/>
        </w:rPr>
      </w:pPr>
      <w:r w:rsidRPr="00C448A6">
        <w:rPr>
          <w:spacing w:val="-1"/>
        </w:rPr>
        <w:t>Calcul du montant à y faire figurer</w:t>
      </w:r>
      <w:r w:rsidR="00F558F2">
        <w:rPr>
          <w:spacing w:val="-1"/>
        </w:rPr>
        <w:t xml:space="preserve"> </w:t>
      </w:r>
      <w:r w:rsidR="00F558F2" w:rsidRPr="00F558F2">
        <w:rPr>
          <w:spacing w:val="-1"/>
        </w:rPr>
        <w:t>au choix de la commune</w:t>
      </w:r>
      <w:r w:rsidR="00F558F2">
        <w:rPr>
          <w:spacing w:val="-1"/>
        </w:rPr>
        <w:t xml:space="preserve"> </w:t>
      </w:r>
      <w:r w:rsidRPr="005B06A3">
        <w:rPr>
          <w:spacing w:val="-1"/>
        </w:rPr>
        <w:t>:</w:t>
      </w:r>
    </w:p>
    <w:p w14:paraId="69D78913" w14:textId="77777777" w:rsidR="00ED2CF5" w:rsidRPr="005B06A3" w:rsidRDefault="00ED2CF5" w:rsidP="00915F50">
      <w:pPr>
        <w:spacing w:before="9" w:line="275" w:lineRule="exact"/>
        <w:jc w:val="both"/>
        <w:textAlignment w:val="baseline"/>
        <w:rPr>
          <w:spacing w:val="-1"/>
        </w:rPr>
      </w:pPr>
    </w:p>
    <w:p w14:paraId="7BAF51F5" w14:textId="64D8295E" w:rsidR="00ED2CF5" w:rsidRPr="00C448A6" w:rsidRDefault="00F558F2" w:rsidP="008D7EB7">
      <w:pPr>
        <w:pStyle w:val="Paragraphedeliste"/>
        <w:numPr>
          <w:ilvl w:val="1"/>
          <w:numId w:val="144"/>
        </w:numPr>
        <w:tabs>
          <w:tab w:val="left" w:pos="360"/>
          <w:tab w:val="left" w:pos="842"/>
        </w:tabs>
        <w:spacing w:before="13" w:line="275" w:lineRule="exact"/>
        <w:ind w:left="720"/>
        <w:jc w:val="both"/>
        <w:textAlignment w:val="baseline"/>
      </w:pPr>
      <w:proofErr w:type="gramStart"/>
      <w:r>
        <w:t>s</w:t>
      </w:r>
      <w:r w:rsidRPr="00F558F2">
        <w:t>oit</w:t>
      </w:r>
      <w:proofErr w:type="gramEnd"/>
      <w:r w:rsidRPr="00F558F2">
        <w:t xml:space="preserve"> 3% des dépenses de personnel et de dette (service ordinaire) du budget concerné </w:t>
      </w:r>
    </w:p>
    <w:p w14:paraId="1545A917" w14:textId="7FCD7809" w:rsidR="00915F50" w:rsidRPr="00F558F2" w:rsidRDefault="00F558F2" w:rsidP="008D7EB7">
      <w:pPr>
        <w:pStyle w:val="Paragraphedeliste"/>
        <w:numPr>
          <w:ilvl w:val="1"/>
          <w:numId w:val="144"/>
        </w:numPr>
        <w:tabs>
          <w:tab w:val="left" w:pos="360"/>
        </w:tabs>
        <w:spacing w:line="271" w:lineRule="exact"/>
        <w:ind w:left="720"/>
        <w:jc w:val="both"/>
        <w:textAlignment w:val="baseline"/>
      </w:pPr>
      <w:proofErr w:type="gramStart"/>
      <w:r w:rsidRPr="00F558F2">
        <w:t>s</w:t>
      </w:r>
      <w:r w:rsidR="000E6D3E" w:rsidRPr="00F558F2">
        <w:t>oit</w:t>
      </w:r>
      <w:proofErr w:type="gramEnd"/>
      <w:r w:rsidR="000E6D3E" w:rsidRPr="00F558F2">
        <w:t xml:space="preserve"> la moyenne obtenue sur les 5 derniers exercices successifs en faisant la différence entre le total des dépenses ordinaires budgétisées de l'exercice proprement dit du budget initial approuvé et du compte correspondant approuvé</w:t>
      </w:r>
      <w:r w:rsidRPr="008D7EB7">
        <w:t>.</w:t>
      </w:r>
    </w:p>
    <w:p w14:paraId="2C748164" w14:textId="7D135F31" w:rsidR="00915F50" w:rsidRDefault="00915F50" w:rsidP="00915F50">
      <w:pPr>
        <w:spacing w:before="10" w:line="274" w:lineRule="exact"/>
        <w:jc w:val="both"/>
        <w:textAlignment w:val="baseline"/>
      </w:pPr>
    </w:p>
    <w:p w14:paraId="4C26B8E3" w14:textId="77777777" w:rsidR="00E159B7" w:rsidRDefault="00E159B7" w:rsidP="00915F50">
      <w:pPr>
        <w:spacing w:before="10" w:line="274" w:lineRule="exact"/>
        <w:jc w:val="both"/>
        <w:textAlignment w:val="baseline"/>
      </w:pPr>
    </w:p>
    <w:p w14:paraId="57181235" w14:textId="1FCED9E2" w:rsidR="00270327" w:rsidRPr="006843B9" w:rsidRDefault="00752378" w:rsidP="00915F50">
      <w:pPr>
        <w:spacing w:before="10" w:line="274" w:lineRule="exact"/>
        <w:jc w:val="both"/>
        <w:textAlignment w:val="baseline"/>
        <w:rPr>
          <w:b/>
          <w:bCs/>
          <w:u w:val="single"/>
        </w:rPr>
      </w:pPr>
      <w:bookmarkStart w:id="1604" w:name="_Hlk105056900"/>
      <w:r>
        <w:rPr>
          <w:b/>
          <w:bCs/>
          <w:u w:val="single"/>
        </w:rPr>
        <w:t>Principe de dégressivité p</w:t>
      </w:r>
      <w:r w:rsidR="00270327" w:rsidRPr="006843B9">
        <w:rPr>
          <w:b/>
          <w:bCs/>
          <w:u w:val="single"/>
        </w:rPr>
        <w:t>our les modifications budgétaires</w:t>
      </w:r>
    </w:p>
    <w:p w14:paraId="222D002C" w14:textId="77777777" w:rsidR="00ED2CF5" w:rsidRPr="002A1B92" w:rsidRDefault="00ED2CF5" w:rsidP="00915F50">
      <w:pPr>
        <w:spacing w:before="10" w:line="274" w:lineRule="exact"/>
        <w:jc w:val="both"/>
        <w:textAlignment w:val="baseline"/>
      </w:pPr>
    </w:p>
    <w:p w14:paraId="146838BA" w14:textId="3527485B" w:rsidR="00752378" w:rsidRDefault="00AA088C" w:rsidP="008D7EB7">
      <w:pPr>
        <w:jc w:val="both"/>
        <w:rPr>
          <w:rFonts w:eastAsiaTheme="minorHAnsi"/>
          <w:lang w:eastAsia="en-US"/>
        </w:rPr>
      </w:pPr>
      <w:r>
        <w:rPr>
          <w:rFonts w:eastAsiaTheme="minorHAnsi"/>
          <w:lang w:eastAsia="en-US"/>
        </w:rPr>
        <w:t>C</w:t>
      </w:r>
      <w:r w:rsidR="00915F50" w:rsidRPr="008D7EB7">
        <w:rPr>
          <w:rFonts w:eastAsiaTheme="minorHAnsi"/>
          <w:lang w:eastAsia="en-US"/>
        </w:rPr>
        <w:t xml:space="preserve">ette possibilité qui vous est offerte ne doit pas entraver l'équilibre réel imposé à l'exercice propre (mais ce crédit sera </w:t>
      </w:r>
      <w:r w:rsidR="000E6D3E" w:rsidRPr="008D7EB7">
        <w:rPr>
          <w:rFonts w:eastAsiaTheme="minorHAnsi"/>
          <w:lang w:eastAsia="en-US"/>
        </w:rPr>
        <w:t xml:space="preserve">pris en compte </w:t>
      </w:r>
      <w:r w:rsidR="00915F50" w:rsidRPr="008D7EB7">
        <w:rPr>
          <w:rFonts w:eastAsiaTheme="minorHAnsi"/>
          <w:lang w:eastAsia="en-US"/>
        </w:rPr>
        <w:t>pour apprécier l'équilibre imposé à l'exercice proprement dit du service ordinaire)</w:t>
      </w:r>
      <w:r w:rsidR="00270327" w:rsidRPr="008D7EB7">
        <w:rPr>
          <w:rFonts w:eastAsiaTheme="minorHAnsi"/>
          <w:lang w:eastAsia="en-US"/>
        </w:rPr>
        <w:t>.</w:t>
      </w:r>
      <w:r w:rsidR="00B50B1A">
        <w:rPr>
          <w:rFonts w:eastAsiaTheme="minorHAnsi"/>
          <w:lang w:eastAsia="en-US"/>
        </w:rPr>
        <w:t xml:space="preserve"> Il vous est par ailleurs demandé de vous interroger sur la pertinence du montant à inscrire à cet article et à le réduire en conséquence.</w:t>
      </w:r>
    </w:p>
    <w:p w14:paraId="44620C04" w14:textId="77777777" w:rsidR="00F558F2" w:rsidRPr="008D7EB7" w:rsidRDefault="00F558F2" w:rsidP="008D7EB7">
      <w:pPr>
        <w:jc w:val="both"/>
        <w:rPr>
          <w:rFonts w:eastAsiaTheme="minorHAnsi"/>
          <w:lang w:eastAsia="en-US"/>
        </w:rPr>
      </w:pPr>
    </w:p>
    <w:p w14:paraId="37A5FE1C" w14:textId="2C2D7D4E" w:rsidR="00270327" w:rsidRDefault="00270327" w:rsidP="008D7EB7">
      <w:pPr>
        <w:jc w:val="both"/>
        <w:rPr>
          <w:rFonts w:eastAsiaTheme="minorHAnsi"/>
          <w:lang w:eastAsia="en-US"/>
        </w:rPr>
      </w:pPr>
      <w:r w:rsidRPr="008D7EB7">
        <w:rPr>
          <w:rFonts w:eastAsiaTheme="minorHAnsi"/>
          <w:lang w:eastAsia="en-US"/>
        </w:rPr>
        <w:lastRenderedPageBreak/>
        <w:t xml:space="preserve">Sachant que les prévisions de dépenses s’affinent tout au long de l’année, et afin d’éviter toute réformation délicate, ce crédit spécial </w:t>
      </w:r>
      <w:r w:rsidR="00E159B7">
        <w:rPr>
          <w:rFonts w:eastAsiaTheme="minorHAnsi"/>
          <w:lang w:eastAsia="en-US"/>
        </w:rPr>
        <w:t xml:space="preserve">devra être réduit </w:t>
      </w:r>
      <w:r w:rsidRPr="008D7EB7">
        <w:rPr>
          <w:rFonts w:eastAsiaTheme="minorHAnsi"/>
          <w:lang w:eastAsia="en-US"/>
        </w:rPr>
        <w:t>proportionnellement au nombre de mois restant à la date d’adoption</w:t>
      </w:r>
      <w:r w:rsidR="009462D3" w:rsidRPr="008D7EB7">
        <w:rPr>
          <w:rFonts w:eastAsiaTheme="minorHAnsi"/>
          <w:lang w:eastAsia="en-US"/>
        </w:rPr>
        <w:t xml:space="preserve"> </w:t>
      </w:r>
      <w:r w:rsidRPr="008D7EB7">
        <w:rPr>
          <w:rFonts w:eastAsiaTheme="minorHAnsi"/>
          <w:lang w:eastAsia="en-US"/>
        </w:rPr>
        <w:t>de la modification budgétaire par le Co</w:t>
      </w:r>
      <w:r w:rsidR="009462D3" w:rsidRPr="008D7EB7">
        <w:rPr>
          <w:rFonts w:eastAsiaTheme="minorHAnsi"/>
          <w:lang w:eastAsia="en-US"/>
        </w:rPr>
        <w:t>nseil</w:t>
      </w:r>
      <w:r w:rsidRPr="008D7EB7">
        <w:rPr>
          <w:rFonts w:eastAsiaTheme="minorHAnsi"/>
          <w:lang w:eastAsia="en-US"/>
        </w:rPr>
        <w:t>, le mois de l’adoption n’étant pas pris en compte.</w:t>
      </w:r>
    </w:p>
    <w:bookmarkEnd w:id="1604"/>
    <w:p w14:paraId="38158547" w14:textId="77777777" w:rsidR="00ED2CF5" w:rsidRPr="00256E9F" w:rsidRDefault="00ED2CF5" w:rsidP="00256E9F">
      <w:pPr>
        <w:spacing w:line="275" w:lineRule="exact"/>
        <w:jc w:val="both"/>
        <w:textAlignment w:val="baseline"/>
        <w:rPr>
          <w:sz w:val="10"/>
          <w:szCs w:val="10"/>
        </w:rPr>
      </w:pPr>
    </w:p>
    <w:p w14:paraId="179FEFB3" w14:textId="39E5DB9C" w:rsidR="00ED2CF5" w:rsidRDefault="00270327" w:rsidP="00270327">
      <w:pPr>
        <w:pStyle w:val="Paragraphedeliste"/>
        <w:tabs>
          <w:tab w:val="left" w:pos="360"/>
        </w:tabs>
        <w:spacing w:before="19" w:line="275" w:lineRule="exact"/>
        <w:ind w:left="720"/>
        <w:jc w:val="both"/>
        <w:textAlignment w:val="baseline"/>
      </w:pPr>
      <w:bookmarkStart w:id="1605" w:name="_Hlk105056965"/>
      <w:r w:rsidRPr="008D7EB7">
        <w:rPr>
          <w:u w:val="single"/>
        </w:rPr>
        <w:t>Ex</w:t>
      </w:r>
      <w:r w:rsidR="00ED2CF5" w:rsidRPr="008D7EB7">
        <w:rPr>
          <w:u w:val="single"/>
        </w:rPr>
        <w:t>emple</w:t>
      </w:r>
      <w:r w:rsidR="00ED2CF5">
        <w:t xml:space="preserve"> </w:t>
      </w:r>
      <w:r>
        <w:t>:</w:t>
      </w:r>
    </w:p>
    <w:p w14:paraId="305D9686" w14:textId="32CFDA7A" w:rsidR="00E159B7" w:rsidRPr="00256E9F" w:rsidRDefault="00E159B7" w:rsidP="00256E9F">
      <w:pPr>
        <w:pStyle w:val="Paragraphedeliste"/>
        <w:tabs>
          <w:tab w:val="left" w:pos="360"/>
        </w:tabs>
        <w:spacing w:before="19" w:line="275" w:lineRule="exact"/>
        <w:ind w:left="720"/>
        <w:jc w:val="both"/>
        <w:textAlignment w:val="baseline"/>
        <w:rPr>
          <w:rFonts w:eastAsia="Arial" w:cs="Arial"/>
          <w:bCs/>
        </w:rPr>
      </w:pPr>
      <w:r w:rsidRPr="00256E9F">
        <w:rPr>
          <w:rFonts w:eastAsia="Arial" w:cs="Arial"/>
          <w:bCs/>
        </w:rPr>
        <w:t xml:space="preserve">Montant obtenu selon le choix de la commune : </w:t>
      </w:r>
      <w:r w:rsidR="00C00B38">
        <w:rPr>
          <w:rFonts w:eastAsia="Arial" w:cs="Arial"/>
          <w:bCs/>
        </w:rPr>
        <w:t>60</w:t>
      </w:r>
      <w:r w:rsidRPr="00256E9F">
        <w:rPr>
          <w:rFonts w:eastAsia="Arial" w:cs="Arial"/>
          <w:bCs/>
        </w:rPr>
        <w:t>.000 euros</w:t>
      </w:r>
    </w:p>
    <w:p w14:paraId="36D46EA8" w14:textId="42B1E4A1" w:rsidR="00E20752" w:rsidRPr="00F558F2" w:rsidRDefault="00270327" w:rsidP="00270327">
      <w:pPr>
        <w:pStyle w:val="Paragraphedeliste"/>
        <w:tabs>
          <w:tab w:val="left" w:pos="360"/>
        </w:tabs>
        <w:spacing w:before="19" w:line="275" w:lineRule="exact"/>
        <w:ind w:left="720"/>
        <w:jc w:val="both"/>
        <w:textAlignment w:val="baseline"/>
      </w:pPr>
      <w:r>
        <w:t>CSR à l’initial (01.01.</w:t>
      </w:r>
      <w:r w:rsidR="00AA088C">
        <w:t>2022</w:t>
      </w:r>
      <w:r w:rsidR="00F539B9">
        <w:t>2023</w:t>
      </w:r>
      <w:r>
        <w:t>) </w:t>
      </w:r>
      <w:r w:rsidR="00F558F2">
        <w:tab/>
      </w:r>
      <w:r w:rsidR="00F558F2">
        <w:tab/>
        <w:t xml:space="preserve">    </w:t>
      </w:r>
      <w:r w:rsidR="00F558F2">
        <w:tab/>
      </w:r>
      <w:r>
        <w:t>:</w:t>
      </w:r>
      <w:r w:rsidR="00E20752">
        <w:t xml:space="preserve"> </w:t>
      </w:r>
      <w:r w:rsidR="00E20752">
        <w:tab/>
        <w:t>60.000 euros</w:t>
      </w:r>
      <w:proofErr w:type="gramStart"/>
      <w:r w:rsidR="00F558F2">
        <w:t> ;</w:t>
      </w:r>
      <w:r w:rsidR="00E20752">
        <w:t>CSR</w:t>
      </w:r>
      <w:proofErr w:type="gramEnd"/>
      <w:r w:rsidR="00E20752">
        <w:t xml:space="preserve"> à la MB1 (</w:t>
      </w:r>
      <w:r w:rsidR="005B06A3" w:rsidRPr="00F558F2">
        <w:t xml:space="preserve">adoption le </w:t>
      </w:r>
      <w:r w:rsidR="00E20752" w:rsidRPr="00F558F2">
        <w:t>15.05.</w:t>
      </w:r>
      <w:r w:rsidR="00F539B9">
        <w:t>2023</w:t>
      </w:r>
      <w:r w:rsidR="00E20752" w:rsidRPr="00F558F2">
        <w:t>) : (60.000 x (7/12)) = 35.000 euros</w:t>
      </w:r>
      <w:r w:rsidR="00F558F2">
        <w:t> ;</w:t>
      </w:r>
    </w:p>
    <w:p w14:paraId="2037B99B" w14:textId="7409B110" w:rsidR="00434136" w:rsidRDefault="00E20752" w:rsidP="00256E9F">
      <w:pPr>
        <w:pStyle w:val="Paragraphedeliste"/>
        <w:tabs>
          <w:tab w:val="left" w:pos="360"/>
        </w:tabs>
        <w:spacing w:before="19" w:line="275" w:lineRule="exact"/>
        <w:ind w:left="720"/>
        <w:jc w:val="both"/>
        <w:textAlignment w:val="baseline"/>
      </w:pPr>
      <w:r w:rsidRPr="00F558F2">
        <w:t xml:space="preserve">CSR à la </w:t>
      </w:r>
      <w:r w:rsidR="00E159B7">
        <w:t xml:space="preserve">dernière </w:t>
      </w:r>
      <w:r w:rsidRPr="00F558F2">
        <w:t>MB (</w:t>
      </w:r>
      <w:r w:rsidR="00E159B7">
        <w:t xml:space="preserve">MB2 </w:t>
      </w:r>
      <w:r w:rsidR="005B06A3" w:rsidRPr="00F558F2">
        <w:t>adopt</w:t>
      </w:r>
      <w:r w:rsidR="00E159B7">
        <w:t>ée</w:t>
      </w:r>
      <w:r w:rsidR="005B06A3" w:rsidRPr="00F558F2">
        <w:t xml:space="preserve"> le </w:t>
      </w:r>
      <w:r w:rsidRPr="00F558F2">
        <w:t>15</w:t>
      </w:r>
      <w:r>
        <w:t>.10.</w:t>
      </w:r>
      <w:r w:rsidR="00F539B9">
        <w:t>2023</w:t>
      </w:r>
      <w:r>
        <w:t>) :</w:t>
      </w:r>
      <w:r w:rsidR="00E159B7">
        <w:t xml:space="preserve"> </w:t>
      </w:r>
      <w:r>
        <w:t>(60.000 x (2/12)) = 10.000 euros</w:t>
      </w:r>
      <w:r w:rsidR="00F558F2">
        <w:t>.</w:t>
      </w:r>
      <w:bookmarkEnd w:id="1605"/>
    </w:p>
    <w:p w14:paraId="0AE9E037" w14:textId="2072AA57" w:rsidR="002A1B92" w:rsidRDefault="000E6D3E" w:rsidP="00F558F2">
      <w:pPr>
        <w:jc w:val="both"/>
        <w:rPr>
          <w:rFonts w:eastAsiaTheme="minorHAnsi"/>
          <w:lang w:eastAsia="en-US"/>
        </w:rPr>
      </w:pPr>
      <w:r w:rsidRPr="008D7EB7">
        <w:rPr>
          <w:rFonts w:eastAsiaTheme="minorHAnsi"/>
          <w:lang w:eastAsia="en-US"/>
        </w:rPr>
        <w:t xml:space="preserve">Par ailleurs, ce crédit, s'il existe, ne pourra servir à constituer une provision </w:t>
      </w:r>
      <w:r w:rsidR="006E30EF" w:rsidRPr="008D7EB7">
        <w:rPr>
          <w:rFonts w:eastAsiaTheme="minorHAnsi"/>
          <w:lang w:eastAsia="en-US"/>
        </w:rPr>
        <w:t>ni un fond</w:t>
      </w:r>
      <w:r w:rsidR="006216FD" w:rsidRPr="008D7EB7">
        <w:rPr>
          <w:rFonts w:eastAsiaTheme="minorHAnsi"/>
          <w:lang w:eastAsia="en-US"/>
        </w:rPr>
        <w:t xml:space="preserve">s </w:t>
      </w:r>
      <w:r w:rsidR="006E30EF" w:rsidRPr="008D7EB7">
        <w:rPr>
          <w:rFonts w:eastAsiaTheme="minorHAnsi"/>
          <w:lang w:eastAsia="en-US"/>
        </w:rPr>
        <w:t xml:space="preserve">de réserve </w:t>
      </w:r>
      <w:r w:rsidRPr="008D7EB7">
        <w:rPr>
          <w:rFonts w:eastAsiaTheme="minorHAnsi"/>
          <w:lang w:eastAsia="en-US"/>
        </w:rPr>
        <w:t xml:space="preserve">(en d'autres termes, une provision ne pourra être constituée que s'il y a un boni ordinaire à l'exercice propre </w:t>
      </w:r>
      <w:proofErr w:type="gramStart"/>
      <w:r w:rsidRPr="008D7EB7">
        <w:rPr>
          <w:rFonts w:eastAsiaTheme="minorHAnsi"/>
          <w:lang w:eastAsia="en-US"/>
        </w:rPr>
        <w:t>hors</w:t>
      </w:r>
      <w:proofErr w:type="gramEnd"/>
      <w:r w:rsidRPr="008D7EB7">
        <w:rPr>
          <w:rFonts w:eastAsiaTheme="minorHAnsi"/>
          <w:lang w:eastAsia="en-US"/>
        </w:rPr>
        <w:t xml:space="preserve"> ce crédit</w:t>
      </w:r>
      <w:r w:rsidR="009A7E0A" w:rsidRPr="008D7EB7">
        <w:rPr>
          <w:rFonts w:eastAsiaTheme="minorHAnsi"/>
          <w:lang w:eastAsia="en-US"/>
        </w:rPr>
        <w:t xml:space="preserve"> et un </w:t>
      </w:r>
      <w:r w:rsidR="008C07CA" w:rsidRPr="008D7EB7">
        <w:rPr>
          <w:rFonts w:eastAsiaTheme="minorHAnsi"/>
          <w:lang w:eastAsia="en-US"/>
        </w:rPr>
        <w:t>fonds de réserve ne pourra</w:t>
      </w:r>
      <w:r w:rsidR="009A7E0A" w:rsidRPr="008D7EB7">
        <w:rPr>
          <w:rFonts w:eastAsiaTheme="minorHAnsi"/>
          <w:lang w:eastAsia="en-US"/>
        </w:rPr>
        <w:t xml:space="preserve"> être constitué que s’il y a un boni au global hors ce crédit</w:t>
      </w:r>
      <w:r w:rsidRPr="008D7EB7">
        <w:rPr>
          <w:rFonts w:eastAsiaTheme="minorHAnsi"/>
          <w:lang w:eastAsia="en-US"/>
        </w:rPr>
        <w:t>).</w:t>
      </w:r>
    </w:p>
    <w:p w14:paraId="0949245C" w14:textId="77777777" w:rsidR="00F558F2" w:rsidRPr="00256E9F" w:rsidRDefault="00F558F2" w:rsidP="008D7EB7">
      <w:pPr>
        <w:jc w:val="both"/>
        <w:rPr>
          <w:rFonts w:eastAsiaTheme="minorHAnsi"/>
          <w:sz w:val="10"/>
          <w:szCs w:val="10"/>
          <w:lang w:eastAsia="en-US"/>
        </w:rPr>
      </w:pPr>
    </w:p>
    <w:p w14:paraId="09AD082F" w14:textId="33F907AF" w:rsidR="00C32AF2" w:rsidRDefault="009462D3" w:rsidP="008D7EB7">
      <w:pPr>
        <w:jc w:val="both"/>
        <w:rPr>
          <w:rFonts w:eastAsiaTheme="minorHAnsi"/>
          <w:lang w:eastAsia="en-US"/>
        </w:rPr>
      </w:pPr>
      <w:bookmarkStart w:id="1606" w:name="_Hlk105057027"/>
      <w:r w:rsidRPr="00256E9F">
        <w:rPr>
          <w:rFonts w:eastAsiaTheme="minorHAnsi"/>
          <w:b/>
          <w:bCs/>
          <w:lang w:eastAsia="en-US"/>
        </w:rPr>
        <w:t xml:space="preserve">Pour rappel, </w:t>
      </w:r>
      <w:r w:rsidRPr="008D7EB7">
        <w:rPr>
          <w:rFonts w:eastAsiaTheme="minorHAnsi"/>
          <w:lang w:eastAsia="en-US"/>
        </w:rPr>
        <w:t xml:space="preserve">au moment de l’injection du résultat du compte, ce CSR </w:t>
      </w:r>
      <w:r w:rsidR="00E159B7">
        <w:rPr>
          <w:rFonts w:eastAsiaTheme="minorHAnsi"/>
          <w:lang w:eastAsia="en-US"/>
        </w:rPr>
        <w:t xml:space="preserve">aura été </w:t>
      </w:r>
      <w:r w:rsidRPr="008D7EB7">
        <w:rPr>
          <w:rFonts w:eastAsiaTheme="minorHAnsi"/>
          <w:lang w:eastAsia="en-US"/>
        </w:rPr>
        <w:t>supprimé.</w:t>
      </w:r>
    </w:p>
    <w:bookmarkEnd w:id="1606"/>
    <w:p w14:paraId="50AE9C6D" w14:textId="77777777" w:rsidR="006D6B9E" w:rsidRPr="008D7EB7" w:rsidRDefault="006D6B9E" w:rsidP="008D7EB7">
      <w:pPr>
        <w:jc w:val="both"/>
        <w:rPr>
          <w:rFonts w:eastAsiaTheme="minorHAnsi"/>
          <w:lang w:eastAsia="en-US"/>
        </w:rPr>
      </w:pPr>
    </w:p>
    <w:p w14:paraId="0C202F92" w14:textId="77777777" w:rsidR="004A2669" w:rsidRPr="001E1353" w:rsidRDefault="004A2669" w:rsidP="001E1353">
      <w:pPr>
        <w:pStyle w:val="Sam1"/>
      </w:pPr>
      <w:bookmarkStart w:id="1607" w:name="_Toc40185305"/>
      <w:bookmarkStart w:id="1608" w:name="_Toc40186040"/>
      <w:bookmarkStart w:id="1609" w:name="_Toc8121679"/>
      <w:bookmarkStart w:id="1610" w:name="_Toc8129620"/>
      <w:bookmarkStart w:id="1611" w:name="_Toc8121680"/>
      <w:bookmarkStart w:id="1612" w:name="_Toc8129621"/>
      <w:bookmarkStart w:id="1613" w:name="_Toc512520203"/>
      <w:bookmarkStart w:id="1614" w:name="_Toc512520334"/>
      <w:bookmarkStart w:id="1615" w:name="_Toc512520466"/>
      <w:bookmarkStart w:id="1616" w:name="_Toc512520597"/>
      <w:bookmarkStart w:id="1617" w:name="_Toc512520728"/>
      <w:bookmarkStart w:id="1618" w:name="_Toc512520859"/>
      <w:bookmarkStart w:id="1619" w:name="_Toc512520990"/>
      <w:bookmarkStart w:id="1620" w:name="_Toc512606788"/>
      <w:bookmarkStart w:id="1621" w:name="_Toc512606923"/>
      <w:bookmarkStart w:id="1622" w:name="_Toc512607058"/>
      <w:bookmarkStart w:id="1623" w:name="_Toc515355856"/>
      <w:bookmarkStart w:id="1624" w:name="_Toc515355993"/>
      <w:bookmarkStart w:id="1625" w:name="_Toc515360403"/>
      <w:bookmarkStart w:id="1626" w:name="_Toc515974999"/>
      <w:bookmarkStart w:id="1627" w:name="_Toc515978507"/>
      <w:bookmarkStart w:id="1628" w:name="_Toc516058891"/>
      <w:bookmarkStart w:id="1629" w:name="_Toc516059033"/>
      <w:bookmarkStart w:id="1630" w:name="_Toc516227757"/>
      <w:bookmarkStart w:id="1631" w:name="_Toc516229570"/>
      <w:bookmarkStart w:id="1632" w:name="_Toc516229865"/>
      <w:bookmarkStart w:id="1633" w:name="_Toc516230160"/>
      <w:bookmarkStart w:id="1634" w:name="_Toc516230455"/>
      <w:bookmarkStart w:id="1635" w:name="_Toc516230749"/>
      <w:bookmarkStart w:id="1636" w:name="_Toc516231043"/>
      <w:bookmarkStart w:id="1637" w:name="_Toc516231338"/>
      <w:bookmarkStart w:id="1638" w:name="_Toc516231634"/>
      <w:bookmarkStart w:id="1639" w:name="_Toc516242727"/>
      <w:bookmarkStart w:id="1640" w:name="_Toc516243030"/>
      <w:bookmarkStart w:id="1641" w:name="_Toc516244963"/>
      <w:bookmarkStart w:id="1642" w:name="_Toc516473535"/>
      <w:bookmarkStart w:id="1643" w:name="_Toc516473845"/>
      <w:bookmarkStart w:id="1644" w:name="_Toc516474155"/>
      <w:bookmarkStart w:id="1645" w:name="_Toc516474463"/>
      <w:bookmarkStart w:id="1646" w:name="_Toc516474794"/>
      <w:bookmarkStart w:id="1647" w:name="_Toc516478825"/>
      <w:bookmarkStart w:id="1648" w:name="_Toc516479288"/>
      <w:bookmarkStart w:id="1649" w:name="_Toc516479605"/>
      <w:bookmarkStart w:id="1650" w:name="_Toc516479928"/>
      <w:bookmarkStart w:id="1651" w:name="_Toc516480243"/>
      <w:bookmarkStart w:id="1652" w:name="_Toc516480557"/>
      <w:bookmarkStart w:id="1653" w:name="_Toc516480871"/>
      <w:bookmarkStart w:id="1654" w:name="_Toc516481185"/>
      <w:bookmarkStart w:id="1655" w:name="_Toc516481499"/>
      <w:bookmarkStart w:id="1656" w:name="_Toc516481813"/>
      <w:bookmarkStart w:id="1657" w:name="_Toc516482127"/>
      <w:bookmarkStart w:id="1658" w:name="_Toc516482441"/>
      <w:bookmarkStart w:id="1659" w:name="_Toc516739563"/>
      <w:bookmarkStart w:id="1660" w:name="_Toc516751476"/>
      <w:bookmarkStart w:id="1661" w:name="_Toc516825543"/>
      <w:bookmarkStart w:id="1662" w:name="_Toc516826101"/>
      <w:bookmarkStart w:id="1663" w:name="_Toc516837420"/>
      <w:bookmarkStart w:id="1664" w:name="_Toc516837979"/>
      <w:bookmarkStart w:id="1665" w:name="_Toc516838538"/>
      <w:bookmarkStart w:id="1666" w:name="_Toc516839097"/>
      <w:bookmarkStart w:id="1667" w:name="_Toc517173193"/>
      <w:bookmarkStart w:id="1668" w:name="_Toc517174867"/>
      <w:bookmarkStart w:id="1669" w:name="_Toc517175454"/>
      <w:bookmarkStart w:id="1670" w:name="_Toc517176042"/>
      <w:bookmarkStart w:id="1671" w:name="_Toc517337364"/>
      <w:bookmarkStart w:id="1672" w:name="_Toc517360159"/>
      <w:bookmarkStart w:id="1673" w:name="_Toc512520204"/>
      <w:bookmarkStart w:id="1674" w:name="_Toc512520335"/>
      <w:bookmarkStart w:id="1675" w:name="_Toc512520467"/>
      <w:bookmarkStart w:id="1676" w:name="_Toc512520598"/>
      <w:bookmarkStart w:id="1677" w:name="_Toc512520729"/>
      <w:bookmarkStart w:id="1678" w:name="_Toc512520860"/>
      <w:bookmarkStart w:id="1679" w:name="_Toc512520991"/>
      <w:bookmarkStart w:id="1680" w:name="_Toc512606789"/>
      <w:bookmarkStart w:id="1681" w:name="_Toc512606924"/>
      <w:bookmarkStart w:id="1682" w:name="_Toc512607059"/>
      <w:bookmarkStart w:id="1683" w:name="_Toc515355857"/>
      <w:bookmarkStart w:id="1684" w:name="_Toc515355994"/>
      <w:bookmarkStart w:id="1685" w:name="_Toc515360404"/>
      <w:bookmarkStart w:id="1686" w:name="_Toc515975000"/>
      <w:bookmarkStart w:id="1687" w:name="_Toc515978508"/>
      <w:bookmarkStart w:id="1688" w:name="_Toc516058892"/>
      <w:bookmarkStart w:id="1689" w:name="_Toc516059034"/>
      <w:bookmarkStart w:id="1690" w:name="_Toc516227758"/>
      <w:bookmarkStart w:id="1691" w:name="_Toc516229571"/>
      <w:bookmarkStart w:id="1692" w:name="_Toc516229866"/>
      <w:bookmarkStart w:id="1693" w:name="_Toc516230161"/>
      <w:bookmarkStart w:id="1694" w:name="_Toc516230456"/>
      <w:bookmarkStart w:id="1695" w:name="_Toc516230750"/>
      <w:bookmarkStart w:id="1696" w:name="_Toc516231044"/>
      <w:bookmarkStart w:id="1697" w:name="_Toc516231339"/>
      <w:bookmarkStart w:id="1698" w:name="_Toc516231635"/>
      <w:bookmarkStart w:id="1699" w:name="_Toc516242728"/>
      <w:bookmarkStart w:id="1700" w:name="_Toc516243031"/>
      <w:bookmarkStart w:id="1701" w:name="_Toc516244964"/>
      <w:bookmarkStart w:id="1702" w:name="_Toc516473536"/>
      <w:bookmarkStart w:id="1703" w:name="_Toc516473846"/>
      <w:bookmarkStart w:id="1704" w:name="_Toc516474156"/>
      <w:bookmarkStart w:id="1705" w:name="_Toc516474464"/>
      <w:bookmarkStart w:id="1706" w:name="_Toc516474795"/>
      <w:bookmarkStart w:id="1707" w:name="_Toc516478826"/>
      <w:bookmarkStart w:id="1708" w:name="_Toc516479289"/>
      <w:bookmarkStart w:id="1709" w:name="_Toc516479606"/>
      <w:bookmarkStart w:id="1710" w:name="_Toc516479929"/>
      <w:bookmarkStart w:id="1711" w:name="_Toc516480244"/>
      <w:bookmarkStart w:id="1712" w:name="_Toc516480558"/>
      <w:bookmarkStart w:id="1713" w:name="_Toc516480872"/>
      <w:bookmarkStart w:id="1714" w:name="_Toc516481186"/>
      <w:bookmarkStart w:id="1715" w:name="_Toc516481500"/>
      <w:bookmarkStart w:id="1716" w:name="_Toc516481814"/>
      <w:bookmarkStart w:id="1717" w:name="_Toc516482128"/>
      <w:bookmarkStart w:id="1718" w:name="_Toc516482442"/>
      <w:bookmarkStart w:id="1719" w:name="_Toc516739564"/>
      <w:bookmarkStart w:id="1720" w:name="_Toc516751477"/>
      <w:bookmarkStart w:id="1721" w:name="_Toc516825544"/>
      <w:bookmarkStart w:id="1722" w:name="_Toc516826102"/>
      <w:bookmarkStart w:id="1723" w:name="_Toc516837421"/>
      <w:bookmarkStart w:id="1724" w:name="_Toc516837980"/>
      <w:bookmarkStart w:id="1725" w:name="_Toc516838539"/>
      <w:bookmarkStart w:id="1726" w:name="_Toc516839098"/>
      <w:bookmarkStart w:id="1727" w:name="_Toc517173194"/>
      <w:bookmarkStart w:id="1728" w:name="_Toc517174868"/>
      <w:bookmarkStart w:id="1729" w:name="_Toc517175455"/>
      <w:bookmarkStart w:id="1730" w:name="_Toc517176043"/>
      <w:bookmarkStart w:id="1731" w:name="_Toc517337365"/>
      <w:bookmarkStart w:id="1732" w:name="_Toc517360160"/>
      <w:bookmarkStart w:id="1733" w:name="_Toc512520205"/>
      <w:bookmarkStart w:id="1734" w:name="_Toc512520336"/>
      <w:bookmarkStart w:id="1735" w:name="_Toc512520468"/>
      <w:bookmarkStart w:id="1736" w:name="_Toc512520599"/>
      <w:bookmarkStart w:id="1737" w:name="_Toc512520730"/>
      <w:bookmarkStart w:id="1738" w:name="_Toc512520861"/>
      <w:bookmarkStart w:id="1739" w:name="_Toc512520992"/>
      <w:bookmarkStart w:id="1740" w:name="_Toc512606790"/>
      <w:bookmarkStart w:id="1741" w:name="_Toc512606925"/>
      <w:bookmarkStart w:id="1742" w:name="_Toc512607060"/>
      <w:bookmarkStart w:id="1743" w:name="_Toc515355858"/>
      <w:bookmarkStart w:id="1744" w:name="_Toc515355995"/>
      <w:bookmarkStart w:id="1745" w:name="_Toc515360405"/>
      <w:bookmarkStart w:id="1746" w:name="_Toc515975001"/>
      <w:bookmarkStart w:id="1747" w:name="_Toc515978509"/>
      <w:bookmarkStart w:id="1748" w:name="_Toc516058893"/>
      <w:bookmarkStart w:id="1749" w:name="_Toc516059035"/>
      <w:bookmarkStart w:id="1750" w:name="_Toc516227759"/>
      <w:bookmarkStart w:id="1751" w:name="_Toc516229572"/>
      <w:bookmarkStart w:id="1752" w:name="_Toc516229867"/>
      <w:bookmarkStart w:id="1753" w:name="_Toc516230162"/>
      <w:bookmarkStart w:id="1754" w:name="_Toc516230457"/>
      <w:bookmarkStart w:id="1755" w:name="_Toc516230751"/>
      <w:bookmarkStart w:id="1756" w:name="_Toc516231045"/>
      <w:bookmarkStart w:id="1757" w:name="_Toc516231340"/>
      <w:bookmarkStart w:id="1758" w:name="_Toc516231636"/>
      <w:bookmarkStart w:id="1759" w:name="_Toc516242729"/>
      <w:bookmarkStart w:id="1760" w:name="_Toc516243032"/>
      <w:bookmarkStart w:id="1761" w:name="_Toc516244965"/>
      <w:bookmarkStart w:id="1762" w:name="_Toc516473537"/>
      <w:bookmarkStart w:id="1763" w:name="_Toc516473847"/>
      <w:bookmarkStart w:id="1764" w:name="_Toc516474157"/>
      <w:bookmarkStart w:id="1765" w:name="_Toc516474465"/>
      <w:bookmarkStart w:id="1766" w:name="_Toc516474796"/>
      <w:bookmarkStart w:id="1767" w:name="_Toc516478827"/>
      <w:bookmarkStart w:id="1768" w:name="_Toc516479290"/>
      <w:bookmarkStart w:id="1769" w:name="_Toc516479607"/>
      <w:bookmarkStart w:id="1770" w:name="_Toc516479930"/>
      <w:bookmarkStart w:id="1771" w:name="_Toc516480245"/>
      <w:bookmarkStart w:id="1772" w:name="_Toc516480559"/>
      <w:bookmarkStart w:id="1773" w:name="_Toc516480873"/>
      <w:bookmarkStart w:id="1774" w:name="_Toc516481187"/>
      <w:bookmarkStart w:id="1775" w:name="_Toc516481501"/>
      <w:bookmarkStart w:id="1776" w:name="_Toc516481815"/>
      <w:bookmarkStart w:id="1777" w:name="_Toc516482129"/>
      <w:bookmarkStart w:id="1778" w:name="_Toc516482443"/>
      <w:bookmarkStart w:id="1779" w:name="_Toc516739565"/>
      <w:bookmarkStart w:id="1780" w:name="_Toc516751478"/>
      <w:bookmarkStart w:id="1781" w:name="_Toc516825545"/>
      <w:bookmarkStart w:id="1782" w:name="_Toc516826103"/>
      <w:bookmarkStart w:id="1783" w:name="_Toc516837422"/>
      <w:bookmarkStart w:id="1784" w:name="_Toc516837981"/>
      <w:bookmarkStart w:id="1785" w:name="_Toc516838540"/>
      <w:bookmarkStart w:id="1786" w:name="_Toc516839099"/>
      <w:bookmarkStart w:id="1787" w:name="_Toc517173195"/>
      <w:bookmarkStart w:id="1788" w:name="_Toc517174869"/>
      <w:bookmarkStart w:id="1789" w:name="_Toc517175456"/>
      <w:bookmarkStart w:id="1790" w:name="_Toc517176044"/>
      <w:bookmarkStart w:id="1791" w:name="_Toc517337366"/>
      <w:bookmarkStart w:id="1792" w:name="_Toc517360161"/>
      <w:bookmarkStart w:id="1793" w:name="_Toc512520206"/>
      <w:bookmarkStart w:id="1794" w:name="_Toc512520337"/>
      <w:bookmarkStart w:id="1795" w:name="_Toc512520469"/>
      <w:bookmarkStart w:id="1796" w:name="_Toc512520600"/>
      <w:bookmarkStart w:id="1797" w:name="_Toc512520731"/>
      <w:bookmarkStart w:id="1798" w:name="_Toc512520862"/>
      <w:bookmarkStart w:id="1799" w:name="_Toc512520993"/>
      <w:bookmarkStart w:id="1800" w:name="_Toc512606791"/>
      <w:bookmarkStart w:id="1801" w:name="_Toc512606926"/>
      <w:bookmarkStart w:id="1802" w:name="_Toc512607061"/>
      <w:bookmarkStart w:id="1803" w:name="_Toc515355859"/>
      <w:bookmarkStart w:id="1804" w:name="_Toc515355996"/>
      <w:bookmarkStart w:id="1805" w:name="_Toc515360406"/>
      <w:bookmarkStart w:id="1806" w:name="_Toc515975002"/>
      <w:bookmarkStart w:id="1807" w:name="_Toc515978510"/>
      <w:bookmarkStart w:id="1808" w:name="_Toc516058894"/>
      <w:bookmarkStart w:id="1809" w:name="_Toc516059036"/>
      <w:bookmarkStart w:id="1810" w:name="_Toc516227760"/>
      <w:bookmarkStart w:id="1811" w:name="_Toc516229573"/>
      <w:bookmarkStart w:id="1812" w:name="_Toc516229868"/>
      <w:bookmarkStart w:id="1813" w:name="_Toc516230163"/>
      <w:bookmarkStart w:id="1814" w:name="_Toc516230458"/>
      <w:bookmarkStart w:id="1815" w:name="_Toc516230752"/>
      <w:bookmarkStart w:id="1816" w:name="_Toc516231046"/>
      <w:bookmarkStart w:id="1817" w:name="_Toc516231341"/>
      <w:bookmarkStart w:id="1818" w:name="_Toc516231637"/>
      <w:bookmarkStart w:id="1819" w:name="_Toc516242730"/>
      <w:bookmarkStart w:id="1820" w:name="_Toc516243033"/>
      <w:bookmarkStart w:id="1821" w:name="_Toc516244966"/>
      <w:bookmarkStart w:id="1822" w:name="_Toc516473538"/>
      <w:bookmarkStart w:id="1823" w:name="_Toc516473848"/>
      <w:bookmarkStart w:id="1824" w:name="_Toc516474158"/>
      <w:bookmarkStart w:id="1825" w:name="_Toc516474466"/>
      <w:bookmarkStart w:id="1826" w:name="_Toc516474797"/>
      <w:bookmarkStart w:id="1827" w:name="_Toc516478828"/>
      <w:bookmarkStart w:id="1828" w:name="_Toc516479291"/>
      <w:bookmarkStart w:id="1829" w:name="_Toc516479608"/>
      <w:bookmarkStart w:id="1830" w:name="_Toc516479931"/>
      <w:bookmarkStart w:id="1831" w:name="_Toc516480246"/>
      <w:bookmarkStart w:id="1832" w:name="_Toc516480560"/>
      <w:bookmarkStart w:id="1833" w:name="_Toc516480874"/>
      <w:bookmarkStart w:id="1834" w:name="_Toc516481188"/>
      <w:bookmarkStart w:id="1835" w:name="_Toc516481502"/>
      <w:bookmarkStart w:id="1836" w:name="_Toc516481816"/>
      <w:bookmarkStart w:id="1837" w:name="_Toc516482130"/>
      <w:bookmarkStart w:id="1838" w:name="_Toc516482444"/>
      <w:bookmarkStart w:id="1839" w:name="_Toc516739566"/>
      <w:bookmarkStart w:id="1840" w:name="_Toc516751479"/>
      <w:bookmarkStart w:id="1841" w:name="_Toc516825546"/>
      <w:bookmarkStart w:id="1842" w:name="_Toc516826104"/>
      <w:bookmarkStart w:id="1843" w:name="_Toc516837423"/>
      <w:bookmarkStart w:id="1844" w:name="_Toc516837982"/>
      <w:bookmarkStart w:id="1845" w:name="_Toc516838541"/>
      <w:bookmarkStart w:id="1846" w:name="_Toc516839100"/>
      <w:bookmarkStart w:id="1847" w:name="_Toc517173196"/>
      <w:bookmarkStart w:id="1848" w:name="_Toc517174870"/>
      <w:bookmarkStart w:id="1849" w:name="_Toc517175457"/>
      <w:bookmarkStart w:id="1850" w:name="_Toc517176045"/>
      <w:bookmarkStart w:id="1851" w:name="_Toc517337367"/>
      <w:bookmarkStart w:id="1852" w:name="_Toc517360162"/>
      <w:bookmarkStart w:id="1853" w:name="_Toc512520207"/>
      <w:bookmarkStart w:id="1854" w:name="_Toc512520338"/>
      <w:bookmarkStart w:id="1855" w:name="_Toc512520470"/>
      <w:bookmarkStart w:id="1856" w:name="_Toc512520601"/>
      <w:bookmarkStart w:id="1857" w:name="_Toc512520732"/>
      <w:bookmarkStart w:id="1858" w:name="_Toc512520863"/>
      <w:bookmarkStart w:id="1859" w:name="_Toc512520994"/>
      <w:bookmarkStart w:id="1860" w:name="_Toc512606792"/>
      <w:bookmarkStart w:id="1861" w:name="_Toc512606927"/>
      <w:bookmarkStart w:id="1862" w:name="_Toc512607062"/>
      <w:bookmarkStart w:id="1863" w:name="_Toc515355860"/>
      <w:bookmarkStart w:id="1864" w:name="_Toc515355997"/>
      <w:bookmarkStart w:id="1865" w:name="_Toc515360407"/>
      <w:bookmarkStart w:id="1866" w:name="_Toc515975003"/>
      <w:bookmarkStart w:id="1867" w:name="_Toc515978511"/>
      <w:bookmarkStart w:id="1868" w:name="_Toc516058895"/>
      <w:bookmarkStart w:id="1869" w:name="_Toc516059037"/>
      <w:bookmarkStart w:id="1870" w:name="_Toc516227761"/>
      <w:bookmarkStart w:id="1871" w:name="_Toc516229574"/>
      <w:bookmarkStart w:id="1872" w:name="_Toc516229869"/>
      <w:bookmarkStart w:id="1873" w:name="_Toc516230164"/>
      <w:bookmarkStart w:id="1874" w:name="_Toc516230459"/>
      <w:bookmarkStart w:id="1875" w:name="_Toc516230753"/>
      <w:bookmarkStart w:id="1876" w:name="_Toc516231047"/>
      <w:bookmarkStart w:id="1877" w:name="_Toc516231342"/>
      <w:bookmarkStart w:id="1878" w:name="_Toc516231638"/>
      <w:bookmarkStart w:id="1879" w:name="_Toc516242731"/>
      <w:bookmarkStart w:id="1880" w:name="_Toc516243034"/>
      <w:bookmarkStart w:id="1881" w:name="_Toc516244967"/>
      <w:bookmarkStart w:id="1882" w:name="_Toc516473539"/>
      <w:bookmarkStart w:id="1883" w:name="_Toc516473849"/>
      <w:bookmarkStart w:id="1884" w:name="_Toc516474159"/>
      <w:bookmarkStart w:id="1885" w:name="_Toc516474467"/>
      <w:bookmarkStart w:id="1886" w:name="_Toc516474798"/>
      <w:bookmarkStart w:id="1887" w:name="_Toc516478829"/>
      <w:bookmarkStart w:id="1888" w:name="_Toc516479292"/>
      <w:bookmarkStart w:id="1889" w:name="_Toc516479609"/>
      <w:bookmarkStart w:id="1890" w:name="_Toc516479932"/>
      <w:bookmarkStart w:id="1891" w:name="_Toc516480247"/>
      <w:bookmarkStart w:id="1892" w:name="_Toc516480561"/>
      <w:bookmarkStart w:id="1893" w:name="_Toc516480875"/>
      <w:bookmarkStart w:id="1894" w:name="_Toc516481189"/>
      <w:bookmarkStart w:id="1895" w:name="_Toc516481503"/>
      <w:bookmarkStart w:id="1896" w:name="_Toc516481817"/>
      <w:bookmarkStart w:id="1897" w:name="_Toc516482131"/>
      <w:bookmarkStart w:id="1898" w:name="_Toc516482445"/>
      <w:bookmarkStart w:id="1899" w:name="_Toc516739567"/>
      <w:bookmarkStart w:id="1900" w:name="_Toc516751480"/>
      <w:bookmarkStart w:id="1901" w:name="_Toc516825547"/>
      <w:bookmarkStart w:id="1902" w:name="_Toc516826105"/>
      <w:bookmarkStart w:id="1903" w:name="_Toc516837424"/>
      <w:bookmarkStart w:id="1904" w:name="_Toc516837983"/>
      <w:bookmarkStart w:id="1905" w:name="_Toc516838542"/>
      <w:bookmarkStart w:id="1906" w:name="_Toc516839101"/>
      <w:bookmarkStart w:id="1907" w:name="_Toc517173197"/>
      <w:bookmarkStart w:id="1908" w:name="_Toc517174871"/>
      <w:bookmarkStart w:id="1909" w:name="_Toc517175458"/>
      <w:bookmarkStart w:id="1910" w:name="_Toc517176046"/>
      <w:bookmarkStart w:id="1911" w:name="_Toc517337368"/>
      <w:bookmarkStart w:id="1912" w:name="_Toc517360163"/>
      <w:bookmarkStart w:id="1913" w:name="_Toc512520208"/>
      <w:bookmarkStart w:id="1914" w:name="_Toc512520339"/>
      <w:bookmarkStart w:id="1915" w:name="_Toc512520471"/>
      <w:bookmarkStart w:id="1916" w:name="_Toc512520602"/>
      <w:bookmarkStart w:id="1917" w:name="_Toc512520733"/>
      <w:bookmarkStart w:id="1918" w:name="_Toc512520864"/>
      <w:bookmarkStart w:id="1919" w:name="_Toc512520995"/>
      <w:bookmarkStart w:id="1920" w:name="_Toc512606793"/>
      <w:bookmarkStart w:id="1921" w:name="_Toc512606928"/>
      <w:bookmarkStart w:id="1922" w:name="_Toc512607063"/>
      <w:bookmarkStart w:id="1923" w:name="_Toc515355861"/>
      <w:bookmarkStart w:id="1924" w:name="_Toc515355998"/>
      <w:bookmarkStart w:id="1925" w:name="_Toc515360408"/>
      <w:bookmarkStart w:id="1926" w:name="_Toc515975004"/>
      <w:bookmarkStart w:id="1927" w:name="_Toc515978512"/>
      <w:bookmarkStart w:id="1928" w:name="_Toc516058896"/>
      <w:bookmarkStart w:id="1929" w:name="_Toc516059038"/>
      <w:bookmarkStart w:id="1930" w:name="_Toc516227762"/>
      <w:bookmarkStart w:id="1931" w:name="_Toc516229575"/>
      <w:bookmarkStart w:id="1932" w:name="_Toc516229870"/>
      <w:bookmarkStart w:id="1933" w:name="_Toc516230165"/>
      <w:bookmarkStart w:id="1934" w:name="_Toc516230460"/>
      <w:bookmarkStart w:id="1935" w:name="_Toc516230754"/>
      <w:bookmarkStart w:id="1936" w:name="_Toc516231048"/>
      <w:bookmarkStart w:id="1937" w:name="_Toc516231343"/>
      <w:bookmarkStart w:id="1938" w:name="_Toc516231639"/>
      <w:bookmarkStart w:id="1939" w:name="_Toc516242732"/>
      <w:bookmarkStart w:id="1940" w:name="_Toc516243035"/>
      <w:bookmarkStart w:id="1941" w:name="_Toc516244968"/>
      <w:bookmarkStart w:id="1942" w:name="_Toc516473540"/>
      <w:bookmarkStart w:id="1943" w:name="_Toc516473850"/>
      <w:bookmarkStart w:id="1944" w:name="_Toc516474160"/>
      <w:bookmarkStart w:id="1945" w:name="_Toc516474468"/>
      <w:bookmarkStart w:id="1946" w:name="_Toc516474799"/>
      <w:bookmarkStart w:id="1947" w:name="_Toc516478830"/>
      <w:bookmarkStart w:id="1948" w:name="_Toc516479293"/>
      <w:bookmarkStart w:id="1949" w:name="_Toc516479610"/>
      <w:bookmarkStart w:id="1950" w:name="_Toc516479933"/>
      <w:bookmarkStart w:id="1951" w:name="_Toc516480248"/>
      <w:bookmarkStart w:id="1952" w:name="_Toc516480562"/>
      <w:bookmarkStart w:id="1953" w:name="_Toc516480876"/>
      <w:bookmarkStart w:id="1954" w:name="_Toc516481190"/>
      <w:bookmarkStart w:id="1955" w:name="_Toc516481504"/>
      <w:bookmarkStart w:id="1956" w:name="_Toc516481818"/>
      <w:bookmarkStart w:id="1957" w:name="_Toc516482132"/>
      <w:bookmarkStart w:id="1958" w:name="_Toc516482446"/>
      <w:bookmarkStart w:id="1959" w:name="_Toc516739568"/>
      <w:bookmarkStart w:id="1960" w:name="_Toc516751481"/>
      <w:bookmarkStart w:id="1961" w:name="_Toc516825548"/>
      <w:bookmarkStart w:id="1962" w:name="_Toc516826106"/>
      <w:bookmarkStart w:id="1963" w:name="_Toc516837425"/>
      <w:bookmarkStart w:id="1964" w:name="_Toc516837984"/>
      <w:bookmarkStart w:id="1965" w:name="_Toc516838543"/>
      <w:bookmarkStart w:id="1966" w:name="_Toc516839102"/>
      <w:bookmarkStart w:id="1967" w:name="_Toc517173198"/>
      <w:bookmarkStart w:id="1968" w:name="_Toc517174872"/>
      <w:bookmarkStart w:id="1969" w:name="_Toc517175459"/>
      <w:bookmarkStart w:id="1970" w:name="_Toc517176047"/>
      <w:bookmarkStart w:id="1971" w:name="_Toc517337369"/>
      <w:bookmarkStart w:id="1972" w:name="_Toc517360164"/>
      <w:bookmarkStart w:id="1973" w:name="_Toc512520209"/>
      <w:bookmarkStart w:id="1974" w:name="_Toc512520340"/>
      <w:bookmarkStart w:id="1975" w:name="_Toc512520472"/>
      <w:bookmarkStart w:id="1976" w:name="_Toc512520603"/>
      <w:bookmarkStart w:id="1977" w:name="_Toc512520734"/>
      <w:bookmarkStart w:id="1978" w:name="_Toc512520865"/>
      <w:bookmarkStart w:id="1979" w:name="_Toc512520996"/>
      <w:bookmarkStart w:id="1980" w:name="_Toc512606794"/>
      <w:bookmarkStart w:id="1981" w:name="_Toc512606929"/>
      <w:bookmarkStart w:id="1982" w:name="_Toc512607064"/>
      <w:bookmarkStart w:id="1983" w:name="_Toc515355862"/>
      <w:bookmarkStart w:id="1984" w:name="_Toc515355999"/>
      <w:bookmarkStart w:id="1985" w:name="_Toc515360409"/>
      <w:bookmarkStart w:id="1986" w:name="_Toc515975005"/>
      <w:bookmarkStart w:id="1987" w:name="_Toc515978513"/>
      <w:bookmarkStart w:id="1988" w:name="_Toc516058897"/>
      <w:bookmarkStart w:id="1989" w:name="_Toc516059039"/>
      <w:bookmarkStart w:id="1990" w:name="_Toc516227763"/>
      <w:bookmarkStart w:id="1991" w:name="_Toc516229576"/>
      <w:bookmarkStart w:id="1992" w:name="_Toc516229871"/>
      <w:bookmarkStart w:id="1993" w:name="_Toc516230166"/>
      <w:bookmarkStart w:id="1994" w:name="_Toc516230461"/>
      <w:bookmarkStart w:id="1995" w:name="_Toc516230755"/>
      <w:bookmarkStart w:id="1996" w:name="_Toc516231049"/>
      <w:bookmarkStart w:id="1997" w:name="_Toc516231344"/>
      <w:bookmarkStart w:id="1998" w:name="_Toc516231640"/>
      <w:bookmarkStart w:id="1999" w:name="_Toc516242733"/>
      <w:bookmarkStart w:id="2000" w:name="_Toc516243036"/>
      <w:bookmarkStart w:id="2001" w:name="_Toc516244969"/>
      <w:bookmarkStart w:id="2002" w:name="_Toc516473541"/>
      <w:bookmarkStart w:id="2003" w:name="_Toc516473851"/>
      <w:bookmarkStart w:id="2004" w:name="_Toc516474161"/>
      <w:bookmarkStart w:id="2005" w:name="_Toc516474469"/>
      <w:bookmarkStart w:id="2006" w:name="_Toc516474800"/>
      <w:bookmarkStart w:id="2007" w:name="_Toc516478831"/>
      <w:bookmarkStart w:id="2008" w:name="_Toc516479294"/>
      <w:bookmarkStart w:id="2009" w:name="_Toc516479611"/>
      <w:bookmarkStart w:id="2010" w:name="_Toc516479934"/>
      <w:bookmarkStart w:id="2011" w:name="_Toc516480249"/>
      <w:bookmarkStart w:id="2012" w:name="_Toc516480563"/>
      <w:bookmarkStart w:id="2013" w:name="_Toc516480877"/>
      <w:bookmarkStart w:id="2014" w:name="_Toc516481191"/>
      <w:bookmarkStart w:id="2015" w:name="_Toc516481505"/>
      <w:bookmarkStart w:id="2016" w:name="_Toc516481819"/>
      <w:bookmarkStart w:id="2017" w:name="_Toc516482133"/>
      <w:bookmarkStart w:id="2018" w:name="_Toc516482447"/>
      <w:bookmarkStart w:id="2019" w:name="_Toc516739569"/>
      <w:bookmarkStart w:id="2020" w:name="_Toc516751482"/>
      <w:bookmarkStart w:id="2021" w:name="_Toc516825549"/>
      <w:bookmarkStart w:id="2022" w:name="_Toc516826107"/>
      <w:bookmarkStart w:id="2023" w:name="_Toc516837426"/>
      <w:bookmarkStart w:id="2024" w:name="_Toc516837985"/>
      <w:bookmarkStart w:id="2025" w:name="_Toc516838544"/>
      <w:bookmarkStart w:id="2026" w:name="_Toc516839103"/>
      <w:bookmarkStart w:id="2027" w:name="_Toc517173199"/>
      <w:bookmarkStart w:id="2028" w:name="_Toc517174873"/>
      <w:bookmarkStart w:id="2029" w:name="_Toc517175460"/>
      <w:bookmarkStart w:id="2030" w:name="_Toc517176048"/>
      <w:bookmarkStart w:id="2031" w:name="_Toc517337370"/>
      <w:bookmarkStart w:id="2032" w:name="_Toc517360165"/>
      <w:bookmarkStart w:id="2033" w:name="_Toc512520210"/>
      <w:bookmarkStart w:id="2034" w:name="_Toc512520341"/>
      <w:bookmarkStart w:id="2035" w:name="_Toc512520473"/>
      <w:bookmarkStart w:id="2036" w:name="_Toc512520604"/>
      <w:bookmarkStart w:id="2037" w:name="_Toc512520735"/>
      <w:bookmarkStart w:id="2038" w:name="_Toc512520866"/>
      <w:bookmarkStart w:id="2039" w:name="_Toc512520997"/>
      <w:bookmarkStart w:id="2040" w:name="_Toc512606795"/>
      <w:bookmarkStart w:id="2041" w:name="_Toc512606930"/>
      <w:bookmarkStart w:id="2042" w:name="_Toc512607065"/>
      <w:bookmarkStart w:id="2043" w:name="_Toc515355863"/>
      <w:bookmarkStart w:id="2044" w:name="_Toc515356000"/>
      <w:bookmarkStart w:id="2045" w:name="_Toc515360410"/>
      <w:bookmarkStart w:id="2046" w:name="_Toc515975006"/>
      <w:bookmarkStart w:id="2047" w:name="_Toc515978514"/>
      <w:bookmarkStart w:id="2048" w:name="_Toc516058898"/>
      <w:bookmarkStart w:id="2049" w:name="_Toc516059040"/>
      <w:bookmarkStart w:id="2050" w:name="_Toc516227764"/>
      <w:bookmarkStart w:id="2051" w:name="_Toc516229577"/>
      <w:bookmarkStart w:id="2052" w:name="_Toc516229872"/>
      <w:bookmarkStart w:id="2053" w:name="_Toc516230167"/>
      <w:bookmarkStart w:id="2054" w:name="_Toc516230462"/>
      <w:bookmarkStart w:id="2055" w:name="_Toc516230756"/>
      <w:bookmarkStart w:id="2056" w:name="_Toc516231050"/>
      <w:bookmarkStart w:id="2057" w:name="_Toc516231345"/>
      <w:bookmarkStart w:id="2058" w:name="_Toc516231641"/>
      <w:bookmarkStart w:id="2059" w:name="_Toc516242734"/>
      <w:bookmarkStart w:id="2060" w:name="_Toc516243037"/>
      <w:bookmarkStart w:id="2061" w:name="_Toc516244970"/>
      <w:bookmarkStart w:id="2062" w:name="_Toc516473542"/>
      <w:bookmarkStart w:id="2063" w:name="_Toc516473852"/>
      <w:bookmarkStart w:id="2064" w:name="_Toc516474162"/>
      <w:bookmarkStart w:id="2065" w:name="_Toc516474470"/>
      <w:bookmarkStart w:id="2066" w:name="_Toc516474801"/>
      <w:bookmarkStart w:id="2067" w:name="_Toc516478832"/>
      <w:bookmarkStart w:id="2068" w:name="_Toc516479295"/>
      <w:bookmarkStart w:id="2069" w:name="_Toc516479612"/>
      <w:bookmarkStart w:id="2070" w:name="_Toc516479935"/>
      <w:bookmarkStart w:id="2071" w:name="_Toc516480250"/>
      <w:bookmarkStart w:id="2072" w:name="_Toc516480564"/>
      <w:bookmarkStart w:id="2073" w:name="_Toc516480878"/>
      <w:bookmarkStart w:id="2074" w:name="_Toc516481192"/>
      <w:bookmarkStart w:id="2075" w:name="_Toc516481506"/>
      <w:bookmarkStart w:id="2076" w:name="_Toc516481820"/>
      <w:bookmarkStart w:id="2077" w:name="_Toc516482134"/>
      <w:bookmarkStart w:id="2078" w:name="_Toc516482448"/>
      <w:bookmarkStart w:id="2079" w:name="_Toc516739570"/>
      <w:bookmarkStart w:id="2080" w:name="_Toc516751483"/>
      <w:bookmarkStart w:id="2081" w:name="_Toc516825550"/>
      <w:bookmarkStart w:id="2082" w:name="_Toc516826108"/>
      <w:bookmarkStart w:id="2083" w:name="_Toc516837427"/>
      <w:bookmarkStart w:id="2084" w:name="_Toc516837986"/>
      <w:bookmarkStart w:id="2085" w:name="_Toc516838545"/>
      <w:bookmarkStart w:id="2086" w:name="_Toc516839104"/>
      <w:bookmarkStart w:id="2087" w:name="_Toc517173200"/>
      <w:bookmarkStart w:id="2088" w:name="_Toc517174874"/>
      <w:bookmarkStart w:id="2089" w:name="_Toc517175461"/>
      <w:bookmarkStart w:id="2090" w:name="_Toc517176049"/>
      <w:bookmarkStart w:id="2091" w:name="_Toc517337371"/>
      <w:bookmarkStart w:id="2092" w:name="_Toc517360166"/>
      <w:bookmarkStart w:id="2093" w:name="_Toc74557595"/>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r w:rsidRPr="001E1353">
        <w:t>SERVICE ORDINAIRE — DÉPENSES</w:t>
      </w:r>
      <w:bookmarkEnd w:id="2093"/>
      <w:r w:rsidRPr="001E1353">
        <w:t xml:space="preserve"> </w:t>
      </w:r>
    </w:p>
    <w:p w14:paraId="49CDB201" w14:textId="3E123984" w:rsidR="004A2669" w:rsidRPr="00E063FD" w:rsidRDefault="004A2669" w:rsidP="004A2669">
      <w:pPr>
        <w:jc w:val="both"/>
      </w:pPr>
      <w:r w:rsidRPr="00E063FD">
        <w:t>De manière générale et afin de se conformer aux obligations européennes de calendrier de vote des budgets, les montants des dépenses qui ne seraient pas connus lors de l'élaboration de ces budgets devront être calculés sur la base de la progression en pourcentage de la moyenne des 5 dernières années.</w:t>
      </w:r>
    </w:p>
    <w:p w14:paraId="7332B284" w14:textId="77777777" w:rsidR="004A2669" w:rsidRPr="001E1353" w:rsidRDefault="004A2669" w:rsidP="001E1353">
      <w:pPr>
        <w:pStyle w:val="Sam2"/>
      </w:pPr>
      <w:bookmarkStart w:id="2094" w:name="_Toc74557596"/>
      <w:r w:rsidRPr="001E1353">
        <w:t>Dépenses de personnel</w:t>
      </w:r>
      <w:bookmarkEnd w:id="2094"/>
    </w:p>
    <w:p w14:paraId="7AF77034" w14:textId="5AB119A4" w:rsidR="005E597D" w:rsidRPr="008D7EB7" w:rsidRDefault="004A2669">
      <w:pPr>
        <w:jc w:val="both"/>
        <w:rPr>
          <w:rFonts w:eastAsiaTheme="minorHAnsi"/>
          <w:lang w:eastAsia="en-US"/>
        </w:rPr>
      </w:pPr>
      <w:r w:rsidRPr="008D7EB7">
        <w:rPr>
          <w:rFonts w:eastAsiaTheme="minorHAnsi"/>
          <w:lang w:eastAsia="en-US"/>
        </w:rPr>
        <w:t xml:space="preserve">Les communes qui ont adhéré au pacte pour une fonction publique locale et provinciale solide et solidaire inscriront le même montant que celui octroyé en </w:t>
      </w:r>
      <w:r w:rsidR="006D6B9E">
        <w:rPr>
          <w:rFonts w:eastAsiaTheme="minorHAnsi"/>
          <w:lang w:eastAsia="en-US"/>
        </w:rPr>
        <w:t>2022</w:t>
      </w:r>
      <w:r w:rsidR="006D6B9E" w:rsidRPr="008D7EB7">
        <w:rPr>
          <w:rFonts w:eastAsiaTheme="minorHAnsi"/>
          <w:lang w:eastAsia="en-US"/>
        </w:rPr>
        <w:t xml:space="preserve"> </w:t>
      </w:r>
      <w:r w:rsidRPr="008D7EB7">
        <w:rPr>
          <w:rFonts w:eastAsiaTheme="minorHAnsi"/>
          <w:lang w:eastAsia="en-US"/>
        </w:rPr>
        <w:t>sur un article 10410/465-02</w:t>
      </w:r>
      <w:r w:rsidR="00F528FC">
        <w:rPr>
          <w:rStyle w:val="Appelnotedebasdep"/>
          <w:rFonts w:eastAsiaTheme="minorHAnsi"/>
          <w:lang w:eastAsia="en-US"/>
        </w:rPr>
        <w:footnoteReference w:id="21"/>
      </w:r>
      <w:r w:rsidRPr="008D7EB7">
        <w:rPr>
          <w:rFonts w:eastAsiaTheme="minorHAnsi"/>
          <w:lang w:eastAsia="en-US"/>
        </w:rPr>
        <w:t xml:space="preserve"> à volume d'emploi statutaire identique. La prévision sera adaptée proportionnellement au volume d'emploi statutaire en cas de modification de celui-ci. </w:t>
      </w:r>
    </w:p>
    <w:p w14:paraId="5218D511" w14:textId="6E4887F5" w:rsidR="004A2669" w:rsidRDefault="004A2669" w:rsidP="00F528FC">
      <w:pPr>
        <w:jc w:val="both"/>
        <w:rPr>
          <w:rFonts w:eastAsiaTheme="minorHAnsi"/>
          <w:lang w:eastAsia="en-US"/>
        </w:rPr>
      </w:pPr>
      <w:r w:rsidRPr="008D7EB7">
        <w:rPr>
          <w:rFonts w:eastAsiaTheme="minorHAnsi"/>
          <w:lang w:eastAsia="en-US"/>
        </w:rPr>
        <w:t>Je vous rappelle que</w:t>
      </w:r>
      <w:r w:rsidR="005E597D" w:rsidRPr="008D7EB7">
        <w:rPr>
          <w:rFonts w:eastAsiaTheme="minorHAnsi"/>
          <w:lang w:eastAsia="en-US"/>
        </w:rPr>
        <w:t xml:space="preserve"> d</w:t>
      </w:r>
      <w:r w:rsidRPr="008D7EB7">
        <w:rPr>
          <w:rFonts w:eastAsiaTheme="minorHAnsi"/>
          <w:lang w:eastAsia="en-US"/>
        </w:rPr>
        <w:t>ans le cadre de la circulaire n° 8 "Bien-être au travail" du 2 avril 2009, il est recommandé d'inscrire sur un article 10410/123-48 les montants visant la politique de prévention des accidents du travail et des maladies professionnelles.</w:t>
      </w:r>
    </w:p>
    <w:p w14:paraId="6F94B4CB" w14:textId="77777777" w:rsidR="00F528FC" w:rsidRPr="008D7EB7" w:rsidRDefault="00F528FC">
      <w:pPr>
        <w:jc w:val="both"/>
        <w:rPr>
          <w:rFonts w:eastAsiaTheme="minorHAnsi"/>
          <w:lang w:eastAsia="en-US"/>
        </w:rPr>
      </w:pPr>
    </w:p>
    <w:p w14:paraId="71837F51" w14:textId="36E8B413" w:rsidR="004A2669" w:rsidRDefault="004A2669" w:rsidP="00F528FC">
      <w:pPr>
        <w:jc w:val="both"/>
        <w:rPr>
          <w:rFonts w:eastAsiaTheme="minorHAnsi"/>
          <w:lang w:eastAsia="en-US"/>
        </w:rPr>
      </w:pPr>
      <w:r w:rsidRPr="008D7EB7">
        <w:rPr>
          <w:rFonts w:eastAsiaTheme="minorHAnsi"/>
          <w:lang w:eastAsia="en-US"/>
        </w:rPr>
        <w:t xml:space="preserve">L'évaluation des crédits doit tenir compte de l'effectif prévisible pour l'année budgétaire, des évolutions de carrières et des mouvements naturels du personnel (mises à la retraite, démissions, engagements ainsi que des conséquences de la mise en </w:t>
      </w:r>
      <w:r w:rsidR="005E597D" w:rsidRPr="008D7EB7">
        <w:rPr>
          <w:rFonts w:eastAsiaTheme="minorHAnsi"/>
          <w:lang w:eastAsia="en-US"/>
        </w:rPr>
        <w:t>œuvre</w:t>
      </w:r>
      <w:r w:rsidRPr="008D7EB7">
        <w:rPr>
          <w:rFonts w:eastAsiaTheme="minorHAnsi"/>
          <w:lang w:eastAsia="en-US"/>
        </w:rPr>
        <w:t xml:space="preserve"> de la loi du 24 décembre 1999 en vue de la promotion de l'emploi) ainsi que du plan d'embauche.</w:t>
      </w:r>
    </w:p>
    <w:p w14:paraId="18511F23" w14:textId="77777777" w:rsidR="00F528FC" w:rsidRPr="008D7EB7" w:rsidRDefault="00F528FC">
      <w:pPr>
        <w:jc w:val="both"/>
        <w:rPr>
          <w:rFonts w:eastAsiaTheme="minorHAnsi"/>
          <w:lang w:eastAsia="en-US"/>
        </w:rPr>
      </w:pPr>
    </w:p>
    <w:p w14:paraId="20868DC3" w14:textId="7B243A35" w:rsidR="004D3291" w:rsidRDefault="00305A3C" w:rsidP="00F528FC">
      <w:pPr>
        <w:jc w:val="both"/>
        <w:rPr>
          <w:rFonts w:eastAsiaTheme="minorHAnsi"/>
          <w:lang w:eastAsia="en-US"/>
        </w:rPr>
      </w:pPr>
      <w:r w:rsidRPr="008D7EB7">
        <w:rPr>
          <w:rFonts w:eastAsiaTheme="minorHAnsi"/>
          <w:lang w:eastAsia="en-US"/>
        </w:rPr>
        <w:t xml:space="preserve">Concernant l’indexation </w:t>
      </w:r>
      <w:r w:rsidR="00A53E0F" w:rsidRPr="008D7EB7">
        <w:rPr>
          <w:rFonts w:eastAsiaTheme="minorHAnsi"/>
          <w:lang w:eastAsia="en-US"/>
        </w:rPr>
        <w:t>des rémunérations,</w:t>
      </w:r>
      <w:r w:rsidR="007F02CC" w:rsidRPr="008D7EB7">
        <w:rPr>
          <w:rFonts w:eastAsiaTheme="minorHAnsi"/>
          <w:lang w:eastAsia="en-US"/>
        </w:rPr>
        <w:t xml:space="preserve"> comme indiqué précédemment,</w:t>
      </w:r>
      <w:r w:rsidR="00395C20" w:rsidRPr="008D7EB7">
        <w:rPr>
          <w:rFonts w:eastAsiaTheme="minorHAnsi"/>
          <w:lang w:eastAsia="en-US"/>
        </w:rPr>
        <w:t xml:space="preserve"> il vous incombera de vous référer aux prévisions du Bureau Fédéral du Plan </w:t>
      </w:r>
      <w:r w:rsidR="004D3291" w:rsidRPr="008D7EB7">
        <w:rPr>
          <w:rFonts w:eastAsiaTheme="minorHAnsi"/>
          <w:lang w:eastAsia="en-US"/>
        </w:rPr>
        <w:t>relatives au</w:t>
      </w:r>
      <w:r w:rsidR="005D1C24" w:rsidRPr="008D7EB7">
        <w:rPr>
          <w:rFonts w:eastAsiaTheme="minorHAnsi"/>
          <w:lang w:eastAsia="en-US"/>
        </w:rPr>
        <w:t xml:space="preserve"> dépassement de l'indice pivot pour les allocations sociales et les salaires dans le secteur public</w:t>
      </w:r>
      <w:r w:rsidR="004D3291" w:rsidRPr="008D7EB7">
        <w:rPr>
          <w:rFonts w:eastAsiaTheme="minorHAnsi"/>
          <w:lang w:eastAsia="en-US"/>
        </w:rPr>
        <w:t>.</w:t>
      </w:r>
      <w:r w:rsidR="00395C20" w:rsidRPr="008D7EB7">
        <w:rPr>
          <w:rFonts w:eastAsiaTheme="minorHAnsi"/>
          <w:lang w:eastAsia="en-US"/>
        </w:rPr>
        <w:t xml:space="preserve"> Ces données sont actualisées chaque 1er mardi du mois. </w:t>
      </w:r>
    </w:p>
    <w:p w14:paraId="37DA01CF" w14:textId="77777777" w:rsidR="00F528FC" w:rsidRPr="008D7EB7" w:rsidRDefault="00F528FC">
      <w:pPr>
        <w:jc w:val="both"/>
        <w:rPr>
          <w:rFonts w:eastAsiaTheme="minorHAnsi"/>
          <w:lang w:eastAsia="en-US"/>
        </w:rPr>
      </w:pPr>
    </w:p>
    <w:p w14:paraId="44FF8743" w14:textId="5731863D" w:rsidR="004A2669" w:rsidRDefault="004A2669" w:rsidP="00F528FC">
      <w:pPr>
        <w:jc w:val="both"/>
        <w:rPr>
          <w:rFonts w:eastAsiaTheme="minorHAnsi"/>
          <w:lang w:eastAsia="en-US"/>
        </w:rPr>
      </w:pPr>
      <w:r w:rsidRPr="008D7EB7">
        <w:rPr>
          <w:rFonts w:eastAsiaTheme="minorHAnsi"/>
          <w:lang w:eastAsia="en-US"/>
        </w:rPr>
        <w:t>Au-delà de l'indexation</w:t>
      </w:r>
      <w:r w:rsidR="00C801BD">
        <w:rPr>
          <w:rFonts w:eastAsiaTheme="minorHAnsi"/>
          <w:lang w:eastAsia="en-US"/>
        </w:rPr>
        <w:t xml:space="preserve"> et des augmentations barémiques</w:t>
      </w:r>
      <w:r w:rsidRPr="008D7EB7">
        <w:rPr>
          <w:rFonts w:eastAsiaTheme="minorHAnsi"/>
          <w:lang w:eastAsia="en-US"/>
        </w:rPr>
        <w:t>, je vous</w:t>
      </w:r>
      <w:r w:rsidR="007F02CC" w:rsidRPr="008D7EB7">
        <w:rPr>
          <w:rFonts w:eastAsiaTheme="minorHAnsi"/>
          <w:lang w:eastAsia="en-US"/>
        </w:rPr>
        <w:t xml:space="preserve"> </w:t>
      </w:r>
      <w:r w:rsidR="007F02CC" w:rsidRPr="00256E9F">
        <w:rPr>
          <w:rFonts w:eastAsiaTheme="minorHAnsi"/>
          <w:b/>
          <w:bCs/>
          <w:lang w:eastAsia="en-US"/>
        </w:rPr>
        <w:t xml:space="preserve">conseille </w:t>
      </w:r>
      <w:r w:rsidR="00FB0D79" w:rsidRPr="00256E9F">
        <w:rPr>
          <w:rFonts w:eastAsiaTheme="minorHAnsi"/>
          <w:b/>
          <w:bCs/>
          <w:lang w:eastAsia="en-US"/>
        </w:rPr>
        <w:t>vivement</w:t>
      </w:r>
      <w:r w:rsidR="00FB0D79">
        <w:rPr>
          <w:rFonts w:eastAsiaTheme="minorHAnsi"/>
          <w:lang w:eastAsia="en-US"/>
        </w:rPr>
        <w:t xml:space="preserve"> </w:t>
      </w:r>
      <w:r w:rsidR="007F02CC" w:rsidRPr="008D7EB7">
        <w:rPr>
          <w:rFonts w:eastAsiaTheme="minorHAnsi"/>
          <w:lang w:eastAsia="en-US"/>
        </w:rPr>
        <w:t xml:space="preserve">de </w:t>
      </w:r>
      <w:r w:rsidRPr="008D7EB7">
        <w:rPr>
          <w:rFonts w:eastAsiaTheme="minorHAnsi"/>
          <w:lang w:eastAsia="en-US"/>
        </w:rPr>
        <w:t>limiter l</w:t>
      </w:r>
      <w:r w:rsidR="007F02CC" w:rsidRPr="008D7EB7">
        <w:rPr>
          <w:rFonts w:eastAsiaTheme="minorHAnsi"/>
          <w:lang w:eastAsia="en-US"/>
        </w:rPr>
        <w:t>’</w:t>
      </w:r>
      <w:r w:rsidRPr="008D7EB7">
        <w:rPr>
          <w:rFonts w:eastAsiaTheme="minorHAnsi"/>
          <w:lang w:eastAsia="en-US"/>
        </w:rPr>
        <w:t xml:space="preserve">augmentation du coût net des dépenses de personnel à </w:t>
      </w:r>
      <w:r w:rsidR="00877D7E" w:rsidRPr="00576EF5">
        <w:rPr>
          <w:rFonts w:eastAsiaTheme="minorHAnsi"/>
          <w:lang w:eastAsia="en-US"/>
        </w:rPr>
        <w:t>0</w:t>
      </w:r>
      <w:r w:rsidRPr="00576EF5">
        <w:rPr>
          <w:rFonts w:eastAsiaTheme="minorHAnsi"/>
          <w:lang w:eastAsia="en-US"/>
        </w:rPr>
        <w:t>%</w:t>
      </w:r>
      <w:r w:rsidRPr="008D7EB7">
        <w:rPr>
          <w:rFonts w:eastAsiaTheme="minorHAnsi"/>
          <w:lang w:eastAsia="en-US"/>
        </w:rPr>
        <w:t>.</w:t>
      </w:r>
    </w:p>
    <w:p w14:paraId="07CF6B04" w14:textId="77777777" w:rsidR="00F528FC" w:rsidRPr="00256E9F" w:rsidRDefault="00F528FC">
      <w:pPr>
        <w:jc w:val="both"/>
        <w:rPr>
          <w:rFonts w:eastAsiaTheme="minorHAnsi"/>
          <w:sz w:val="10"/>
          <w:szCs w:val="10"/>
          <w:lang w:eastAsia="en-US"/>
        </w:rPr>
      </w:pPr>
    </w:p>
    <w:p w14:paraId="27A29584" w14:textId="21623B33" w:rsidR="0029025E" w:rsidRDefault="0029025E" w:rsidP="00256E9F">
      <w:pPr>
        <w:spacing w:after="120"/>
        <w:jc w:val="both"/>
        <w:rPr>
          <w:rFonts w:eastAsiaTheme="minorHAnsi"/>
          <w:lang w:eastAsia="en-US"/>
        </w:rPr>
      </w:pPr>
      <w:r w:rsidRPr="008D7EB7">
        <w:rPr>
          <w:rFonts w:eastAsiaTheme="minorHAnsi"/>
          <w:lang w:eastAsia="en-US"/>
        </w:rPr>
        <w:t>En plus du tableau du personnel, il est demandé aux communes de définir un plan de mouvement du personnel et d’embauche pluriannuel. Ce plan est établi lors de chaque nouvel exercice budgétaire (partie intégrante d’une des annexes du</w:t>
      </w:r>
      <w:r w:rsidR="00F528FC">
        <w:rPr>
          <w:rFonts w:eastAsiaTheme="minorHAnsi"/>
          <w:lang w:eastAsia="en-US"/>
        </w:rPr>
        <w:t xml:space="preserve"> </w:t>
      </w:r>
      <w:r w:rsidRPr="008D7EB7">
        <w:rPr>
          <w:rFonts w:eastAsiaTheme="minorHAnsi"/>
          <w:lang w:eastAsia="en-US"/>
        </w:rPr>
        <w:t>budget initial – modèle disponible sur le Portail des Pouvoirs locaux) et tient compte des nouveaux recrutements, remplacements, départs à la retraite, promotions, évolutions de carrière, nominations.</w:t>
      </w:r>
    </w:p>
    <w:p w14:paraId="5085CDF9" w14:textId="15A41197" w:rsidR="003A37A3" w:rsidRPr="003A37A3" w:rsidRDefault="003A37A3" w:rsidP="00256E9F">
      <w:pPr>
        <w:jc w:val="both"/>
      </w:pPr>
      <w:bookmarkStart w:id="2095" w:name="_Hlk105057194"/>
      <w:r>
        <w:t>Le plan de mouvement du personnel et d’embauche doit contenir des prévisions chiffrées afin de mesurer l’impact financier des mouvements de personnel ainsi planifiés.</w:t>
      </w:r>
    </w:p>
    <w:bookmarkEnd w:id="2095"/>
    <w:p w14:paraId="034F024E" w14:textId="77777777" w:rsidR="00F528FC" w:rsidRPr="008D7EB7" w:rsidRDefault="00F528FC">
      <w:pPr>
        <w:jc w:val="both"/>
        <w:rPr>
          <w:rFonts w:eastAsiaTheme="minorHAnsi"/>
          <w:lang w:eastAsia="en-US"/>
        </w:rPr>
      </w:pPr>
    </w:p>
    <w:p w14:paraId="31E0A2D6" w14:textId="4683FD6B" w:rsidR="004A2669" w:rsidRDefault="004A2669" w:rsidP="00F528FC">
      <w:pPr>
        <w:jc w:val="both"/>
        <w:rPr>
          <w:rFonts w:eastAsiaTheme="minorHAnsi"/>
          <w:lang w:eastAsia="en-US"/>
        </w:rPr>
      </w:pPr>
      <w:r w:rsidRPr="008D7EB7">
        <w:rPr>
          <w:rFonts w:eastAsiaTheme="minorHAnsi"/>
          <w:lang w:eastAsia="en-US"/>
        </w:rPr>
        <w:t>Par ailleurs, j</w:t>
      </w:r>
      <w:r w:rsidR="007F02CC" w:rsidRPr="008D7EB7">
        <w:rPr>
          <w:rFonts w:eastAsiaTheme="minorHAnsi"/>
          <w:lang w:eastAsia="en-US"/>
        </w:rPr>
        <w:t>’</w:t>
      </w:r>
      <w:r w:rsidRPr="008D7EB7">
        <w:rPr>
          <w:rFonts w:eastAsiaTheme="minorHAnsi"/>
          <w:lang w:eastAsia="en-US"/>
        </w:rPr>
        <w:t>insiste pour que, sur la base d</w:t>
      </w:r>
      <w:r w:rsidR="007F02CC" w:rsidRPr="008D7EB7">
        <w:rPr>
          <w:rFonts w:eastAsiaTheme="minorHAnsi"/>
          <w:lang w:eastAsia="en-US"/>
        </w:rPr>
        <w:t>’</w:t>
      </w:r>
      <w:r w:rsidRPr="008D7EB7">
        <w:rPr>
          <w:rFonts w:eastAsiaTheme="minorHAnsi"/>
          <w:lang w:eastAsia="en-US"/>
        </w:rPr>
        <w:t>un plan de formation, vous prévoyiez les crédits nécessaires destinés à assurer la carrière et le niveau de compétence du personnel.</w:t>
      </w:r>
    </w:p>
    <w:p w14:paraId="351F8BD8" w14:textId="77777777" w:rsidR="00F528FC" w:rsidRPr="008D7EB7" w:rsidRDefault="00F528FC">
      <w:pPr>
        <w:jc w:val="both"/>
        <w:rPr>
          <w:rFonts w:eastAsiaTheme="minorHAnsi"/>
          <w:lang w:eastAsia="en-US"/>
        </w:rPr>
      </w:pPr>
    </w:p>
    <w:p w14:paraId="02DA079E" w14:textId="1E19F5E2" w:rsidR="004A2669" w:rsidRDefault="004A2669" w:rsidP="00F528FC">
      <w:pPr>
        <w:jc w:val="both"/>
        <w:rPr>
          <w:rFonts w:eastAsiaTheme="minorHAnsi"/>
          <w:lang w:eastAsia="en-US"/>
        </w:rPr>
      </w:pPr>
      <w:r w:rsidRPr="008D7EB7">
        <w:rPr>
          <w:rFonts w:eastAsiaTheme="minorHAnsi"/>
          <w:lang w:eastAsia="en-US"/>
        </w:rPr>
        <w:t>J</w:t>
      </w:r>
      <w:r w:rsidR="007F02CC" w:rsidRPr="008D7EB7">
        <w:rPr>
          <w:rFonts w:eastAsiaTheme="minorHAnsi"/>
          <w:lang w:eastAsia="en-US"/>
        </w:rPr>
        <w:t>’</w:t>
      </w:r>
      <w:r w:rsidRPr="008D7EB7">
        <w:rPr>
          <w:rFonts w:eastAsiaTheme="minorHAnsi"/>
          <w:lang w:eastAsia="en-US"/>
        </w:rPr>
        <w:t xml:space="preserve">attire par ailleurs votre attention sur  </w:t>
      </w:r>
      <w:r w:rsidR="00725DDC" w:rsidRPr="008D7EB7">
        <w:rPr>
          <w:rFonts w:eastAsiaTheme="minorHAnsi"/>
          <w:lang w:eastAsia="en-US"/>
        </w:rPr>
        <w:t xml:space="preserve">l’arrêté royal d’exécution </w:t>
      </w:r>
      <w:r w:rsidRPr="008D7EB7">
        <w:rPr>
          <w:rFonts w:eastAsiaTheme="minorHAnsi"/>
          <w:lang w:eastAsia="en-US"/>
        </w:rPr>
        <w:t>de la loi du 24 octobre 2011 assurant un financement pérenne des pensions des membres du personnel nommé des administrations provinciales et locales et des zones de police locales, modifiant la loi du 6 mai 2002 portant création du fonds de pension de la police intégrée et portant des dispositions particulières en matière de sécurité sociale</w:t>
      </w:r>
      <w:r w:rsidR="00F528FC">
        <w:rPr>
          <w:rStyle w:val="Appelnotedebasdep"/>
          <w:rFonts w:eastAsiaTheme="minorHAnsi"/>
          <w:lang w:eastAsia="en-US"/>
        </w:rPr>
        <w:footnoteReference w:id="22"/>
      </w:r>
      <w:r w:rsidRPr="008D7EB7">
        <w:rPr>
          <w:rFonts w:eastAsiaTheme="minorHAnsi"/>
          <w:lang w:eastAsia="en-US"/>
        </w:rPr>
        <w:t>, qui prévoit</w:t>
      </w:r>
      <w:r w:rsidR="007F02CC" w:rsidRPr="008D7EB7">
        <w:rPr>
          <w:rFonts w:eastAsiaTheme="minorHAnsi"/>
          <w:lang w:eastAsia="en-US"/>
        </w:rPr>
        <w:t>,</w:t>
      </w:r>
      <w:r w:rsidRPr="008D7EB7">
        <w:rPr>
          <w:rFonts w:eastAsiaTheme="minorHAnsi"/>
          <w:lang w:eastAsia="en-US"/>
        </w:rPr>
        <w:t xml:space="preserve"> en </w:t>
      </w:r>
      <w:r w:rsidR="00725DDC" w:rsidRPr="008D7EB7">
        <w:rPr>
          <w:rFonts w:eastAsiaTheme="minorHAnsi"/>
          <w:lang w:eastAsia="en-US"/>
        </w:rPr>
        <w:t xml:space="preserve"> </w:t>
      </w:r>
      <w:r w:rsidR="004035DD">
        <w:rPr>
          <w:rFonts w:eastAsiaTheme="minorHAnsi"/>
          <w:lang w:eastAsia="en-US"/>
        </w:rPr>
        <w:t>202</w:t>
      </w:r>
      <w:r w:rsidR="006D6B9E">
        <w:rPr>
          <w:rFonts w:eastAsiaTheme="minorHAnsi"/>
          <w:lang w:eastAsia="en-US"/>
        </w:rPr>
        <w:t>3</w:t>
      </w:r>
      <w:r w:rsidR="007F02CC" w:rsidRPr="008D7EB7">
        <w:rPr>
          <w:rFonts w:eastAsiaTheme="minorHAnsi"/>
          <w:lang w:eastAsia="en-US"/>
        </w:rPr>
        <w:t>,</w:t>
      </w:r>
      <w:r w:rsidR="007C0C42" w:rsidRPr="008D7EB7">
        <w:rPr>
          <w:rFonts w:eastAsiaTheme="minorHAnsi"/>
          <w:lang w:eastAsia="en-US"/>
        </w:rPr>
        <w:t xml:space="preserve"> </w:t>
      </w:r>
      <w:r w:rsidR="007F02CC" w:rsidRPr="008D7EB7">
        <w:rPr>
          <w:rFonts w:eastAsiaTheme="minorHAnsi"/>
          <w:lang w:eastAsia="en-US"/>
        </w:rPr>
        <w:t>un</w:t>
      </w:r>
      <w:r w:rsidR="007C0C42" w:rsidRPr="008D7EB7">
        <w:rPr>
          <w:rFonts w:eastAsiaTheme="minorHAnsi"/>
          <w:lang w:eastAsia="en-US"/>
        </w:rPr>
        <w:t xml:space="preserve"> taux de </w:t>
      </w:r>
      <w:r w:rsidR="006D6B9E">
        <w:rPr>
          <w:rFonts w:eastAsiaTheme="minorHAnsi"/>
          <w:lang w:eastAsia="en-US"/>
        </w:rPr>
        <w:t xml:space="preserve"> 44</w:t>
      </w:r>
      <w:r w:rsidR="007C0C42" w:rsidRPr="008D7EB7">
        <w:rPr>
          <w:rFonts w:eastAsiaTheme="minorHAnsi"/>
          <w:lang w:eastAsia="en-US"/>
        </w:rPr>
        <w:t xml:space="preserve"> % </w:t>
      </w:r>
      <w:r w:rsidRPr="008D7EB7">
        <w:rPr>
          <w:rFonts w:eastAsiaTheme="minorHAnsi"/>
          <w:lang w:eastAsia="en-US"/>
        </w:rPr>
        <w:t>pour la cotisation de solidarité à payer par les administrations locales</w:t>
      </w:r>
      <w:r w:rsidR="007C0C42" w:rsidRPr="008D7EB7">
        <w:rPr>
          <w:rFonts w:eastAsiaTheme="minorHAnsi"/>
          <w:lang w:eastAsia="en-US"/>
        </w:rPr>
        <w:t>.</w:t>
      </w:r>
      <w:r w:rsidR="00C01C01" w:rsidRPr="008D7EB7">
        <w:rPr>
          <w:rFonts w:eastAsiaTheme="minorHAnsi"/>
          <w:lang w:eastAsia="en-US"/>
        </w:rPr>
        <w:t xml:space="preserve"> </w:t>
      </w:r>
    </w:p>
    <w:p w14:paraId="648CAB21" w14:textId="77777777" w:rsidR="00F528FC" w:rsidRPr="008D7EB7" w:rsidRDefault="00F528FC">
      <w:pPr>
        <w:jc w:val="both"/>
        <w:rPr>
          <w:rFonts w:eastAsiaTheme="minorHAnsi"/>
          <w:lang w:eastAsia="en-US"/>
        </w:rPr>
      </w:pPr>
    </w:p>
    <w:p w14:paraId="5E932757" w14:textId="42245A0D" w:rsidR="004A2669" w:rsidRPr="008D7EB7" w:rsidRDefault="004A2669">
      <w:pPr>
        <w:jc w:val="both"/>
        <w:rPr>
          <w:rFonts w:eastAsiaTheme="minorHAnsi"/>
          <w:lang w:eastAsia="en-US"/>
        </w:rPr>
      </w:pPr>
      <w:r w:rsidRPr="008D7EB7">
        <w:rPr>
          <w:rFonts w:eastAsiaTheme="minorHAnsi"/>
          <w:lang w:eastAsia="en-US"/>
        </w:rPr>
        <w:t xml:space="preserve">Pour rappel, </w:t>
      </w:r>
      <w:r w:rsidR="004D3291" w:rsidRPr="008D7EB7">
        <w:rPr>
          <w:rFonts w:eastAsiaTheme="minorHAnsi"/>
          <w:lang w:eastAsia="en-US"/>
        </w:rPr>
        <w:t>l</w:t>
      </w:r>
      <w:r w:rsidRPr="008D7EB7">
        <w:rPr>
          <w:rFonts w:eastAsiaTheme="minorHAnsi"/>
          <w:lang w:eastAsia="en-US"/>
        </w:rPr>
        <w:t>a cotisation de solidarité</w:t>
      </w:r>
      <w:r w:rsidR="004D3291" w:rsidRPr="008D7EB7">
        <w:rPr>
          <w:rFonts w:eastAsiaTheme="minorHAnsi"/>
          <w:lang w:eastAsia="en-US"/>
        </w:rPr>
        <w:t>, inscrite à l’exercice propre du service ordinaire,</w:t>
      </w:r>
      <w:r w:rsidRPr="008D7EB7">
        <w:rPr>
          <w:rFonts w:eastAsiaTheme="minorHAnsi"/>
          <w:lang w:eastAsia="en-US"/>
        </w:rPr>
        <w:t xml:space="preserve"> est due par l</w:t>
      </w:r>
      <w:r w:rsidR="007F02CC" w:rsidRPr="008D7EB7">
        <w:rPr>
          <w:rFonts w:eastAsiaTheme="minorHAnsi"/>
          <w:lang w:eastAsia="en-US"/>
        </w:rPr>
        <w:t>’</w:t>
      </w:r>
      <w:r w:rsidRPr="008D7EB7">
        <w:rPr>
          <w:rFonts w:eastAsiaTheme="minorHAnsi"/>
          <w:lang w:eastAsia="en-US"/>
        </w:rPr>
        <w:t xml:space="preserve">ensemble des collectivités locales afin de financer le fonds solidarisé de pension du Service Fédéral des Pensions. Elle est calculée en appliquant un taux qui est exprimé en pourcentage du salaire des membres du personnel nommé entrant en ligne de compte dans le calcul de la pension du secteur public. </w:t>
      </w:r>
    </w:p>
    <w:p w14:paraId="4E5927C5" w14:textId="77777777" w:rsidR="004A2669" w:rsidRPr="008D7EB7" w:rsidRDefault="004A2669">
      <w:pPr>
        <w:jc w:val="both"/>
        <w:rPr>
          <w:rFonts w:eastAsiaTheme="minorHAnsi"/>
          <w:lang w:eastAsia="en-US"/>
        </w:rPr>
      </w:pPr>
    </w:p>
    <w:p w14:paraId="4D579160" w14:textId="64FAAA67" w:rsidR="004A2669" w:rsidRDefault="004A2669">
      <w:pPr>
        <w:jc w:val="both"/>
        <w:rPr>
          <w:rFonts w:eastAsiaTheme="minorHAnsi"/>
          <w:lang w:eastAsia="en-US"/>
        </w:rPr>
      </w:pPr>
      <w:proofErr w:type="gramStart"/>
      <w:r w:rsidRPr="008D7EB7">
        <w:rPr>
          <w:rFonts w:eastAsiaTheme="minorHAnsi"/>
          <w:lang w:eastAsia="en-US"/>
        </w:rPr>
        <w:t>Par contre</w:t>
      </w:r>
      <w:proofErr w:type="gramEnd"/>
      <w:r w:rsidR="004D3291" w:rsidRPr="008D7EB7">
        <w:rPr>
          <w:rFonts w:eastAsiaTheme="minorHAnsi"/>
          <w:lang w:eastAsia="en-US"/>
        </w:rPr>
        <w:t>,</w:t>
      </w:r>
      <w:r w:rsidRPr="008D7EB7">
        <w:rPr>
          <w:rFonts w:eastAsiaTheme="minorHAnsi"/>
          <w:lang w:eastAsia="en-US"/>
        </w:rPr>
        <w:t xml:space="preserve"> la cotisation de responsabilisation </w:t>
      </w:r>
      <w:r w:rsidR="00FF476E" w:rsidRPr="00193D58">
        <w:rPr>
          <w:rFonts w:eastAsiaTheme="minorHAnsi"/>
          <w:lang w:eastAsia="en-US"/>
        </w:rPr>
        <w:t xml:space="preserve">(en ce compris le rattrapage 2019-2024) </w:t>
      </w:r>
      <w:r w:rsidRPr="00193D58">
        <w:rPr>
          <w:rFonts w:eastAsiaTheme="minorHAnsi"/>
          <w:lang w:eastAsia="en-US"/>
        </w:rPr>
        <w:t xml:space="preserve">communiquée par l’ONSS </w:t>
      </w:r>
      <w:r w:rsidR="000943C8" w:rsidRPr="00193D58">
        <w:rPr>
          <w:rFonts w:eastAsiaTheme="minorHAnsi"/>
          <w:lang w:eastAsia="en-US"/>
        </w:rPr>
        <w:t xml:space="preserve">pourra </w:t>
      </w:r>
      <w:r w:rsidRPr="00193D58">
        <w:rPr>
          <w:rFonts w:eastAsiaTheme="minorHAnsi"/>
          <w:lang w:eastAsia="en-US"/>
        </w:rPr>
        <w:t>être inscrite aux exercices antérieurs</w:t>
      </w:r>
      <w:r w:rsidRPr="008D7EB7">
        <w:rPr>
          <w:rFonts w:eastAsiaTheme="minorHAnsi"/>
          <w:lang w:eastAsia="en-US"/>
        </w:rPr>
        <w:t xml:space="preserve"> (millésime </w:t>
      </w:r>
      <w:r w:rsidR="006D6B9E">
        <w:rPr>
          <w:rFonts w:eastAsiaTheme="minorHAnsi"/>
          <w:lang w:eastAsia="en-US"/>
        </w:rPr>
        <w:t>2022</w:t>
      </w:r>
      <w:r w:rsidRPr="008D7EB7">
        <w:rPr>
          <w:rFonts w:eastAsiaTheme="minorHAnsi"/>
          <w:lang w:eastAsia="en-US"/>
        </w:rPr>
        <w:t xml:space="preserve">) du service ordinaire sur la base des prévisions transmises par l’ONSS. Je recommande un article 13110/113-21. </w:t>
      </w:r>
      <w:r w:rsidR="00661296" w:rsidRPr="008D7EB7">
        <w:rPr>
          <w:rFonts w:eastAsiaTheme="minorHAnsi"/>
          <w:lang w:eastAsia="en-US"/>
        </w:rPr>
        <w:t xml:space="preserve">Il en sera désormais de même pour les communes prenant en charge la facture de leur CPAS ou pour celles qui accordent une dotation exceptionnelle pour la prise en charge de cette facture. </w:t>
      </w:r>
    </w:p>
    <w:p w14:paraId="018F11E3" w14:textId="68ADF114" w:rsidR="00156140" w:rsidRPr="00256E9F" w:rsidRDefault="00156140">
      <w:pPr>
        <w:jc w:val="both"/>
        <w:rPr>
          <w:rFonts w:eastAsiaTheme="minorHAnsi"/>
          <w:sz w:val="10"/>
          <w:szCs w:val="10"/>
          <w:lang w:eastAsia="en-US"/>
        </w:rPr>
      </w:pPr>
    </w:p>
    <w:p w14:paraId="4C86F4C1" w14:textId="58AC704F" w:rsidR="00156140" w:rsidRDefault="00FB0D79">
      <w:pPr>
        <w:jc w:val="both"/>
        <w:rPr>
          <w:lang w:val="fr-BE"/>
        </w:rPr>
      </w:pPr>
      <w:r w:rsidRPr="00256E9F">
        <w:rPr>
          <w:b/>
          <w:bCs/>
        </w:rPr>
        <w:t>Toutefois,</w:t>
      </w:r>
      <w:r>
        <w:t xml:space="preserve"> </w:t>
      </w:r>
      <w:r w:rsidR="00F07F7E">
        <w:t>c</w:t>
      </w:r>
      <w:r w:rsidR="00156140">
        <w:t>ette possibilité d’inscription aux exercices antérieurs ne s’applique pas aux communes qui financent leur cotisation de responsabilisation par un emprunt CRAC rapatrié à l’exercice propre du service ordinaire</w:t>
      </w:r>
      <w:r w:rsidR="00947F10">
        <w:t>. Ces communes doivent</w:t>
      </w:r>
      <w:r w:rsidR="00156140">
        <w:t xml:space="preserve"> inscri</w:t>
      </w:r>
      <w:r w:rsidR="00947F10">
        <w:t>re</w:t>
      </w:r>
      <w:r w:rsidR="00156140">
        <w:t xml:space="preserve"> cette dépense à l’exercice propre pour ne plus avoir de résultat propre biaisé.</w:t>
      </w:r>
      <w:r w:rsidR="00086461" w:rsidRPr="00086461">
        <w:rPr>
          <w:lang w:val="fr-BE"/>
        </w:rPr>
        <w:t xml:space="preserve"> </w:t>
      </w:r>
      <w:r w:rsidR="00086461">
        <w:rPr>
          <w:lang w:val="fr-BE"/>
        </w:rPr>
        <w:t xml:space="preserve">L’inscription de la recette doit se faire sur le même exercice que la dépense finançant la cotisation de responsabilisation. </w:t>
      </w:r>
    </w:p>
    <w:p w14:paraId="3D499ADB" w14:textId="4BC69CD6" w:rsidR="00B060A9" w:rsidRPr="00256E9F" w:rsidRDefault="00B060A9">
      <w:pPr>
        <w:jc w:val="both"/>
        <w:rPr>
          <w:sz w:val="10"/>
          <w:szCs w:val="10"/>
          <w:lang w:val="fr-BE"/>
        </w:rPr>
      </w:pPr>
    </w:p>
    <w:p w14:paraId="1D7B94A9" w14:textId="69FE686C" w:rsidR="00B060A9" w:rsidRPr="00256E9F" w:rsidRDefault="00B060A9" w:rsidP="00256E9F">
      <w:pPr>
        <w:jc w:val="both"/>
        <w:rPr>
          <w:b/>
          <w:bCs/>
          <w:lang w:val="fr-BE"/>
        </w:rPr>
      </w:pPr>
      <w:r w:rsidRPr="00256E9F">
        <w:rPr>
          <w:b/>
          <w:bCs/>
          <w:lang w:val="fr-BE"/>
        </w:rPr>
        <w:t>Par ailleurs, cette inscription aux antérieurs sera supprimée à partir de l’exercice budgétaire 202</w:t>
      </w:r>
      <w:r w:rsidR="00AC6FB1">
        <w:rPr>
          <w:b/>
          <w:bCs/>
          <w:lang w:val="fr-BE"/>
        </w:rPr>
        <w:t>5</w:t>
      </w:r>
      <w:r w:rsidRPr="00256E9F">
        <w:rPr>
          <w:b/>
          <w:bCs/>
          <w:lang w:val="fr-BE"/>
        </w:rPr>
        <w:t>.</w:t>
      </w:r>
    </w:p>
    <w:p w14:paraId="5B6C2359" w14:textId="56361A66" w:rsidR="00FA20D6" w:rsidRDefault="00FA20D6">
      <w:pPr>
        <w:jc w:val="both"/>
        <w:rPr>
          <w:rFonts w:eastAsiaTheme="minorHAnsi"/>
          <w:lang w:eastAsia="en-US"/>
        </w:rPr>
      </w:pPr>
    </w:p>
    <w:p w14:paraId="749F8EE6" w14:textId="352C2A3D" w:rsidR="009A66C7" w:rsidRDefault="009A66C7">
      <w:pPr>
        <w:jc w:val="both"/>
        <w:rPr>
          <w:rFonts w:eastAsiaTheme="minorHAnsi"/>
          <w:lang w:eastAsia="en-US"/>
        </w:rPr>
      </w:pPr>
    </w:p>
    <w:p w14:paraId="7A5D3295" w14:textId="05A6472E" w:rsidR="007B15CD" w:rsidRDefault="007B15CD">
      <w:pPr>
        <w:jc w:val="both"/>
        <w:rPr>
          <w:rFonts w:eastAsiaTheme="minorHAnsi"/>
          <w:lang w:eastAsia="en-US"/>
        </w:rPr>
      </w:pPr>
    </w:p>
    <w:p w14:paraId="5705618A" w14:textId="047BBCF5" w:rsidR="007B15CD" w:rsidRDefault="007B15CD">
      <w:pPr>
        <w:jc w:val="both"/>
        <w:rPr>
          <w:rFonts w:eastAsiaTheme="minorHAnsi"/>
          <w:lang w:eastAsia="en-US"/>
        </w:rPr>
      </w:pPr>
    </w:p>
    <w:p w14:paraId="1A0CC3F8" w14:textId="77777777" w:rsidR="007B15CD" w:rsidRDefault="007B15CD">
      <w:pPr>
        <w:jc w:val="both"/>
        <w:rPr>
          <w:rFonts w:eastAsiaTheme="minorHAnsi"/>
          <w:lang w:eastAsia="en-US"/>
        </w:rPr>
      </w:pPr>
    </w:p>
    <w:p w14:paraId="5CEE86EA" w14:textId="45BAB0E6" w:rsidR="009A66C7" w:rsidRDefault="009A66C7">
      <w:pPr>
        <w:jc w:val="both"/>
        <w:rPr>
          <w:rFonts w:eastAsiaTheme="minorHAnsi"/>
          <w:lang w:eastAsia="en-US"/>
        </w:rPr>
      </w:pPr>
    </w:p>
    <w:p w14:paraId="262144FE" w14:textId="77777777" w:rsidR="009A66C7" w:rsidRPr="008D7EB7" w:rsidRDefault="009A66C7">
      <w:pPr>
        <w:jc w:val="both"/>
        <w:rPr>
          <w:rFonts w:eastAsiaTheme="minorHAnsi"/>
          <w:lang w:eastAsia="en-US"/>
        </w:rPr>
      </w:pPr>
    </w:p>
    <w:p w14:paraId="2A201529" w14:textId="46C2B7F3" w:rsidR="001B1015" w:rsidRPr="00900C39" w:rsidRDefault="001B1015">
      <w:pPr>
        <w:jc w:val="both"/>
        <w:rPr>
          <w:rFonts w:eastAsiaTheme="minorHAnsi"/>
          <w:b/>
          <w:bCs/>
          <w:lang w:eastAsia="en-US"/>
        </w:rPr>
      </w:pPr>
      <w:r w:rsidRPr="00900C39">
        <w:rPr>
          <w:rFonts w:eastAsiaTheme="minorHAnsi"/>
          <w:b/>
          <w:bCs/>
          <w:lang w:eastAsia="en-US"/>
        </w:rPr>
        <w:lastRenderedPageBreak/>
        <w:t xml:space="preserve">Les avantages </w:t>
      </w:r>
      <w:r w:rsidR="00783BAA">
        <w:rPr>
          <w:rFonts w:eastAsiaTheme="minorHAnsi"/>
          <w:b/>
          <w:bCs/>
          <w:lang w:eastAsia="en-US"/>
        </w:rPr>
        <w:t xml:space="preserve">et pénalités </w:t>
      </w:r>
      <w:r w:rsidRPr="00900C39">
        <w:rPr>
          <w:rFonts w:eastAsiaTheme="minorHAnsi"/>
          <w:b/>
          <w:bCs/>
          <w:lang w:eastAsia="en-US"/>
        </w:rPr>
        <w:t xml:space="preserve">fédéraux second pilier   </w:t>
      </w:r>
    </w:p>
    <w:p w14:paraId="51643A21" w14:textId="77777777" w:rsidR="00FA20D6" w:rsidRDefault="00FA20D6" w:rsidP="001B1015">
      <w:pPr>
        <w:jc w:val="both"/>
        <w:rPr>
          <w:rFonts w:eastAsiaTheme="minorHAnsi"/>
          <w:b/>
          <w:bCs/>
          <w:lang w:eastAsia="en-US"/>
        </w:rPr>
      </w:pPr>
    </w:p>
    <w:p w14:paraId="66C3093F" w14:textId="3307E836" w:rsidR="001B1015" w:rsidRPr="00FA20D6" w:rsidRDefault="001B1015" w:rsidP="001B1015">
      <w:pPr>
        <w:jc w:val="both"/>
        <w:rPr>
          <w:rFonts w:eastAsiaTheme="minorHAnsi"/>
          <w:lang w:val="fr-BE" w:eastAsia="en-US"/>
        </w:rPr>
      </w:pPr>
      <w:r w:rsidRPr="00FA20D6">
        <w:rPr>
          <w:rFonts w:eastAsiaTheme="minorHAnsi"/>
          <w:lang w:val="fr-BE" w:eastAsia="en-US"/>
        </w:rPr>
        <w:t>La loi du 30 mars 2018</w:t>
      </w:r>
      <w:r w:rsidRPr="00FA20D6">
        <w:rPr>
          <w:rFonts w:eastAsiaTheme="minorHAnsi"/>
          <w:vertAlign w:val="superscript"/>
          <w:lang w:val="fr-BE" w:eastAsia="en-US"/>
        </w:rPr>
        <w:footnoteReference w:customMarkFollows="1" w:id="23"/>
        <w:t>[1]</w:t>
      </w:r>
      <w:r w:rsidRPr="00FA20D6">
        <w:rPr>
          <w:rFonts w:eastAsiaTheme="minorHAnsi"/>
          <w:lang w:val="fr-BE" w:eastAsia="en-US"/>
        </w:rPr>
        <w:t> :</w:t>
      </w:r>
    </w:p>
    <w:p w14:paraId="6346B3D7" w14:textId="77777777" w:rsidR="001B1015" w:rsidRPr="00FA20D6" w:rsidRDefault="001B1015" w:rsidP="001B1015">
      <w:pPr>
        <w:jc w:val="both"/>
        <w:rPr>
          <w:rFonts w:eastAsiaTheme="minorHAnsi"/>
          <w:lang w:val="fr-BE" w:eastAsia="en-US"/>
        </w:rPr>
      </w:pPr>
    </w:p>
    <w:p w14:paraId="2A6E25E9" w14:textId="65608B27" w:rsidR="001B1015" w:rsidRDefault="001B1015" w:rsidP="001B1015">
      <w:pPr>
        <w:numPr>
          <w:ilvl w:val="0"/>
          <w:numId w:val="297"/>
        </w:numPr>
        <w:jc w:val="both"/>
        <w:rPr>
          <w:rFonts w:eastAsiaTheme="minorHAnsi"/>
          <w:lang w:val="fr-BE" w:eastAsia="en-US"/>
        </w:rPr>
      </w:pPr>
      <w:proofErr w:type="gramStart"/>
      <w:r w:rsidRPr="00FA20D6">
        <w:rPr>
          <w:rFonts w:eastAsiaTheme="minorHAnsi"/>
          <w:lang w:val="fr-BE" w:eastAsia="en-US"/>
        </w:rPr>
        <w:t>introduit</w:t>
      </w:r>
      <w:proofErr w:type="gramEnd"/>
      <w:r w:rsidRPr="00FA20D6">
        <w:rPr>
          <w:rFonts w:eastAsiaTheme="minorHAnsi"/>
          <w:lang w:val="fr-BE" w:eastAsia="en-US"/>
        </w:rPr>
        <w:t xml:space="preserve"> le principe de « pension mixte » pour les agents des pouvoirs locaux de sorte que la carrière comme agent contractuel antérieure à une nomination définitive ne compte désormais plus dans le calcul de la pension du secteur public mais dans celle des travailleurs salariés</w:t>
      </w:r>
      <w:r w:rsidRPr="00FA20D6">
        <w:rPr>
          <w:rFonts w:eastAsiaTheme="minorHAnsi"/>
          <w:vertAlign w:val="superscript"/>
          <w:lang w:val="fr-BE" w:eastAsia="en-US"/>
        </w:rPr>
        <w:footnoteReference w:customMarkFollows="1" w:id="24"/>
        <w:t>[2]</w:t>
      </w:r>
      <w:r w:rsidRPr="00FA20D6">
        <w:rPr>
          <w:rFonts w:eastAsiaTheme="minorHAnsi"/>
          <w:lang w:val="fr-BE" w:eastAsia="en-US"/>
        </w:rPr>
        <w:t xml:space="preserve"> ; </w:t>
      </w:r>
    </w:p>
    <w:p w14:paraId="43C750ED" w14:textId="77777777" w:rsidR="009A66C7" w:rsidRPr="00FA20D6" w:rsidRDefault="009A66C7" w:rsidP="009A66C7">
      <w:pPr>
        <w:ind w:left="720"/>
        <w:jc w:val="both"/>
        <w:rPr>
          <w:rFonts w:eastAsiaTheme="minorHAnsi"/>
          <w:lang w:val="fr-BE" w:eastAsia="en-US"/>
        </w:rPr>
      </w:pPr>
    </w:p>
    <w:p w14:paraId="5EB11736" w14:textId="2E97D32A" w:rsidR="001B1015" w:rsidRPr="00FA20D6" w:rsidRDefault="001B1015" w:rsidP="001B1015">
      <w:pPr>
        <w:numPr>
          <w:ilvl w:val="0"/>
          <w:numId w:val="297"/>
        </w:numPr>
        <w:jc w:val="both"/>
        <w:rPr>
          <w:rFonts w:eastAsiaTheme="minorHAnsi"/>
          <w:lang w:val="fr-BE" w:eastAsia="en-US"/>
        </w:rPr>
      </w:pPr>
      <w:proofErr w:type="gramStart"/>
      <w:r w:rsidRPr="00FA20D6">
        <w:rPr>
          <w:rFonts w:eastAsiaTheme="minorHAnsi"/>
          <w:lang w:val="fr-BE" w:eastAsia="en-US"/>
        </w:rPr>
        <w:t>prévoit</w:t>
      </w:r>
      <w:proofErr w:type="gramEnd"/>
      <w:r w:rsidRPr="00FA20D6">
        <w:rPr>
          <w:rFonts w:eastAsiaTheme="minorHAnsi"/>
          <w:lang w:val="fr-BE" w:eastAsia="en-US"/>
        </w:rPr>
        <w:t xml:space="preserve"> un incitant pour les communes à mettre en place un second pilier</w:t>
      </w:r>
      <w:r w:rsidR="00783BAA">
        <w:rPr>
          <w:rFonts w:eastAsiaTheme="minorHAnsi"/>
          <w:lang w:val="fr-BE" w:eastAsia="en-US"/>
        </w:rPr>
        <w:t xml:space="preserve"> (financé par les autres communes)</w:t>
      </w:r>
      <w:r w:rsidRPr="00FA20D6">
        <w:rPr>
          <w:rFonts w:eastAsiaTheme="minorHAnsi"/>
          <w:lang w:val="fr-BE" w:eastAsia="en-US"/>
        </w:rPr>
        <w:t>.</w:t>
      </w:r>
    </w:p>
    <w:p w14:paraId="4AD45BF7" w14:textId="77777777" w:rsidR="001B1015" w:rsidRPr="00FA20D6" w:rsidRDefault="001B1015" w:rsidP="001B1015">
      <w:pPr>
        <w:jc w:val="both"/>
        <w:rPr>
          <w:rFonts w:eastAsiaTheme="minorHAnsi"/>
          <w:lang w:val="fr-BE" w:eastAsia="en-US"/>
        </w:rPr>
      </w:pPr>
    </w:p>
    <w:p w14:paraId="4FD8FB68" w14:textId="77777777" w:rsidR="001B1015" w:rsidRPr="00FA20D6" w:rsidRDefault="001B1015" w:rsidP="001B1015">
      <w:pPr>
        <w:jc w:val="both"/>
        <w:rPr>
          <w:rFonts w:eastAsiaTheme="minorHAnsi"/>
          <w:lang w:val="fr-BE" w:eastAsia="en-US"/>
        </w:rPr>
      </w:pPr>
      <w:r w:rsidRPr="00FA20D6">
        <w:rPr>
          <w:rFonts w:eastAsiaTheme="minorHAnsi"/>
          <w:lang w:val="fr-BE" w:eastAsia="en-US"/>
        </w:rPr>
        <w:t xml:space="preserve">L’introduction de la « pension mixte » va avoir pour conséquence une diminution de la pension moyenne des travailleurs concernés étant donné qu’ils ne bénéficieront plus d’une pension de statutaire pour toute leur carrière. </w:t>
      </w:r>
    </w:p>
    <w:p w14:paraId="5231951B" w14:textId="77777777" w:rsidR="001B1015" w:rsidRPr="00FA20D6" w:rsidRDefault="001B1015" w:rsidP="001B1015">
      <w:pPr>
        <w:jc w:val="both"/>
        <w:rPr>
          <w:rFonts w:eastAsiaTheme="minorHAnsi"/>
          <w:lang w:val="fr-BE" w:eastAsia="en-US"/>
        </w:rPr>
      </w:pPr>
    </w:p>
    <w:p w14:paraId="5331FBDB" w14:textId="77777777" w:rsidR="001B1015" w:rsidRPr="00FA20D6" w:rsidRDefault="001B1015" w:rsidP="001B1015">
      <w:pPr>
        <w:jc w:val="both"/>
        <w:rPr>
          <w:rFonts w:eastAsiaTheme="minorHAnsi"/>
          <w:lang w:val="fr-BE" w:eastAsia="en-US"/>
        </w:rPr>
      </w:pPr>
      <w:r w:rsidRPr="00FA20D6">
        <w:rPr>
          <w:rFonts w:eastAsiaTheme="minorHAnsi"/>
          <w:lang w:val="fr-BE" w:eastAsia="en-US"/>
        </w:rPr>
        <w:t>L’incitant prend la forme d’une diminution de la cotisation de responsabilisation due par les pouvoirs locaux pour financer le Fonds de pensions solidarisé à travers une déduction de la moitié du coût des primes payées pour financer le second pilier.</w:t>
      </w:r>
    </w:p>
    <w:p w14:paraId="3F97F29A" w14:textId="77777777" w:rsidR="001B1015" w:rsidRPr="00FA20D6" w:rsidRDefault="001B1015" w:rsidP="001B1015">
      <w:pPr>
        <w:jc w:val="both"/>
        <w:rPr>
          <w:rFonts w:eastAsiaTheme="minorHAnsi"/>
          <w:lang w:val="fr-BE" w:eastAsia="en-US"/>
        </w:rPr>
      </w:pPr>
    </w:p>
    <w:p w14:paraId="4342C2F4" w14:textId="77777777" w:rsidR="001B1015" w:rsidRPr="00FA20D6" w:rsidRDefault="001B1015" w:rsidP="001B1015">
      <w:pPr>
        <w:jc w:val="both"/>
        <w:rPr>
          <w:rFonts w:eastAsiaTheme="minorHAnsi"/>
          <w:lang w:val="fr-BE" w:eastAsia="en-US"/>
        </w:rPr>
      </w:pPr>
      <w:r w:rsidRPr="00FA20D6">
        <w:rPr>
          <w:rFonts w:eastAsiaTheme="minorHAnsi"/>
          <w:lang w:val="fr-BE" w:eastAsia="en-US"/>
        </w:rPr>
        <w:t>Pour financer les pensions des pouvoirs locaux, la loi prévoit trois types de plan :</w:t>
      </w:r>
    </w:p>
    <w:p w14:paraId="733DEFA4" w14:textId="77777777" w:rsidR="001B1015" w:rsidRPr="00FA20D6" w:rsidRDefault="001B1015" w:rsidP="001B1015">
      <w:pPr>
        <w:jc w:val="both"/>
        <w:rPr>
          <w:rFonts w:eastAsiaTheme="minorHAnsi"/>
          <w:lang w:val="fr-BE" w:eastAsia="en-US"/>
        </w:rPr>
      </w:pPr>
    </w:p>
    <w:p w14:paraId="2A1F6116" w14:textId="77777777" w:rsidR="001B1015" w:rsidRPr="00FA20D6" w:rsidRDefault="001B1015" w:rsidP="009A66C7">
      <w:pPr>
        <w:numPr>
          <w:ilvl w:val="0"/>
          <w:numId w:val="298"/>
        </w:numPr>
        <w:spacing w:after="240"/>
        <w:ind w:left="714" w:hanging="357"/>
        <w:jc w:val="both"/>
        <w:rPr>
          <w:rFonts w:eastAsiaTheme="minorHAnsi"/>
          <w:lang w:val="fr-BE" w:eastAsia="en-US"/>
        </w:rPr>
      </w:pPr>
      <w:proofErr w:type="gramStart"/>
      <w:r w:rsidRPr="00FA20D6">
        <w:rPr>
          <w:rFonts w:eastAsiaTheme="minorHAnsi"/>
          <w:u w:val="single"/>
          <w:lang w:val="fr-BE" w:eastAsia="en-US"/>
        </w:rPr>
        <w:t>le</w:t>
      </w:r>
      <w:proofErr w:type="gramEnd"/>
      <w:r w:rsidRPr="00FA20D6">
        <w:rPr>
          <w:rFonts w:eastAsiaTheme="minorHAnsi"/>
          <w:u w:val="single"/>
          <w:lang w:val="fr-BE" w:eastAsia="en-US"/>
        </w:rPr>
        <w:t xml:space="preserve"> plan à prestations définies</w:t>
      </w:r>
      <w:r w:rsidRPr="00FA20D6">
        <w:rPr>
          <w:rFonts w:eastAsiaTheme="minorHAnsi"/>
          <w:lang w:val="fr-BE" w:eastAsia="en-US"/>
        </w:rPr>
        <w:t xml:space="preserve"> : l’employeur s’engage à verser une pension complémentaire d’un montant défini sous forme de capital ou de rente ;</w:t>
      </w:r>
    </w:p>
    <w:p w14:paraId="10DC623C" w14:textId="77777777" w:rsidR="001B1015" w:rsidRPr="00FA20D6" w:rsidRDefault="001B1015" w:rsidP="009A66C7">
      <w:pPr>
        <w:numPr>
          <w:ilvl w:val="0"/>
          <w:numId w:val="298"/>
        </w:numPr>
        <w:spacing w:after="240"/>
        <w:ind w:left="714" w:hanging="357"/>
        <w:jc w:val="both"/>
        <w:rPr>
          <w:rFonts w:eastAsiaTheme="minorHAnsi"/>
          <w:lang w:val="fr-BE" w:eastAsia="en-US"/>
        </w:rPr>
      </w:pPr>
      <w:proofErr w:type="gramStart"/>
      <w:r w:rsidRPr="00FA20D6">
        <w:rPr>
          <w:rFonts w:eastAsiaTheme="minorHAnsi"/>
          <w:u w:val="single"/>
          <w:lang w:val="fr-BE" w:eastAsia="en-US"/>
        </w:rPr>
        <w:t>le</w:t>
      </w:r>
      <w:proofErr w:type="gramEnd"/>
      <w:r w:rsidRPr="00FA20D6">
        <w:rPr>
          <w:rFonts w:eastAsiaTheme="minorHAnsi"/>
          <w:u w:val="single"/>
          <w:lang w:val="fr-BE" w:eastAsia="en-US"/>
        </w:rPr>
        <w:t xml:space="preserve"> plan à contributions définies</w:t>
      </w:r>
      <w:r w:rsidRPr="00FA20D6">
        <w:rPr>
          <w:rFonts w:eastAsiaTheme="minorHAnsi"/>
          <w:lang w:val="fr-BE" w:eastAsia="en-US"/>
        </w:rPr>
        <w:t xml:space="preserve"> : l’employeur verse une cotisation dont le montant est défini mais ne s’engage pas quant à un paiement. Le montant du capital ou de la rente dépendra du capital accumulé et du rendement sur la période de cotisation ;</w:t>
      </w:r>
    </w:p>
    <w:p w14:paraId="71B15815" w14:textId="77777777" w:rsidR="001B1015" w:rsidRPr="00FA20D6" w:rsidRDefault="001B1015" w:rsidP="001B1015">
      <w:pPr>
        <w:numPr>
          <w:ilvl w:val="0"/>
          <w:numId w:val="298"/>
        </w:numPr>
        <w:jc w:val="both"/>
        <w:rPr>
          <w:rFonts w:eastAsiaTheme="minorHAnsi"/>
          <w:lang w:val="fr-BE" w:eastAsia="en-US"/>
        </w:rPr>
      </w:pPr>
      <w:proofErr w:type="gramStart"/>
      <w:r w:rsidRPr="00FA20D6">
        <w:rPr>
          <w:rFonts w:eastAsiaTheme="minorHAnsi"/>
          <w:u w:val="single"/>
          <w:lang w:val="fr-BE" w:eastAsia="en-US"/>
        </w:rPr>
        <w:t>le</w:t>
      </w:r>
      <w:proofErr w:type="gramEnd"/>
      <w:r w:rsidRPr="00FA20D6">
        <w:rPr>
          <w:rFonts w:eastAsiaTheme="minorHAnsi"/>
          <w:u w:val="single"/>
          <w:lang w:val="fr-BE" w:eastAsia="en-US"/>
        </w:rPr>
        <w:t xml:space="preserve"> « cash balance »</w:t>
      </w:r>
      <w:r w:rsidRPr="00FA20D6">
        <w:rPr>
          <w:rFonts w:eastAsiaTheme="minorHAnsi"/>
          <w:lang w:val="fr-BE" w:eastAsia="en-US"/>
        </w:rPr>
        <w:t xml:space="preserve"> : le régime de cash balance est une forme intermédiaire entre les plans à contributions définies et à prestations définies. L’employeur garantit l’attribution des contributions mais également un rendement déterminé sur ces contributions sans garantir de niveau de pension.</w:t>
      </w:r>
    </w:p>
    <w:p w14:paraId="3B8D17FD" w14:textId="77777777" w:rsidR="001B1015" w:rsidRPr="00FA20D6" w:rsidRDefault="001B1015" w:rsidP="001B1015">
      <w:pPr>
        <w:jc w:val="both"/>
        <w:rPr>
          <w:rFonts w:eastAsiaTheme="minorHAnsi"/>
          <w:lang w:val="fr-BE" w:eastAsia="en-US"/>
        </w:rPr>
      </w:pPr>
    </w:p>
    <w:p w14:paraId="2EDE1037" w14:textId="77777777" w:rsidR="001B1015" w:rsidRPr="00FA20D6" w:rsidRDefault="001B1015" w:rsidP="001B1015">
      <w:pPr>
        <w:jc w:val="both"/>
        <w:rPr>
          <w:rFonts w:eastAsiaTheme="minorHAnsi"/>
          <w:lang w:val="fr-BE" w:eastAsia="en-US"/>
        </w:rPr>
      </w:pPr>
      <w:r w:rsidRPr="00FA20D6">
        <w:rPr>
          <w:rFonts w:eastAsiaTheme="minorHAnsi"/>
          <w:lang w:val="fr-BE" w:eastAsia="en-US"/>
        </w:rPr>
        <w:t>En outre, les contributions ou prestations au plan de pension complémentaire doivent également représenter un pourcentage suffisant de la rémunération brute du travailleur.</w:t>
      </w:r>
    </w:p>
    <w:p w14:paraId="1820D684" w14:textId="77777777" w:rsidR="001B1015" w:rsidRPr="00FA20D6" w:rsidRDefault="001B1015" w:rsidP="001B1015">
      <w:pPr>
        <w:jc w:val="both"/>
        <w:rPr>
          <w:rFonts w:eastAsiaTheme="minorHAnsi"/>
          <w:lang w:val="fr-BE" w:eastAsia="en-US"/>
        </w:rPr>
      </w:pPr>
    </w:p>
    <w:p w14:paraId="3ED232D6" w14:textId="77777777" w:rsidR="001B1015" w:rsidRPr="00FA20D6" w:rsidRDefault="001B1015" w:rsidP="001B1015">
      <w:pPr>
        <w:jc w:val="both"/>
        <w:rPr>
          <w:rFonts w:eastAsiaTheme="minorHAnsi"/>
          <w:lang w:val="fr-BE" w:eastAsia="en-US"/>
        </w:rPr>
      </w:pPr>
      <w:r w:rsidRPr="00FA20D6">
        <w:rPr>
          <w:rFonts w:eastAsiaTheme="minorHAnsi"/>
          <w:lang w:val="fr-BE" w:eastAsia="en-US"/>
        </w:rPr>
        <w:t>Les critères de taille minimum pour avoir accès à l’incitant à la mise en place d’un second pilier pour les agents contractuels sont :</w:t>
      </w:r>
    </w:p>
    <w:p w14:paraId="20F50E04" w14:textId="77777777" w:rsidR="001B1015" w:rsidRPr="001B1015" w:rsidRDefault="001B1015" w:rsidP="001B1015">
      <w:pPr>
        <w:jc w:val="both"/>
        <w:rPr>
          <w:rFonts w:eastAsiaTheme="minorHAnsi"/>
          <w:b/>
          <w:bCs/>
          <w:lang w:val="fr-BE" w:eastAsia="en-US"/>
        </w:rPr>
      </w:pPr>
    </w:p>
    <w:tbl>
      <w:tblPr>
        <w:tblW w:w="9062" w:type="dxa"/>
        <w:tblCellMar>
          <w:left w:w="0" w:type="dxa"/>
          <w:right w:w="0" w:type="dxa"/>
        </w:tblCellMar>
        <w:tblLook w:val="04A0" w:firstRow="1" w:lastRow="0" w:firstColumn="1" w:lastColumn="0" w:noHBand="0" w:noVBand="1"/>
      </w:tblPr>
      <w:tblGrid>
        <w:gridCol w:w="2274"/>
        <w:gridCol w:w="3245"/>
        <w:gridCol w:w="3543"/>
      </w:tblGrid>
      <w:tr w:rsidR="00B060A9" w:rsidRPr="00594F93" w14:paraId="4C07F68C" w14:textId="77777777" w:rsidTr="00256E9F">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773DC" w14:textId="77777777" w:rsidR="00B060A9" w:rsidRPr="00256E9F" w:rsidRDefault="00B060A9" w:rsidP="001B1015">
            <w:pPr>
              <w:jc w:val="both"/>
              <w:rPr>
                <w:rFonts w:eastAsiaTheme="minorHAnsi"/>
                <w:sz w:val="22"/>
                <w:szCs w:val="22"/>
                <w:lang w:val="fr-BE" w:eastAsia="en-US"/>
              </w:rPr>
            </w:pPr>
          </w:p>
        </w:tc>
        <w:tc>
          <w:tcPr>
            <w:tcW w:w="3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94B8E8"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A partir de 2020</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66B07"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A partir de 2021</w:t>
            </w:r>
          </w:p>
        </w:tc>
      </w:tr>
      <w:tr w:rsidR="00B060A9" w:rsidRPr="00594F93" w14:paraId="1CE71F22" w14:textId="77777777" w:rsidTr="00256E9F">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A2403"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Plan à prestations définies</w:t>
            </w:r>
          </w:p>
        </w:tc>
        <w:tc>
          <w:tcPr>
            <w:tcW w:w="3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4680D"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Contribution ≥ 2 % de la rémunération soumise à l’ONSS</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7A95A" w14:textId="662F9766"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Contribution ≥ 3 % de la rémunération</w:t>
            </w:r>
            <w:r w:rsidR="00594F93">
              <w:rPr>
                <w:rFonts w:eastAsiaTheme="minorHAnsi"/>
                <w:sz w:val="22"/>
                <w:szCs w:val="22"/>
                <w:lang w:val="fr-BE" w:eastAsia="en-US"/>
              </w:rPr>
              <w:t xml:space="preserve"> soumise à l’ONSS</w:t>
            </w:r>
          </w:p>
        </w:tc>
      </w:tr>
      <w:tr w:rsidR="00B060A9" w:rsidRPr="00594F93" w14:paraId="4670F453" w14:textId="77777777" w:rsidTr="00256E9F">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22D65"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Plan à contributions définies</w:t>
            </w:r>
          </w:p>
        </w:tc>
        <w:tc>
          <w:tcPr>
            <w:tcW w:w="3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477ED"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Prestation exprimée en rente) ≥ 4 % de la rémunération soumise à l’ONSS</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978B7"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Prestation (exprimée en rente) ≥ 6 % de la rémunération soumise à l’ONSS</w:t>
            </w:r>
          </w:p>
        </w:tc>
      </w:tr>
      <w:tr w:rsidR="00B060A9" w:rsidRPr="00594F93" w14:paraId="7AA7DF40" w14:textId="77777777" w:rsidTr="00256E9F">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A012C"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 Cash balance »</w:t>
            </w:r>
          </w:p>
        </w:tc>
        <w:tc>
          <w:tcPr>
            <w:tcW w:w="3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BD9D6"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Contributions allouées ≥ 2 % de la rémunération soumise à l’ONSS</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D376" w14:textId="77777777" w:rsidR="00B060A9" w:rsidRPr="00256E9F" w:rsidRDefault="00B060A9" w:rsidP="001B1015">
            <w:pPr>
              <w:jc w:val="both"/>
              <w:rPr>
                <w:rFonts w:eastAsiaTheme="minorHAnsi"/>
                <w:sz w:val="22"/>
                <w:szCs w:val="22"/>
                <w:lang w:val="fr-BE" w:eastAsia="en-US"/>
              </w:rPr>
            </w:pPr>
            <w:r w:rsidRPr="00256E9F">
              <w:rPr>
                <w:rFonts w:eastAsiaTheme="minorHAnsi"/>
                <w:sz w:val="22"/>
                <w:szCs w:val="22"/>
                <w:lang w:val="fr-BE" w:eastAsia="en-US"/>
              </w:rPr>
              <w:t>Contributions allouées ≥ 3 % de la rémunération soumise à l’ONSS</w:t>
            </w:r>
          </w:p>
        </w:tc>
      </w:tr>
    </w:tbl>
    <w:p w14:paraId="152CA35F" w14:textId="77777777" w:rsidR="001B1015" w:rsidRPr="001B1015" w:rsidRDefault="001B1015" w:rsidP="001B1015">
      <w:pPr>
        <w:jc w:val="both"/>
        <w:rPr>
          <w:rFonts w:eastAsiaTheme="minorHAnsi"/>
          <w:b/>
          <w:bCs/>
          <w:lang w:val="fr-BE" w:eastAsia="en-US"/>
        </w:rPr>
      </w:pPr>
    </w:p>
    <w:p w14:paraId="6C843692" w14:textId="77777777" w:rsidR="001B1015" w:rsidRPr="00900C39" w:rsidRDefault="001B1015" w:rsidP="001B1015">
      <w:pPr>
        <w:jc w:val="both"/>
        <w:rPr>
          <w:rFonts w:eastAsiaTheme="minorHAnsi"/>
          <w:lang w:val="fr-BE" w:eastAsia="en-US"/>
        </w:rPr>
      </w:pPr>
      <w:r w:rsidRPr="00900C39">
        <w:rPr>
          <w:rFonts w:eastAsiaTheme="minorHAnsi"/>
          <w:lang w:val="fr-BE" w:eastAsia="en-US"/>
        </w:rPr>
        <w:t xml:space="preserve">Des limitations sont également prévues en termes de réduction de la cotisation de responsabilisation. </w:t>
      </w:r>
    </w:p>
    <w:p w14:paraId="272E6EAF" w14:textId="77777777" w:rsidR="001B1015" w:rsidRPr="00900C39" w:rsidRDefault="001B1015" w:rsidP="001B1015">
      <w:pPr>
        <w:jc w:val="both"/>
        <w:rPr>
          <w:rFonts w:eastAsiaTheme="minorHAnsi"/>
          <w:lang w:val="fr-BE" w:eastAsia="en-US"/>
        </w:rPr>
      </w:pPr>
    </w:p>
    <w:p w14:paraId="3B58FBED" w14:textId="77777777" w:rsidR="001B1015" w:rsidRPr="00900C39" w:rsidRDefault="001B1015" w:rsidP="001B1015">
      <w:pPr>
        <w:jc w:val="both"/>
        <w:rPr>
          <w:rFonts w:eastAsiaTheme="minorHAnsi"/>
          <w:lang w:val="fr-BE" w:eastAsia="en-US"/>
        </w:rPr>
      </w:pPr>
      <w:r w:rsidRPr="00900C39">
        <w:rPr>
          <w:rFonts w:eastAsiaTheme="minorHAnsi"/>
          <w:lang w:val="fr-BE" w:eastAsia="en-US"/>
        </w:rPr>
        <w:t>D’une part, celle-ci ne peut être négative si les primes du second pilier sont supérieures au niveau de la cotisation. D’autre part, le coût que l’administration pourra déduire de sa cotisation de responsabilisation est limité au double des contributions (6 % en cas de régime à contributions définies ou de cash balance) ou de la prestation (12 % en cas de régime à prestations définies) qui servent de taux plancher à partir de 2021.</w:t>
      </w:r>
    </w:p>
    <w:p w14:paraId="76FAD62B" w14:textId="77777777" w:rsidR="001B1015" w:rsidRPr="00900C39" w:rsidRDefault="001B1015" w:rsidP="001B1015">
      <w:pPr>
        <w:jc w:val="both"/>
        <w:rPr>
          <w:rFonts w:eastAsiaTheme="minorHAnsi"/>
          <w:lang w:val="fr-BE" w:eastAsia="en-US"/>
        </w:rPr>
      </w:pPr>
    </w:p>
    <w:p w14:paraId="0FF735D2" w14:textId="77777777" w:rsidR="001B1015" w:rsidRPr="00900C39" w:rsidRDefault="001B1015" w:rsidP="001B1015">
      <w:pPr>
        <w:jc w:val="both"/>
        <w:rPr>
          <w:rFonts w:eastAsiaTheme="minorHAnsi"/>
          <w:lang w:val="fr-BE" w:eastAsia="en-US"/>
        </w:rPr>
      </w:pPr>
      <w:r w:rsidRPr="00900C39">
        <w:rPr>
          <w:rFonts w:eastAsiaTheme="minorHAnsi"/>
          <w:lang w:val="fr-BE" w:eastAsia="en-US"/>
        </w:rPr>
        <w:t>Étant donné que le système de financement des pensions est à enveloppe fermée, les administrations locales qui ne bénéficient pas de l’incitant prévu dans la loi du 30 mars 2018 devront contribuer davantage que les autres pour couvrir le coût total des pensions des statutaires.</w:t>
      </w:r>
    </w:p>
    <w:p w14:paraId="2F2FEF95" w14:textId="77777777" w:rsidR="001B1015" w:rsidRPr="00900C39" w:rsidRDefault="001B1015">
      <w:pPr>
        <w:jc w:val="both"/>
        <w:rPr>
          <w:rFonts w:eastAsiaTheme="minorHAnsi"/>
          <w:lang w:eastAsia="en-US"/>
        </w:rPr>
      </w:pPr>
    </w:p>
    <w:p w14:paraId="26EA62EC" w14:textId="391DA1AC" w:rsidR="005A7D89" w:rsidRPr="008D7EB7" w:rsidRDefault="00395C20">
      <w:pPr>
        <w:jc w:val="both"/>
        <w:rPr>
          <w:rFonts w:eastAsiaTheme="minorHAnsi"/>
          <w:lang w:eastAsia="en-US"/>
        </w:rPr>
      </w:pPr>
      <w:r w:rsidRPr="00900C39">
        <w:rPr>
          <w:rFonts w:eastAsiaTheme="minorHAnsi"/>
          <w:lang w:eastAsia="en-US"/>
        </w:rPr>
        <w:t xml:space="preserve">Concernant </w:t>
      </w:r>
      <w:r w:rsidR="004A2669" w:rsidRPr="00900C39">
        <w:rPr>
          <w:rFonts w:eastAsiaTheme="minorHAnsi"/>
          <w:lang w:eastAsia="en-US"/>
        </w:rPr>
        <w:t>l’octroi d’un crédit d’aide extraordinaire au travers du compte CRAC afin de permettre la prise en charge des cotisations de responsabilisation des pensions des agents des Communes</w:t>
      </w:r>
      <w:r w:rsidR="00F706EE" w:rsidRPr="00900C39">
        <w:rPr>
          <w:rFonts w:eastAsiaTheme="minorHAnsi"/>
          <w:lang w:eastAsia="en-US"/>
        </w:rPr>
        <w:t xml:space="preserve">, je vous renvoie à </w:t>
      </w:r>
      <w:r w:rsidR="00605445" w:rsidRPr="00900C39">
        <w:rPr>
          <w:rFonts w:eastAsiaTheme="minorHAnsi"/>
          <w:lang w:eastAsia="en-US"/>
        </w:rPr>
        <w:t xml:space="preserve">la </w:t>
      </w:r>
      <w:r w:rsidR="00F706EE" w:rsidRPr="00900C39">
        <w:rPr>
          <w:rFonts w:eastAsiaTheme="minorHAnsi"/>
          <w:lang w:eastAsia="en-US"/>
        </w:rPr>
        <w:t>circulaire du 6 mars 2018</w:t>
      </w:r>
      <w:r w:rsidR="00F706EE" w:rsidRPr="00FA20D6">
        <w:rPr>
          <w:rFonts w:eastAsiaTheme="minorHAnsi"/>
          <w:lang w:eastAsia="en-US"/>
        </w:rPr>
        <w:t xml:space="preserve">. </w:t>
      </w:r>
    </w:p>
    <w:p w14:paraId="08E1C597" w14:textId="1F171B3E" w:rsidR="005A7D89" w:rsidRDefault="005A7D89" w:rsidP="004A2669">
      <w:pPr>
        <w:jc w:val="both"/>
      </w:pPr>
    </w:p>
    <w:p w14:paraId="547CCA3A" w14:textId="658482FF" w:rsidR="00F16CBE" w:rsidRDefault="00F16CBE" w:rsidP="004A2669">
      <w:pPr>
        <w:jc w:val="both"/>
      </w:pPr>
      <w:r>
        <w:t>Pour le surplus, je vous rends attentifs aux travaux en cours au niveau fédéral et au niveau régional.</w:t>
      </w:r>
    </w:p>
    <w:p w14:paraId="51FD33EB" w14:textId="77777777" w:rsidR="00F16CBE" w:rsidRDefault="00F16CBE" w:rsidP="004A2669">
      <w:pPr>
        <w:jc w:val="both"/>
      </w:pPr>
    </w:p>
    <w:p w14:paraId="3616DAF9" w14:textId="0CE9B34D" w:rsidR="001F2FAD" w:rsidRPr="008D7EB7" w:rsidRDefault="001F2FAD" w:rsidP="004A2669">
      <w:pPr>
        <w:jc w:val="both"/>
        <w:rPr>
          <w:b/>
          <w:bCs/>
          <w:u w:val="single"/>
        </w:rPr>
      </w:pPr>
      <w:r w:rsidRPr="00193D58">
        <w:rPr>
          <w:b/>
          <w:bCs/>
          <w:u w:val="single"/>
        </w:rPr>
        <w:t>Second pilier de pension :</w:t>
      </w:r>
    </w:p>
    <w:p w14:paraId="709A0B2F" w14:textId="77777777" w:rsidR="001F2FAD" w:rsidRDefault="001F2FAD" w:rsidP="004A2669">
      <w:pPr>
        <w:jc w:val="both"/>
      </w:pPr>
    </w:p>
    <w:p w14:paraId="457EAF6B" w14:textId="3AFE8809" w:rsidR="008835FC" w:rsidRDefault="008835FC" w:rsidP="008D7EB7">
      <w:pPr>
        <w:spacing w:after="120"/>
        <w:jc w:val="both"/>
      </w:pPr>
      <w:r w:rsidRPr="00ED2CF5">
        <w:t xml:space="preserve">En ce qui concerne la mise en place d’un second pilier de pension, je vous rappelle que l’opération d’alimentation du fonds de pension par le versement d’une prime unique </w:t>
      </w:r>
      <w:r w:rsidRPr="00086461">
        <w:rPr>
          <w:b/>
          <w:bCs/>
        </w:rPr>
        <w:t>doit être imputée au</w:t>
      </w:r>
      <w:r w:rsidRPr="00ED2CF5">
        <w:t xml:space="preserve"> </w:t>
      </w:r>
      <w:r w:rsidRPr="00B225DE">
        <w:rPr>
          <w:b/>
          <w:bCs/>
        </w:rPr>
        <w:t>service ordinaire</w:t>
      </w:r>
      <w:r w:rsidRPr="00ED2CF5">
        <w:t>.</w:t>
      </w:r>
      <w:r>
        <w:t xml:space="preserve"> </w:t>
      </w:r>
    </w:p>
    <w:p w14:paraId="71145694" w14:textId="2976BA9F" w:rsidR="00ED2CF5" w:rsidRDefault="00513E03">
      <w:pPr>
        <w:spacing w:after="120"/>
        <w:jc w:val="both"/>
      </w:pPr>
      <w:r w:rsidRPr="00513E03">
        <w:t>L’article 1er, 1° et 2, du Règlement général de la comptabilité communale (RGCC) précise que</w:t>
      </w:r>
      <w:r w:rsidR="00ED2CF5">
        <w:t> :</w:t>
      </w:r>
    </w:p>
    <w:p w14:paraId="4D0ED17F" w14:textId="05364178" w:rsidR="00513E03" w:rsidRPr="00513E03" w:rsidRDefault="00513E03" w:rsidP="008D7EB7">
      <w:pPr>
        <w:spacing w:after="120"/>
        <w:ind w:left="709"/>
        <w:jc w:val="both"/>
        <w:rPr>
          <w:i/>
        </w:rPr>
      </w:pPr>
      <w:r w:rsidRPr="00513E03">
        <w:t>« </w:t>
      </w:r>
      <w:r w:rsidRPr="00513E03">
        <w:rPr>
          <w:i/>
        </w:rPr>
        <w:t>Pour l'application du présent règlement, il y a lieu d'entendre par :</w:t>
      </w:r>
    </w:p>
    <w:p w14:paraId="12CB4B19" w14:textId="3C2F19CD" w:rsidR="00513E03" w:rsidRPr="00513E03" w:rsidRDefault="00513E03" w:rsidP="008D7EB7">
      <w:pPr>
        <w:spacing w:after="120"/>
        <w:ind w:left="709"/>
        <w:jc w:val="both"/>
        <w:rPr>
          <w:i/>
        </w:rPr>
      </w:pPr>
      <w:r w:rsidRPr="00513E03">
        <w:rPr>
          <w:i/>
        </w:rPr>
        <w:t xml:space="preserve">1° "service ordinaire du budget" : l'ensemble des recettes et des dépenses qui se produisent une fois au moins au cours de chaque exercice financier et qui assurent à la commune des revenus et un fonctionnement régulier, en ce compris le remboursement périodique de la </w:t>
      </w:r>
      <w:r w:rsidR="001044C0" w:rsidRPr="00513E03">
        <w:rPr>
          <w:i/>
        </w:rPr>
        <w:t>dette ;</w:t>
      </w:r>
    </w:p>
    <w:p w14:paraId="2D4C94E6" w14:textId="662A1AC5" w:rsidR="00513E03" w:rsidRPr="00513E03" w:rsidRDefault="00513E03" w:rsidP="008D7EB7">
      <w:pPr>
        <w:spacing w:after="120"/>
        <w:ind w:left="709"/>
        <w:jc w:val="both"/>
      </w:pPr>
      <w:r w:rsidRPr="00513E03">
        <w:rPr>
          <w:i/>
        </w:rPr>
        <w:t>2° "service extraordinaire du budget" : l'ensemble des recettes et des dépenses qui affectent directement et durablement l'importance, la valeur ou la conservation du patrimoine communal, à l'exclusion de son entretien courant ; il comprend également les subsides et prêts consentis à ces mêmes fins, les participations et placements de fonds à plus d'un an, ainsi que les remboursements anticipés de la dette</w:t>
      </w:r>
      <w:r w:rsidRPr="00513E03">
        <w:t> ».</w:t>
      </w:r>
    </w:p>
    <w:p w14:paraId="0C22A062" w14:textId="1E010BD6" w:rsidR="00513E03" w:rsidRPr="00513E03" w:rsidRDefault="00513E03" w:rsidP="008D7EB7">
      <w:pPr>
        <w:spacing w:after="120"/>
        <w:jc w:val="both"/>
      </w:pPr>
      <w:r w:rsidRPr="00513E03">
        <w:lastRenderedPageBreak/>
        <w:t xml:space="preserve">La création du fonds </w:t>
      </w:r>
      <w:r>
        <w:t xml:space="preserve">de pension </w:t>
      </w:r>
      <w:r w:rsidRPr="00513E03">
        <w:t xml:space="preserve">vise à pérenniser le paiement des pensions. </w:t>
      </w:r>
      <w:r>
        <w:t>Or, l</w:t>
      </w:r>
      <w:r w:rsidRPr="00513E03">
        <w:t>es pensions sont des dépenses ordinaires de personnel</w:t>
      </w:r>
      <w:r>
        <w:t> ; il s’agit</w:t>
      </w:r>
      <w:r w:rsidRPr="00513E03">
        <w:t xml:space="preserve"> donc de dépenses qui relèvent de l’ordinaire par leur principe. </w:t>
      </w:r>
    </w:p>
    <w:p w14:paraId="612BBE06" w14:textId="7682E178" w:rsidR="00513E03" w:rsidRDefault="00513E03" w:rsidP="00513E03">
      <w:pPr>
        <w:spacing w:after="120"/>
        <w:jc w:val="both"/>
      </w:pPr>
      <w:r>
        <w:t xml:space="preserve">Le fait </w:t>
      </w:r>
      <w:r w:rsidRPr="00513E03">
        <w:t>que le paiement de ces dépenses s’effectue</w:t>
      </w:r>
      <w:r>
        <w:t>, pour tout ou partie,</w:t>
      </w:r>
      <w:r w:rsidRPr="00513E03">
        <w:t xml:space="preserve"> en une seule fois (prime unique) </w:t>
      </w:r>
      <w:r>
        <w:t>ne</w:t>
      </w:r>
      <w:r w:rsidRPr="00513E03">
        <w:t xml:space="preserve"> les fait </w:t>
      </w:r>
      <w:r w:rsidR="00884260" w:rsidRPr="00ED2CF5">
        <w:t>pas</w:t>
      </w:r>
      <w:r w:rsidR="00884260">
        <w:t xml:space="preserve"> </w:t>
      </w:r>
      <w:r>
        <w:t xml:space="preserve">pour autant </w:t>
      </w:r>
      <w:r w:rsidRPr="00513E03">
        <w:t xml:space="preserve">basculer à l’extraordinaire. </w:t>
      </w:r>
    </w:p>
    <w:p w14:paraId="162FD127" w14:textId="76D39AB9" w:rsidR="00513E03" w:rsidRPr="00513E03" w:rsidRDefault="00513E03" w:rsidP="008D7EB7">
      <w:pPr>
        <w:spacing w:after="120"/>
        <w:jc w:val="both"/>
      </w:pPr>
      <w:r w:rsidRPr="00513E03">
        <w:t xml:space="preserve">Un des grands principes en comptabilité des pouvoirs locaux est que l’on ne peut pas financer des dépenses ordinaires par un emprunt ou d’autres recettes extraordinaires. Le fait d’appeler cela « fonds » ou une autre dénomination ne change rien à la nature de la dépense. </w:t>
      </w:r>
    </w:p>
    <w:p w14:paraId="6FEDD14C" w14:textId="6015B8E7" w:rsidR="00513E03" w:rsidRDefault="00513E03" w:rsidP="00513E03">
      <w:pPr>
        <w:spacing w:after="120"/>
        <w:jc w:val="both"/>
      </w:pPr>
      <w:r w:rsidRPr="00513E03">
        <w:t xml:space="preserve">En outre, si l’on permettait le financement du fonds de pension par prime unique via une dépense extraordinaire de transfert à la place d’une dépense ordinaire de personnel, cela occulterait l’état réel de la charge de personnel pour la commune et serait contraire au principe de spécialisation. </w:t>
      </w:r>
    </w:p>
    <w:p w14:paraId="1000351D" w14:textId="5CD7E6C7" w:rsidR="00513E03" w:rsidRPr="00513E03" w:rsidRDefault="00513E03" w:rsidP="008D7EB7">
      <w:pPr>
        <w:spacing w:after="120"/>
        <w:jc w:val="both"/>
      </w:pPr>
      <w:r>
        <w:t>Ainsi, c</w:t>
      </w:r>
      <w:r w:rsidRPr="00513E03">
        <w:t>ette opération conduirait au financement d’une dépense récurrente par le patrimoine de la commune ou par un emprunt et violerait l’article 1</w:t>
      </w:r>
      <w:r w:rsidRPr="00513E03">
        <w:rPr>
          <w:vertAlign w:val="superscript"/>
        </w:rPr>
        <w:t>er</w:t>
      </w:r>
      <w:r w:rsidRPr="00513E03">
        <w:t xml:space="preserve">,15°, du RGCC qui prévoit que les emprunts accordés par le CRAC constituent </w:t>
      </w:r>
      <w:r w:rsidR="00343D91">
        <w:t>expressément une</w:t>
      </w:r>
      <w:r w:rsidRPr="00513E03">
        <w:t xml:space="preserve"> exception de mouvements entre l'extraordinaire et l'ordinaire et qui se réalisent à l'exercice proprement dit : </w:t>
      </w:r>
    </w:p>
    <w:p w14:paraId="730244D7" w14:textId="7384F3AC" w:rsidR="00513E03" w:rsidRPr="00513E03" w:rsidRDefault="00513E03" w:rsidP="008D7EB7">
      <w:pPr>
        <w:numPr>
          <w:ilvl w:val="0"/>
          <w:numId w:val="102"/>
        </w:numPr>
        <w:spacing w:after="120"/>
        <w:jc w:val="both"/>
        <w:rPr>
          <w:i/>
        </w:rPr>
      </w:pPr>
      <w:r w:rsidRPr="00513E03">
        <w:t>« </w:t>
      </w:r>
      <w:r w:rsidRPr="00513E03">
        <w:rPr>
          <w:i/>
        </w:rPr>
        <w:t>15° transferts de service, fonds de réserve et provisions pour risques et charges : les modes de préfinancement de charges futures ou de constitution de réserve ou de provisions.</w:t>
      </w:r>
    </w:p>
    <w:p w14:paraId="3917EBDC" w14:textId="6079758C" w:rsidR="00513E03" w:rsidRPr="00513E03" w:rsidRDefault="00513E03" w:rsidP="008D7EB7">
      <w:pPr>
        <w:numPr>
          <w:ilvl w:val="0"/>
          <w:numId w:val="102"/>
        </w:numPr>
        <w:spacing w:after="120"/>
        <w:jc w:val="both"/>
        <w:rPr>
          <w:i/>
        </w:rPr>
      </w:pPr>
      <w:r w:rsidRPr="00513E03">
        <w:rPr>
          <w:i/>
        </w:rPr>
        <w:t>On distingue :</w:t>
      </w:r>
    </w:p>
    <w:p w14:paraId="65C02538" w14:textId="33F7945E" w:rsidR="00513E03" w:rsidRPr="00513E03" w:rsidRDefault="00513E03" w:rsidP="008D7EB7">
      <w:pPr>
        <w:numPr>
          <w:ilvl w:val="0"/>
          <w:numId w:val="102"/>
        </w:numPr>
        <w:spacing w:after="120"/>
        <w:jc w:val="both"/>
      </w:pPr>
      <w:r w:rsidRPr="00513E03">
        <w:rPr>
          <w:i/>
        </w:rPr>
        <w:t>– transferts de service : mouvements via le code fonctionnel « Prélèvements » entre services et fonds de réserve (sous l'unique réserve des emprunts accordés par le CRAC qui constituent la seule exception de mouvements entre l'extraordinaire et l'ordinaire et qui se réalisent à l'exercice proprement dit) (…) </w:t>
      </w:r>
      <w:r w:rsidRPr="00513E03">
        <w:t>»</w:t>
      </w:r>
    </w:p>
    <w:p w14:paraId="06B4A56E" w14:textId="3729BCEA" w:rsidR="000A2789" w:rsidRDefault="00513E03" w:rsidP="00513E03">
      <w:pPr>
        <w:spacing w:after="120"/>
        <w:jc w:val="both"/>
        <w:rPr>
          <w:i/>
        </w:rPr>
      </w:pPr>
      <w:r w:rsidRPr="00513E03">
        <w:t>Enfin, l’article 1</w:t>
      </w:r>
      <w:r w:rsidRPr="00513E03">
        <w:rPr>
          <w:vertAlign w:val="superscript"/>
        </w:rPr>
        <w:t>er</w:t>
      </w:r>
      <w:r w:rsidRPr="00513E03">
        <w:t>, 15°, du RGCC prévoit aussi que «</w:t>
      </w:r>
      <w:r w:rsidRPr="00513E03">
        <w:rPr>
          <w:i/>
        </w:rPr>
        <w:t xml:space="preserve"> la constitution de provisions pour risques et charges vise à introduire une planification de certaines dépenses à venir dans la comptabilité communale. Il doit s'agir de dépenses afférentes à un exercice futur, certaines ou du moins très probables quant à leur principe, circonscrites quant à leur nature ou leur objet mais indéterminées quant à leur montant. Elle permet le rapatriement et l'inscription des recettes nécessaires à l'exercice propre d'un budget ultérieur, dans la fonction concernée ». </w:t>
      </w:r>
    </w:p>
    <w:p w14:paraId="77DC19D0" w14:textId="7B2EC120" w:rsidR="00513E03" w:rsidRPr="00513E03" w:rsidRDefault="00513E03" w:rsidP="008D7EB7">
      <w:pPr>
        <w:spacing w:after="120"/>
        <w:jc w:val="both"/>
        <w:rPr>
          <w:i/>
        </w:rPr>
      </w:pPr>
      <w:r w:rsidRPr="00513E03">
        <w:t>La constitution de provision pour risques et charges, comme la dépense y correspondante pour la constitution d’un fonds de pension ne peut dès lors s’effectuer qu’au service ordinaire</w:t>
      </w:r>
      <w:r w:rsidR="000A2789">
        <w:t> :</w:t>
      </w:r>
      <w:r w:rsidRPr="00513E03">
        <w:t xml:space="preserve"> </w:t>
      </w:r>
      <w:r w:rsidR="000A2789">
        <w:t>p</w:t>
      </w:r>
      <w:r w:rsidRPr="00513E03">
        <w:t>révoir une dépense au service extraordinaire serait contraire à cette définition reprise dans l’article 1, 15°, du RGCC.</w:t>
      </w:r>
    </w:p>
    <w:p w14:paraId="528CD332" w14:textId="713DCB9A" w:rsidR="00ED2CF5" w:rsidRPr="00513E03" w:rsidRDefault="00513E03" w:rsidP="008D7EB7">
      <w:pPr>
        <w:spacing w:after="120"/>
        <w:jc w:val="both"/>
      </w:pPr>
      <w:r w:rsidRPr="00513E03">
        <w:t>On peut aussi ajouter que les opérations qui ont permis aux communes de constituer des fonds de pension sont les propositions d’interventions dans le cadre de la problématique des caisses locales de pension - Tonus pension – du 20 novembre 2003 et l’affectation de la vente de télédistribution par les intercommunales du 12 décembre 2007. Ces dernières prévoyaient la constitution d’un fonds de pension au service ordinaire.</w:t>
      </w:r>
    </w:p>
    <w:p w14:paraId="5865DAC4" w14:textId="43B5C3C1" w:rsidR="004A2669" w:rsidRPr="001E1353" w:rsidRDefault="005A7D89" w:rsidP="008D7EB7">
      <w:pPr>
        <w:spacing w:after="120"/>
        <w:jc w:val="both"/>
      </w:pPr>
      <w:r>
        <w:t>Par ailleurs, d</w:t>
      </w:r>
      <w:r w:rsidR="004A2669" w:rsidRPr="001E1353">
        <w:t xml:space="preserve">ans un souci de bonne </w:t>
      </w:r>
      <w:r>
        <w:t>gestion</w:t>
      </w:r>
      <w:r w:rsidRPr="001E1353">
        <w:t xml:space="preserve"> </w:t>
      </w:r>
      <w:r w:rsidR="004A2669" w:rsidRPr="001E1353">
        <w:t>des deniers publics, il convient d</w:t>
      </w:r>
      <w:r w:rsidR="007F02CC">
        <w:t>’</w:t>
      </w:r>
      <w:r w:rsidR="004A2669" w:rsidRPr="001E1353">
        <w:t>affecter le personnel rattaché au Président de CPAS</w:t>
      </w:r>
      <w:r>
        <w:t>,</w:t>
      </w:r>
      <w:r w:rsidR="004A2669" w:rsidRPr="001E1353">
        <w:t xml:space="preserve"> qui exerce également les fonctions d</w:t>
      </w:r>
      <w:r w:rsidR="007F02CC">
        <w:t>’</w:t>
      </w:r>
      <w:r w:rsidR="00BA754A" w:rsidRPr="001E1353">
        <w:t>Échevin</w:t>
      </w:r>
      <w:r w:rsidR="004A2669" w:rsidRPr="001E1353">
        <w:t xml:space="preserve"> du Collège communal</w:t>
      </w:r>
      <w:r>
        <w:t>,</w:t>
      </w:r>
      <w:r w:rsidR="004A2669" w:rsidRPr="001E1353">
        <w:t xml:space="preserve"> à un seul et même cabinet afin de limiter les dépenses de personnel.</w:t>
      </w:r>
    </w:p>
    <w:p w14:paraId="034B6D67" w14:textId="32E23F09" w:rsidR="002B0713" w:rsidRDefault="002B0713" w:rsidP="008D7EB7">
      <w:pPr>
        <w:spacing w:after="120"/>
        <w:jc w:val="both"/>
      </w:pPr>
      <w:r w:rsidRPr="00ED2CF5">
        <w:lastRenderedPageBreak/>
        <w:t>Quant aux receveurs régionaux, j’attire votre attention sur le décret du 2 mai 2019</w:t>
      </w:r>
      <w:r w:rsidR="00ED2CF5" w:rsidRPr="00900C39">
        <w:rPr>
          <w:vertAlign w:val="superscript"/>
        </w:rPr>
        <w:footnoteReference w:id="25"/>
      </w:r>
      <w:r w:rsidRPr="008D7EB7">
        <w:rPr>
          <w:vertAlign w:val="superscript"/>
        </w:rPr>
        <w:t xml:space="preserve"> </w:t>
      </w:r>
      <w:r w:rsidR="00DC617B" w:rsidRPr="008D7EB7">
        <w:t xml:space="preserve">modifiant le Code de la démocratie locale et de la décentralisation relatif aux receveurs régionaux </w:t>
      </w:r>
      <w:r w:rsidRPr="00ED2CF5">
        <w:t>et ses arrêtés d’exécution du 6 juin 2019</w:t>
      </w:r>
      <w:r w:rsidR="00ED2CF5" w:rsidRPr="00900C39">
        <w:rPr>
          <w:vertAlign w:val="superscript"/>
        </w:rPr>
        <w:footnoteReference w:id="26"/>
      </w:r>
      <w:r w:rsidR="00DC617B" w:rsidRPr="0060515B">
        <w:rPr>
          <w:vertAlign w:val="superscript"/>
        </w:rPr>
        <w:t xml:space="preserve"> </w:t>
      </w:r>
      <w:r w:rsidR="00DC617B" w:rsidRPr="008D7EB7">
        <w:t>fixant le statut des receveurs régionaux et le mode de prélèvement d</w:t>
      </w:r>
      <w:r w:rsidR="00CA1962">
        <w:t>e</w:t>
      </w:r>
      <w:r w:rsidR="00DC617B" w:rsidRPr="008D7EB7">
        <w:t>s contributions aux frais de la recette régionale et fixant les règles de fonctionnement, de délibération et d’organisation du Collège des gouverneurs wallons</w:t>
      </w:r>
      <w:r w:rsidRPr="00ED2CF5">
        <w:t>.</w:t>
      </w:r>
    </w:p>
    <w:p w14:paraId="7EC80B06" w14:textId="6648B01C" w:rsidR="004A2669" w:rsidRDefault="005A7D89" w:rsidP="004A2669">
      <w:pPr>
        <w:jc w:val="both"/>
      </w:pPr>
      <w:r>
        <w:t>Enfin, a</w:t>
      </w:r>
      <w:r w:rsidR="004A2669" w:rsidRPr="001E1353">
        <w:t>fin d</w:t>
      </w:r>
      <w:r w:rsidR="007F02CC">
        <w:t>’</w:t>
      </w:r>
      <w:r w:rsidR="004A2669" w:rsidRPr="001E1353">
        <w:t>éviter de fausser l</w:t>
      </w:r>
      <w:r w:rsidR="007F02CC">
        <w:t>’</w:t>
      </w:r>
      <w:r w:rsidR="004A2669" w:rsidRPr="001E1353">
        <w:t xml:space="preserve">analyse des budgets et des comptes, les inscriptions fictives de recettes et de dépenses de personnel relatives aux enseignants dont la charge, la liquidation, et le calcul de salaire sont intégralement effectués par la </w:t>
      </w:r>
      <w:r w:rsidR="002453B0">
        <w:t>Fédération Wallonie-Bruxelles</w:t>
      </w:r>
      <w:r w:rsidR="004A2669" w:rsidRPr="001E1353">
        <w:t xml:space="preserve"> ne sont pas portées au budget et aux comptes. </w:t>
      </w:r>
    </w:p>
    <w:p w14:paraId="0D991471" w14:textId="77777777" w:rsidR="006843B9" w:rsidRPr="001E1353" w:rsidRDefault="006843B9" w:rsidP="004A2669">
      <w:pPr>
        <w:jc w:val="both"/>
      </w:pPr>
    </w:p>
    <w:p w14:paraId="5B5BF1AB" w14:textId="77777777" w:rsidR="004A2669" w:rsidRPr="001E1353" w:rsidRDefault="004A2669" w:rsidP="001E1353">
      <w:pPr>
        <w:pStyle w:val="Sam2"/>
      </w:pPr>
      <w:bookmarkStart w:id="2096" w:name="_Toc74557597"/>
      <w:r w:rsidRPr="001E1353">
        <w:t>Dépenses de fonctionnement</w:t>
      </w:r>
      <w:bookmarkEnd w:id="2096"/>
    </w:p>
    <w:p w14:paraId="1D1D11D0" w14:textId="78F88646" w:rsidR="004A2669" w:rsidRDefault="007F02CC" w:rsidP="008D7EB7">
      <w:pPr>
        <w:spacing w:after="120"/>
        <w:jc w:val="both"/>
      </w:pPr>
      <w:r>
        <w:t>L</w:t>
      </w:r>
      <w:r w:rsidR="004A2669" w:rsidRPr="001E1353">
        <w:t>es dépenses de fonctionnement refl</w:t>
      </w:r>
      <w:r>
        <w:t>é</w:t>
      </w:r>
      <w:r w:rsidR="004A2669" w:rsidRPr="001E1353">
        <w:t>t</w:t>
      </w:r>
      <w:r>
        <w:t>a</w:t>
      </w:r>
      <w:r w:rsidR="004A2669" w:rsidRPr="001E1353">
        <w:t>nt l</w:t>
      </w:r>
      <w:r>
        <w:t>’</w:t>
      </w:r>
      <w:r w:rsidR="004A2669" w:rsidRPr="001E1353">
        <w:t xml:space="preserve">évolution du coût de la vie, </w:t>
      </w:r>
      <w:bookmarkStart w:id="2097" w:name="_Hlk44594196"/>
      <w:r>
        <w:t xml:space="preserve">je vous conseille d’établir </w:t>
      </w:r>
      <w:r w:rsidR="004A2669" w:rsidRPr="001E1353">
        <w:t xml:space="preserve">les crédits par rapport aux dépenses engagées du compte </w:t>
      </w:r>
      <w:r w:rsidR="006D6B9E">
        <w:t>2021</w:t>
      </w:r>
      <w:r w:rsidR="004A2669" w:rsidRPr="001E1353">
        <w:t xml:space="preserve">. </w:t>
      </w:r>
      <w:r w:rsidR="00F35889">
        <w:t>Afin de contenir ces dépenses, j</w:t>
      </w:r>
      <w:r w:rsidR="004A2669" w:rsidRPr="001E1353">
        <w:t xml:space="preserve">e </w:t>
      </w:r>
      <w:r w:rsidR="0023664E">
        <w:t>recommande</w:t>
      </w:r>
      <w:r w:rsidRPr="001E1353">
        <w:t xml:space="preserve"> </w:t>
      </w:r>
      <w:r w:rsidR="004A2669" w:rsidRPr="001E1353">
        <w:t xml:space="preserve">une indexation </w:t>
      </w:r>
      <w:r w:rsidR="00F35889" w:rsidRPr="00256E9F">
        <w:rPr>
          <w:b/>
          <w:bCs/>
        </w:rPr>
        <w:t>maximale</w:t>
      </w:r>
      <w:r w:rsidR="000963A9">
        <w:t xml:space="preserve"> </w:t>
      </w:r>
      <w:r w:rsidR="004A2669" w:rsidRPr="001E1353">
        <w:t xml:space="preserve">des dépenses de </w:t>
      </w:r>
      <w:r w:rsidR="00F706EE">
        <w:t>2</w:t>
      </w:r>
      <w:r w:rsidR="004A2669" w:rsidRPr="001E1353">
        <w:t>%, hors dépenses énergétiques</w:t>
      </w:r>
      <w:r>
        <w:t xml:space="preserve">, ou de 0% sur </w:t>
      </w:r>
      <w:r w:rsidR="005F7FC1">
        <w:t xml:space="preserve">la </w:t>
      </w:r>
      <w:r>
        <w:t xml:space="preserve">base de la dernière modification budgétaire </w:t>
      </w:r>
      <w:r w:rsidR="006D6B9E">
        <w:t xml:space="preserve">2022 </w:t>
      </w:r>
      <w:r>
        <w:t>s</w:t>
      </w:r>
      <w:r w:rsidR="004A2669" w:rsidRPr="001E1353">
        <w:t xml:space="preserve">i le compte </w:t>
      </w:r>
      <w:r w:rsidR="006D6B9E">
        <w:t>2021</w:t>
      </w:r>
      <w:r w:rsidR="006D6B9E" w:rsidRPr="001E1353">
        <w:t xml:space="preserve"> </w:t>
      </w:r>
      <w:r w:rsidR="004A2669" w:rsidRPr="001E1353">
        <w:t>n’est pas encore disponible</w:t>
      </w:r>
      <w:r>
        <w:t>.</w:t>
      </w:r>
      <w:r w:rsidR="004A2669" w:rsidRPr="001E1353">
        <w:t xml:space="preserve"> </w:t>
      </w:r>
    </w:p>
    <w:p w14:paraId="7D2FD089" w14:textId="7144226A" w:rsidR="004A2669" w:rsidRPr="001E1353" w:rsidRDefault="00F35889" w:rsidP="008D7EB7">
      <w:pPr>
        <w:spacing w:after="120"/>
        <w:jc w:val="both"/>
      </w:pPr>
      <w:r>
        <w:t>A la lueur de l’évolution 2022, l</w:t>
      </w:r>
      <w:r w:rsidR="004A2669" w:rsidRPr="001E1353">
        <w:t xml:space="preserve">es dépenses énergétiques peuvent quant à elles fluctuer </w:t>
      </w:r>
      <w:r>
        <w:t xml:space="preserve">fortement </w:t>
      </w:r>
      <w:r w:rsidR="004A2669" w:rsidRPr="001E1353">
        <w:t>en fonction de l’évolution des coûts de l’énergie. Ces augmentations pourraient être reprises dans un crédit global qui serait affecté progressivement lors des modifications budgétaires.</w:t>
      </w:r>
    </w:p>
    <w:bookmarkEnd w:id="2097"/>
    <w:p w14:paraId="35A752AC" w14:textId="2C473F3E" w:rsidR="004A2669" w:rsidRPr="001E1353" w:rsidRDefault="004A2669" w:rsidP="008D7EB7">
      <w:pPr>
        <w:spacing w:after="120"/>
        <w:jc w:val="both"/>
      </w:pPr>
      <w:r w:rsidRPr="001E1353">
        <w:t>Par ailleurs, je vous invite à une réduction de l</w:t>
      </w:r>
      <w:r w:rsidR="007F02CC">
        <w:t>’</w:t>
      </w:r>
      <w:r w:rsidRPr="001E1353">
        <w:t>emploi du papier et vous renvoie à la circulaire du 3 juin 2009 du Gouvernement wallon relative à l</w:t>
      </w:r>
      <w:r w:rsidR="007F02CC">
        <w:t>’</w:t>
      </w:r>
      <w:r w:rsidRPr="001E1353">
        <w:t>achat de papier à copier ou imprimer</w:t>
      </w:r>
      <w:r w:rsidR="00582A82">
        <w:rPr>
          <w:rStyle w:val="Appelnotedebasdep"/>
        </w:rPr>
        <w:footnoteReference w:id="27"/>
      </w:r>
      <w:r w:rsidRPr="001E1353">
        <w:t xml:space="preserve">. Et il en est de même </w:t>
      </w:r>
      <w:r w:rsidR="007F02CC">
        <w:t>–</w:t>
      </w:r>
      <w:r w:rsidRPr="001E1353">
        <w:t xml:space="preserve"> avec encore plus d</w:t>
      </w:r>
      <w:r w:rsidR="007F02CC">
        <w:t>’</w:t>
      </w:r>
      <w:r w:rsidRPr="001E1353">
        <w:t xml:space="preserve">acuité </w:t>
      </w:r>
      <w:r w:rsidR="007F02CC">
        <w:t>–</w:t>
      </w:r>
      <w:r w:rsidRPr="001E1353">
        <w:t xml:space="preserve"> pour la gestion de l</w:t>
      </w:r>
      <w:r w:rsidR="007F02CC">
        <w:t>’</w:t>
      </w:r>
      <w:r w:rsidRPr="001E1353">
        <w:t xml:space="preserve">énergie. </w:t>
      </w:r>
    </w:p>
    <w:p w14:paraId="09CDA3B3" w14:textId="77777777" w:rsidR="004A2669" w:rsidRPr="001E1353" w:rsidRDefault="004A2669" w:rsidP="008D7EB7">
      <w:pPr>
        <w:spacing w:after="120"/>
        <w:jc w:val="both"/>
      </w:pPr>
      <w:r w:rsidRPr="001E1353">
        <w:t xml:space="preserve">Je vous rappelle que le code fonctionnel 101 doit comprendre les dépenses de fonctionnement des mandataires alors que celles-ci sont trop souvent intégrées voire dispersées dans la fonction 104. </w:t>
      </w:r>
    </w:p>
    <w:p w14:paraId="767F574B" w14:textId="02751086" w:rsidR="004A2669" w:rsidRDefault="004A2669" w:rsidP="008D7EB7">
      <w:pPr>
        <w:spacing w:after="120"/>
        <w:jc w:val="both"/>
      </w:pPr>
      <w:r w:rsidRPr="001E1353">
        <w:t xml:space="preserve">La dépense correspondant à la souscription obligatoire </w:t>
      </w:r>
      <w:r w:rsidR="003D7394" w:rsidRPr="00ED2CF5">
        <w:t>(</w:t>
      </w:r>
      <w:r w:rsidRPr="001E1353">
        <w:t>article L1241-3 du CDLD) d</w:t>
      </w:r>
      <w:r w:rsidR="007F02CC">
        <w:t>’</w:t>
      </w:r>
      <w:r w:rsidRPr="001E1353">
        <w:t>une assurance particulière pour couvrir la responsabilité civile des mandataires dans l</w:t>
      </w:r>
      <w:r w:rsidR="007F02CC">
        <w:t>’</w:t>
      </w:r>
      <w:r w:rsidRPr="001E1353">
        <w:t>exercice de leurs fonctions doit être inscrite à l</w:t>
      </w:r>
      <w:r w:rsidR="007F02CC">
        <w:t>’</w:t>
      </w:r>
      <w:r w:rsidRPr="001E1353">
        <w:t>article 101/124-08.</w:t>
      </w:r>
    </w:p>
    <w:p w14:paraId="7EEEEB06" w14:textId="6C031657" w:rsidR="004A2669" w:rsidRDefault="004A2669" w:rsidP="00964935">
      <w:pPr>
        <w:spacing w:after="120"/>
        <w:jc w:val="both"/>
      </w:pPr>
      <w:r w:rsidRPr="001E1353">
        <w:t>J</w:t>
      </w:r>
      <w:r w:rsidR="007F02CC">
        <w:t>’</w:t>
      </w:r>
      <w:r w:rsidRPr="001E1353">
        <w:t>attire aussi votre attention sur les dépenses de réception et de représentation et rappelle qu</w:t>
      </w:r>
      <w:r w:rsidR="007F02CC">
        <w:t>’</w:t>
      </w:r>
      <w:r w:rsidRPr="001E1353">
        <w:t xml:space="preserve">elles doivent </w:t>
      </w:r>
      <w:r w:rsidR="00F35889" w:rsidRPr="00256E9F">
        <w:rPr>
          <w:b/>
          <w:bCs/>
        </w:rPr>
        <w:t>impérativement</w:t>
      </w:r>
      <w:r w:rsidR="00F35889">
        <w:t xml:space="preserve"> </w:t>
      </w:r>
      <w:r w:rsidRPr="001E1353">
        <w:t>rencontrer l</w:t>
      </w:r>
      <w:r w:rsidR="007F02CC">
        <w:t>’</w:t>
      </w:r>
      <w:r w:rsidRPr="001E1353">
        <w:t>intérêt général</w:t>
      </w:r>
      <w:r w:rsidR="007F02CC">
        <w:t> </w:t>
      </w:r>
      <w:r w:rsidR="007D6979">
        <w:t>;</w:t>
      </w:r>
      <w:r w:rsidRPr="001E1353">
        <w:t xml:space="preserve"> la décision communale le visera explicitement.</w:t>
      </w:r>
    </w:p>
    <w:p w14:paraId="2EBB51BF" w14:textId="77777777" w:rsidR="004A2669" w:rsidRPr="001E1353" w:rsidRDefault="004A2669" w:rsidP="001E1353">
      <w:pPr>
        <w:pStyle w:val="Sam2"/>
      </w:pPr>
      <w:bookmarkStart w:id="2098" w:name="_Toc40185309"/>
      <w:bookmarkStart w:id="2099" w:name="_Toc40186044"/>
      <w:bookmarkStart w:id="2100" w:name="_Toc74557598"/>
      <w:bookmarkEnd w:id="2098"/>
      <w:bookmarkEnd w:id="2099"/>
      <w:r w:rsidRPr="001E1353">
        <w:t>Dépenses de transfert</w:t>
      </w:r>
      <w:bookmarkEnd w:id="2100"/>
    </w:p>
    <w:p w14:paraId="633BDCEF" w14:textId="77777777" w:rsidR="004A2669" w:rsidRDefault="004A2669" w:rsidP="008D7EB7">
      <w:pPr>
        <w:spacing w:after="120"/>
        <w:jc w:val="both"/>
      </w:pPr>
      <w:r w:rsidRPr="001E1353">
        <w:t xml:space="preserve">Dans la situation actuelle des finances publiques, il va de soi que toutes les institutions qui tirent leurs ressources des communes, comme les autres entités consolidées, doivent, elles aussi, veiller à mener une politique </w:t>
      </w:r>
      <w:r w:rsidR="00C72D51">
        <w:t>attentive en la matière</w:t>
      </w:r>
      <w:r w:rsidRPr="001E1353">
        <w:t>.</w:t>
      </w:r>
    </w:p>
    <w:p w14:paraId="75FFD7F8" w14:textId="77777777" w:rsidR="004A2669" w:rsidRPr="001E1353" w:rsidRDefault="004A2669" w:rsidP="008D7EB7">
      <w:pPr>
        <w:spacing w:after="120"/>
        <w:jc w:val="both"/>
      </w:pPr>
      <w:r w:rsidRPr="001E1353">
        <w:lastRenderedPageBreak/>
        <w:t xml:space="preserve">Les principes repris en dépenses de personnel et de fonctionnement pour les communes sont applicables </w:t>
      </w:r>
      <w:r w:rsidRPr="008D7EB7">
        <w:t>mutatis mutandis</w:t>
      </w:r>
      <w:r w:rsidRPr="001E1353">
        <w:t xml:space="preserve"> aux entités consolidées.</w:t>
      </w:r>
    </w:p>
    <w:p w14:paraId="5C34484B" w14:textId="4E0C458B" w:rsidR="004A2669" w:rsidRPr="001E1353" w:rsidRDefault="004A2669" w:rsidP="008D7EB7">
      <w:pPr>
        <w:spacing w:after="120"/>
        <w:jc w:val="both"/>
      </w:pPr>
      <w:r w:rsidRPr="001E1353">
        <w:t>Le Collège communal veillera à leur impact sur l</w:t>
      </w:r>
      <w:r w:rsidR="007F02CC">
        <w:t>’</w:t>
      </w:r>
      <w:r w:rsidRPr="001E1353">
        <w:t>ensemble du budget ainsi qu</w:t>
      </w:r>
      <w:r w:rsidR="007F02CC">
        <w:t>’</w:t>
      </w:r>
      <w:r w:rsidRPr="001E1353">
        <w:t>à fournir à tous les conseillers les moyens utiles et efficaces visant à leur permettre d</w:t>
      </w:r>
      <w:r w:rsidR="007F02CC">
        <w:t>’</w:t>
      </w:r>
      <w:r w:rsidRPr="001E1353">
        <w:t>exercer toutes leurs prérogatives en la matière (transmission de pièces, informations</w:t>
      </w:r>
      <w:r w:rsidR="00ED2CF5">
        <w:t>, etc.</w:t>
      </w:r>
      <w:r w:rsidRPr="001E1353">
        <w:t>).</w:t>
      </w:r>
    </w:p>
    <w:p w14:paraId="3DD370A1" w14:textId="47D4CF98" w:rsidR="004A2669" w:rsidRPr="00ED2CF5" w:rsidRDefault="003D7394" w:rsidP="008D7EB7">
      <w:pPr>
        <w:spacing w:after="120"/>
        <w:jc w:val="both"/>
      </w:pPr>
      <w:r w:rsidRPr="00ED2CF5">
        <w:t>Dans le strict respect de l’autonomie locale, les mandataires communaux exercent un rôle de contrôle à l’égard des organismes para locaux et des asso</w:t>
      </w:r>
      <w:r w:rsidR="00BE025F" w:rsidRPr="008D7EB7">
        <w:t>ci</w:t>
      </w:r>
      <w:r w:rsidRPr="00ED2CF5">
        <w:t xml:space="preserve">ations financées par les communes. Il convient qu’ils veillent à informer régulièrement le Conseil communal de leur mission, particulièrement au regard de la situation financière ou des difficultés de gestion de ces structures. </w:t>
      </w:r>
      <w:r w:rsidR="004A2669" w:rsidRPr="00ED2CF5">
        <w:t xml:space="preserve">J’insiste sur le rôle important de contrôle dévolu aux mandataires communaux vis-à-vis des </w:t>
      </w:r>
      <w:r w:rsidR="00C72D51" w:rsidRPr="00ED2CF5">
        <w:t>entités consolidées.</w:t>
      </w:r>
    </w:p>
    <w:p w14:paraId="72CB392E" w14:textId="24414435" w:rsidR="009D4454" w:rsidRPr="00276F16" w:rsidRDefault="009D4454" w:rsidP="008D7EB7">
      <w:pPr>
        <w:spacing w:after="120"/>
        <w:jc w:val="both"/>
      </w:pPr>
      <w:r w:rsidRPr="00276F16">
        <w:t>Dans la mesure du possible, je souhaite que des synergies soient développées entre votre commune et vos entités consolidées</w:t>
      </w:r>
      <w:r w:rsidR="00DF6A2D">
        <w:t xml:space="preserve">, </w:t>
      </w:r>
      <w:r w:rsidR="00DF6A2D" w:rsidRPr="00541AFA">
        <w:t>là où elles sont possibles, nécessaires ou utiles pour le service au citoyen</w:t>
      </w:r>
      <w:r w:rsidRPr="00276F16">
        <w:t xml:space="preserve">.  </w:t>
      </w:r>
    </w:p>
    <w:p w14:paraId="1798AFBD" w14:textId="7A622447" w:rsidR="009D4454" w:rsidRPr="00276F16" w:rsidRDefault="009D4454" w:rsidP="008D7EB7">
      <w:pPr>
        <w:spacing w:after="120"/>
        <w:jc w:val="both"/>
      </w:pPr>
      <w:r w:rsidRPr="00276F16">
        <w:t>Une synergie est une volonté commune et partagée de gérer ou de réaliser un service, une action, un projet ou une mission ensemble ou encore de confier à une des institutions locales la réalisation ou la gestion d’un service, d’une action, d’un projet ou d’une mission en vue de viser l’efficience du service public</w:t>
      </w:r>
      <w:r w:rsidR="00BE025F" w:rsidRPr="008D7EB7">
        <w:t xml:space="preserve"> et d’accroître son efficacité organisationnelle</w:t>
      </w:r>
      <w:r w:rsidRPr="00276F16">
        <w:t xml:space="preserve"> </w:t>
      </w:r>
      <w:r w:rsidR="00BE025F" w:rsidRPr="008D7EB7">
        <w:t>dans le</w:t>
      </w:r>
      <w:r w:rsidRPr="00276F16">
        <w:t xml:space="preserve"> respect des missions et de l’autonomie de chacun</w:t>
      </w:r>
      <w:r w:rsidR="00BE025F" w:rsidRPr="008D7EB7">
        <w:t>, et finalement d’opérer des économies d’échelles</w:t>
      </w:r>
      <w:r w:rsidRPr="00276F16">
        <w:t>. </w:t>
      </w:r>
    </w:p>
    <w:p w14:paraId="13339D99" w14:textId="2216ACFC" w:rsidR="00ED2CF5" w:rsidRPr="00276F16" w:rsidRDefault="009D4454" w:rsidP="008D7EB7">
      <w:pPr>
        <w:spacing w:after="120"/>
        <w:jc w:val="both"/>
      </w:pPr>
      <w:r w:rsidRPr="00276F16">
        <w:t xml:space="preserve">Ainsi la création de services communs de support sera favorisée. Les services de support regroupent l’ensemble des prestations internes qui contribuent indirectement à la mission première de l’administration publique.  Ils sont constitués principalement des services achats, ressources humaines, maintenance et informatique. </w:t>
      </w:r>
    </w:p>
    <w:p w14:paraId="276E802D" w14:textId="76B8FDC5" w:rsidR="004A2669" w:rsidRPr="001E1353" w:rsidRDefault="004A2669" w:rsidP="008D7EB7">
      <w:pPr>
        <w:spacing w:after="120"/>
        <w:jc w:val="both"/>
      </w:pPr>
      <w:r w:rsidRPr="00ED2CF5">
        <w:t xml:space="preserve">En ce qui concerne les régies ordinaires (non autonomes), je vous rappelle </w:t>
      </w:r>
      <w:r w:rsidR="003D7394" w:rsidRPr="00ED2CF5">
        <w:t xml:space="preserve">que </w:t>
      </w:r>
      <w:r w:rsidRPr="00ED2CF5">
        <w:t>l'Arrêté du Régent du 18 juin 1946 en organise la gestion financière.</w:t>
      </w:r>
    </w:p>
    <w:p w14:paraId="77133A20" w14:textId="0E837AC2" w:rsidR="00FA20D6" w:rsidRDefault="004A2669" w:rsidP="008D7EB7">
      <w:pPr>
        <w:spacing w:after="120"/>
        <w:jc w:val="both"/>
      </w:pPr>
      <w:r w:rsidRPr="001E1353">
        <w:t>Concernant les subsides communaux aux associations, j’encourage les gestionnaires locaux à questionner régulièrement la pertinence de ceux-ci et à vérifier l’usage qui en est fait.</w:t>
      </w:r>
    </w:p>
    <w:p w14:paraId="30B74D1C" w14:textId="77777777" w:rsidR="00FA20D6" w:rsidRDefault="00FA20D6" w:rsidP="008D7EB7">
      <w:pPr>
        <w:spacing w:after="120"/>
        <w:jc w:val="both"/>
      </w:pPr>
    </w:p>
    <w:p w14:paraId="3AEC248C" w14:textId="1ACEA740" w:rsidR="008C3FFA" w:rsidRPr="00CB7ADD" w:rsidRDefault="00CB7ADD" w:rsidP="00256E9F">
      <w:pPr>
        <w:pStyle w:val="Sam3"/>
      </w:pPr>
      <w:bookmarkStart w:id="2101" w:name="_Toc74557599"/>
      <w:r w:rsidRPr="00276F16">
        <w:t xml:space="preserve">IV.3.1 </w:t>
      </w:r>
      <w:bookmarkStart w:id="2102" w:name="_Toc516837991"/>
      <w:r w:rsidR="008C3FFA" w:rsidRPr="00CB7ADD">
        <w:t>CPAS</w:t>
      </w:r>
      <w:bookmarkStart w:id="2103" w:name="_Toc516837994"/>
      <w:bookmarkEnd w:id="2101"/>
      <w:bookmarkEnd w:id="2102"/>
      <w:bookmarkEnd w:id="2103"/>
    </w:p>
    <w:p w14:paraId="04D9CACE" w14:textId="2019ECFF" w:rsidR="004B3921" w:rsidRDefault="004B3921" w:rsidP="008D7EB7">
      <w:pPr>
        <w:spacing w:after="120"/>
        <w:jc w:val="both"/>
      </w:pPr>
    </w:p>
    <w:p w14:paraId="7218F842" w14:textId="77777777" w:rsidR="00B61AA3" w:rsidRDefault="00B61AA3" w:rsidP="00B61AA3">
      <w:pPr>
        <w:spacing w:after="120"/>
        <w:jc w:val="both"/>
      </w:pPr>
      <w:r>
        <w:t xml:space="preserve">Tous les principes applicables aux communes peuvent être applicables mutatis mutandis aux CPAS. </w:t>
      </w:r>
    </w:p>
    <w:p w14:paraId="60F5B03D" w14:textId="77777777" w:rsidR="00B61AA3" w:rsidRDefault="00B61AA3" w:rsidP="00B61AA3">
      <w:pPr>
        <w:spacing w:after="120"/>
        <w:jc w:val="both"/>
      </w:pPr>
      <w:r>
        <w:t>Un maximum de synergies entre votre commune et votre CPAS doivent être développées. Je vous encourage à étudier le rapprochement entre les services de l’administration communale et ceux du CPAS sur base volontaire, tout en conservant la pleine autonomie des organes délibérants.</w:t>
      </w:r>
    </w:p>
    <w:p w14:paraId="0AB79A9D" w14:textId="77777777" w:rsidR="00B61AA3" w:rsidRDefault="00B61AA3" w:rsidP="00B61AA3">
      <w:pPr>
        <w:spacing w:after="120"/>
        <w:jc w:val="both"/>
      </w:pPr>
      <w:r>
        <w:t>J'insiste spécialement aussi sur les conventions de trésorerie commune-CPAS qui permettent aux deux institutions d'éviter bien souvent des ouvertures de crédits dispendieuses.</w:t>
      </w:r>
    </w:p>
    <w:p w14:paraId="4401E05D" w14:textId="77777777" w:rsidR="00B61AA3" w:rsidRDefault="00B61AA3" w:rsidP="00B61AA3">
      <w:pPr>
        <w:spacing w:after="120"/>
        <w:jc w:val="both"/>
      </w:pPr>
      <w:r>
        <w:t xml:space="preserve">Depuis l’entrée en vigueur, au 1er mars 2014, du décret du 23 janvier 2014 modifiant diverses dispositions relatives à la tutelle sur les CPAS (Moniteur belge du 6 février 2014), la tutelle sur les budgets, modifications budgétaires et comptes des CPAS est exercée par le conseil </w:t>
      </w:r>
      <w:r>
        <w:lastRenderedPageBreak/>
        <w:t>communal ou, sur recours, par le Gouverneur. C’est donc à chaque commune qu’il revient de communiquer à son CPAS les recommandations en vue de l’élaboration de son budget. Elle peut pour ce faire s’inspirer des recommandations indiquées dans la présente circulaire.</w:t>
      </w:r>
    </w:p>
    <w:p w14:paraId="17091E17" w14:textId="77777777" w:rsidR="00B61AA3" w:rsidRPr="00B225DE" w:rsidRDefault="00B61AA3" w:rsidP="00B61AA3">
      <w:pPr>
        <w:spacing w:after="120"/>
        <w:jc w:val="both"/>
        <w:rPr>
          <w:b/>
          <w:bCs/>
        </w:rPr>
      </w:pPr>
      <w:r w:rsidRPr="00B225DE">
        <w:rPr>
          <w:b/>
          <w:bCs/>
        </w:rPr>
        <w:t xml:space="preserve">Bien que la tutelle budgétaire soit exercée par la commune, votre CPAS est néanmoins tenu de répondre aux demandes de </w:t>
      </w:r>
      <w:proofErr w:type="spellStart"/>
      <w:r w:rsidRPr="00B225DE">
        <w:rPr>
          <w:b/>
          <w:bCs/>
        </w:rPr>
        <w:t>reportings</w:t>
      </w:r>
      <w:proofErr w:type="spellEnd"/>
      <w:r w:rsidRPr="00B225DE">
        <w:rPr>
          <w:b/>
          <w:bCs/>
        </w:rPr>
        <w:t xml:space="preserve"> qui lui sont adressés par le SPW Intérieur Action sociale (budgets et comptes provisoires et définitifs (cf. articles 88bis et 89ter de la loi organique), prévisions budgétaires pluriannuelles (article 88ter), toute donnée statistique (article 89quater), PPP, exécution trimestrielle du budget, …) étant donné que les CPAS appartiennent au secteur S1313 des administrations publiques locales dans la classification SEC 2010. </w:t>
      </w:r>
    </w:p>
    <w:p w14:paraId="53D404B6" w14:textId="77777777" w:rsidR="00B61AA3" w:rsidRPr="00B225DE" w:rsidRDefault="00B61AA3" w:rsidP="00B61AA3">
      <w:pPr>
        <w:spacing w:after="120"/>
        <w:jc w:val="both"/>
        <w:rPr>
          <w:b/>
          <w:bCs/>
        </w:rPr>
      </w:pPr>
      <w:r w:rsidRPr="00B225DE">
        <w:rPr>
          <w:b/>
          <w:bCs/>
        </w:rPr>
        <w:t xml:space="preserve">Je vous invite donc à rappeler ces obligations à votre CPAS et de s’assurer de l’envoi des demandes de </w:t>
      </w:r>
      <w:proofErr w:type="spellStart"/>
      <w:r w:rsidRPr="00B225DE">
        <w:rPr>
          <w:b/>
          <w:bCs/>
        </w:rPr>
        <w:t>reportings</w:t>
      </w:r>
      <w:proofErr w:type="spellEnd"/>
      <w:r w:rsidRPr="00B225DE">
        <w:rPr>
          <w:b/>
          <w:bCs/>
        </w:rPr>
        <w:t xml:space="preserve">. </w:t>
      </w:r>
    </w:p>
    <w:p w14:paraId="23DDB5C6" w14:textId="22ABC0B4" w:rsidR="00B61AA3" w:rsidRPr="00B225DE" w:rsidRDefault="00B61AA3" w:rsidP="00B61AA3">
      <w:pPr>
        <w:spacing w:after="120"/>
        <w:jc w:val="both"/>
        <w:rPr>
          <w:b/>
          <w:bCs/>
        </w:rPr>
      </w:pPr>
      <w:r w:rsidRPr="00B225DE">
        <w:rPr>
          <w:b/>
          <w:bCs/>
        </w:rPr>
        <w:t xml:space="preserve">Ces données doivent être transmises pour rappel à l’adresse </w:t>
      </w:r>
      <w:proofErr w:type="gramStart"/>
      <w:r w:rsidRPr="00B225DE">
        <w:rPr>
          <w:b/>
          <w:bCs/>
        </w:rPr>
        <w:t>mail</w:t>
      </w:r>
      <w:proofErr w:type="gramEnd"/>
      <w:r w:rsidRPr="00B225DE">
        <w:rPr>
          <w:b/>
          <w:bCs/>
        </w:rPr>
        <w:t xml:space="preserve"> </w:t>
      </w:r>
      <w:hyperlink r:id="rId10" w:history="1">
        <w:r w:rsidRPr="00B225DE">
          <w:rPr>
            <w:rStyle w:val="Lienhypertexte"/>
            <w:b/>
            <w:bCs/>
          </w:rPr>
          <w:t>ressfin.interieur@spw.wallonie.be</w:t>
        </w:r>
      </w:hyperlink>
      <w:r w:rsidRPr="00B225DE">
        <w:rPr>
          <w:b/>
          <w:bCs/>
        </w:rPr>
        <w:t>.</w:t>
      </w:r>
    </w:p>
    <w:p w14:paraId="25CD1B80" w14:textId="52E688AB" w:rsidR="00B61AA3" w:rsidRDefault="00B61AA3" w:rsidP="00B61AA3">
      <w:pPr>
        <w:spacing w:after="120"/>
        <w:jc w:val="both"/>
      </w:pPr>
      <w:r>
        <w:t xml:space="preserve">J’invite également la commune, en tant qu’autorité de tutelle sur les CPAS, à leur adresser une circulaire relative à l’élaboration de leur budget pour l’exercice </w:t>
      </w:r>
      <w:r w:rsidR="006D6B9E">
        <w:t>2023</w:t>
      </w:r>
      <w:r>
        <w:t xml:space="preserve">. Il est évident que cette circulaire n’empêche pas d’organiser une concertation spécifique avec votre CPAS, afin de fixer notamment le niveau de la dotation communale. </w:t>
      </w:r>
    </w:p>
    <w:p w14:paraId="732E8115" w14:textId="77777777" w:rsidR="00B61AA3" w:rsidRDefault="00B61AA3" w:rsidP="00B61AA3">
      <w:pPr>
        <w:spacing w:after="120"/>
        <w:jc w:val="both"/>
      </w:pPr>
      <w:r>
        <w:t>En aucun cas, cette circulaire ne peut modifier les dispositions de la loi organique et du règlement général de la comptabilité communale tel que rendu applicable aux CPAS.</w:t>
      </w:r>
    </w:p>
    <w:p w14:paraId="56AAB555" w14:textId="438FBE5C" w:rsidR="00B61AA3" w:rsidRDefault="00B61AA3" w:rsidP="00B61AA3">
      <w:pPr>
        <w:spacing w:after="120"/>
        <w:jc w:val="both"/>
      </w:pPr>
      <w:r>
        <w:t>Cette circulaire pourrait par exemple porter sur les éléments suivants :</w:t>
      </w:r>
    </w:p>
    <w:p w14:paraId="7C8695B4" w14:textId="77777777" w:rsidR="00E943C9" w:rsidRDefault="00E943C9" w:rsidP="00B61AA3">
      <w:pPr>
        <w:spacing w:after="120"/>
        <w:jc w:val="both"/>
      </w:pPr>
    </w:p>
    <w:p w14:paraId="6091864C" w14:textId="77777777" w:rsidR="00B61AA3" w:rsidRDefault="00B61AA3" w:rsidP="00B61AA3">
      <w:pPr>
        <w:spacing w:after="120"/>
        <w:jc w:val="both"/>
      </w:pPr>
      <w:r w:rsidRPr="00B225DE">
        <w:rPr>
          <w:b/>
          <w:bCs/>
        </w:rPr>
        <w:t>a)</w:t>
      </w:r>
      <w:r>
        <w:tab/>
      </w:r>
      <w:r w:rsidRPr="00B225DE">
        <w:rPr>
          <w:b/>
          <w:bCs/>
          <w:u w:val="single"/>
        </w:rPr>
        <w:t>Calendrier légal</w:t>
      </w:r>
    </w:p>
    <w:p w14:paraId="4869A99B" w14:textId="77777777" w:rsidR="00B61AA3" w:rsidRDefault="00B61AA3" w:rsidP="00B61AA3">
      <w:pPr>
        <w:spacing w:after="120"/>
        <w:jc w:val="both"/>
      </w:pPr>
      <w:r>
        <w:t xml:space="preserve">J'attire votre attention sur la nécessité de veiller à respecter au mieux les prescrits légaux concernant les dates de vote budgétaire et comptable, traduisant ainsi la rigueur d'efforts parfois difficiles mais nécessaires afin de pouvoir disposer dès le début de l'exercice financier, d'un budget, et encore plus de comptes annuels visant rapidement à l'arrêt de la situation réelle du CPAS. </w:t>
      </w:r>
    </w:p>
    <w:p w14:paraId="189C6AC4" w14:textId="77777777" w:rsidR="00B61AA3" w:rsidRDefault="00B61AA3" w:rsidP="00B61AA3">
      <w:pPr>
        <w:spacing w:after="120"/>
        <w:jc w:val="both"/>
      </w:pPr>
      <w:r>
        <w:t>Ainsi, les dispositions de la loi organique sur les CPAS fixent ce calendrier légal.</w:t>
      </w:r>
    </w:p>
    <w:p w14:paraId="1AAB4EB4" w14:textId="77777777" w:rsidR="00B61AA3" w:rsidRDefault="00B61AA3" w:rsidP="00B61AA3">
      <w:pPr>
        <w:spacing w:after="120"/>
        <w:jc w:val="both"/>
      </w:pPr>
      <w:r>
        <w:t xml:space="preserve">Echéancier : </w:t>
      </w:r>
    </w:p>
    <w:p w14:paraId="29016A73" w14:textId="77777777" w:rsidR="00B61AA3" w:rsidRDefault="00B61AA3" w:rsidP="00B61AA3">
      <w:pPr>
        <w:spacing w:after="120"/>
        <w:jc w:val="both"/>
      </w:pPr>
      <w:r w:rsidRPr="00B225DE">
        <w:rPr>
          <w:b/>
          <w:bCs/>
        </w:rPr>
        <w:t>En ce qui concerne le budget initial</w:t>
      </w:r>
      <w:r>
        <w:t>, le bureau permanent arrête un budget provisoire et le transmet au SPW Intérieur Action sociale au plus tard pour le 1</w:t>
      </w:r>
      <w:r w:rsidRPr="00B225DE">
        <w:rPr>
          <w:vertAlign w:val="superscript"/>
        </w:rPr>
        <w:t>er</w:t>
      </w:r>
      <w:r>
        <w:t xml:space="preserve"> octobre de l’exercice précédent. Ce budget provisoire sert uniquement à répondre à la demande de l'Institut des Comptes Nationaux (ICN) de disposer le plus rapidement possible de </w:t>
      </w:r>
      <w:proofErr w:type="spellStart"/>
      <w:r>
        <w:t>données</w:t>
      </w:r>
      <w:proofErr w:type="spellEnd"/>
      <w:r>
        <w:t xml:space="preserve"> budgétaires.</w:t>
      </w:r>
    </w:p>
    <w:p w14:paraId="365D83FC" w14:textId="77777777" w:rsidR="00B61AA3" w:rsidRDefault="00B61AA3" w:rsidP="00B61AA3">
      <w:pPr>
        <w:spacing w:after="120"/>
        <w:jc w:val="both"/>
      </w:pPr>
      <w:r>
        <w:t xml:space="preserve">Le budget définitif doit être soumis à l’approbation de l’autorité de tutelle (le conseil communal) avant le 15 novembre (n-1). </w:t>
      </w:r>
    </w:p>
    <w:p w14:paraId="7B3C3318" w14:textId="77777777" w:rsidR="00E943C9" w:rsidRDefault="00E943C9" w:rsidP="00B61AA3">
      <w:pPr>
        <w:spacing w:after="120"/>
        <w:jc w:val="both"/>
      </w:pPr>
    </w:p>
    <w:p w14:paraId="7711DE92" w14:textId="063809E8" w:rsidR="00B61AA3" w:rsidRDefault="00B61AA3" w:rsidP="00B61AA3">
      <w:pPr>
        <w:spacing w:after="120"/>
        <w:jc w:val="both"/>
      </w:pPr>
      <w:r w:rsidRPr="00B225DE">
        <w:rPr>
          <w:u w:val="single"/>
        </w:rPr>
        <w:t>Procédure</w:t>
      </w:r>
      <w:r w:rsidR="00E943C9">
        <w:t> :</w:t>
      </w:r>
    </w:p>
    <w:p w14:paraId="03948C91" w14:textId="77777777" w:rsidR="00B61AA3" w:rsidRDefault="00B61AA3" w:rsidP="00B225DE">
      <w:pPr>
        <w:spacing w:after="120"/>
        <w:ind w:left="709" w:hanging="709"/>
        <w:jc w:val="both"/>
      </w:pPr>
      <w:r>
        <w:t>1.</w:t>
      </w:r>
      <w:r>
        <w:tab/>
        <w:t>Concertation du comité de direction sur l’avant-projet de budget (article 42 de la loi organique)</w:t>
      </w:r>
    </w:p>
    <w:p w14:paraId="74E13E29" w14:textId="77777777" w:rsidR="00B61AA3" w:rsidRDefault="00B61AA3" w:rsidP="00B225DE">
      <w:pPr>
        <w:spacing w:after="120"/>
        <w:ind w:left="709" w:hanging="709"/>
        <w:jc w:val="both"/>
      </w:pPr>
      <w:r>
        <w:lastRenderedPageBreak/>
        <w:t>2.</w:t>
      </w:r>
      <w:r>
        <w:tab/>
        <w:t>Avis de la commission budgétaire sur la légalité et les implications financières prévisibles de l’avant-projet de budget (article 12 du RGCCPAS)</w:t>
      </w:r>
    </w:p>
    <w:p w14:paraId="001AA089" w14:textId="77777777" w:rsidR="00B61AA3" w:rsidRDefault="00B61AA3" w:rsidP="00B61AA3">
      <w:pPr>
        <w:spacing w:after="120"/>
        <w:jc w:val="both"/>
      </w:pPr>
      <w:r>
        <w:t>3.</w:t>
      </w:r>
      <w:r>
        <w:tab/>
        <w:t>Comité de concertation commune-CPAS pour avis (article 26bis de la loi organique)</w:t>
      </w:r>
    </w:p>
    <w:p w14:paraId="188D6224" w14:textId="77777777" w:rsidR="00B61AA3" w:rsidRDefault="00B61AA3" w:rsidP="00B225DE">
      <w:pPr>
        <w:spacing w:after="120"/>
        <w:ind w:left="709" w:hanging="709"/>
        <w:jc w:val="both"/>
      </w:pPr>
      <w:r>
        <w:t>4.</w:t>
      </w:r>
      <w:r>
        <w:tab/>
        <w:t>Rapport sur les « synergies existantes et à développer entre la commune et le CPAS » du comité de concertation (article 26bis, § 6, de la loi organique)</w:t>
      </w:r>
    </w:p>
    <w:p w14:paraId="02FAC5AB" w14:textId="77777777" w:rsidR="00B61AA3" w:rsidRDefault="00B61AA3" w:rsidP="00B225DE">
      <w:pPr>
        <w:spacing w:after="120"/>
        <w:ind w:left="709" w:hanging="709"/>
        <w:jc w:val="both"/>
      </w:pPr>
      <w:r>
        <w:t>5.</w:t>
      </w:r>
      <w:r>
        <w:tab/>
        <w:t>Transmission du projet de budget au directeur financier afin qu’il puisse rendre son avis de légalité (article 46 de la loi organique)</w:t>
      </w:r>
    </w:p>
    <w:p w14:paraId="697DD0A5" w14:textId="77777777" w:rsidR="00B61AA3" w:rsidRDefault="00B61AA3" w:rsidP="00B61AA3">
      <w:pPr>
        <w:spacing w:after="120"/>
        <w:jc w:val="both"/>
      </w:pPr>
      <w:r>
        <w:t>6.</w:t>
      </w:r>
      <w:r>
        <w:tab/>
        <w:t>Fixation de l’ordre du jour du conseil de l’action sociale prévoyant le vote du budget</w:t>
      </w:r>
    </w:p>
    <w:p w14:paraId="1ABA3DB1" w14:textId="77777777" w:rsidR="00B61AA3" w:rsidRDefault="00B61AA3" w:rsidP="00B225DE">
      <w:pPr>
        <w:spacing w:after="120"/>
        <w:ind w:left="709" w:hanging="709"/>
        <w:jc w:val="both"/>
      </w:pPr>
      <w:r>
        <w:t>7.</w:t>
      </w:r>
      <w:r>
        <w:tab/>
        <w:t>Convocation du conseil de l’action sociale et mise à disposition des pièces aux membres du conseil (exemplaire du projet de budget, note de politique générale, rapport sur les « synergies » et rapport concernant la politique hospitalière et les objectifs et synergies possibles dans le domaine hospitalier) (article 88 de la loi organique)</w:t>
      </w:r>
    </w:p>
    <w:p w14:paraId="75DD73A2" w14:textId="77777777" w:rsidR="00B61AA3" w:rsidRDefault="00B61AA3" w:rsidP="00B225DE">
      <w:pPr>
        <w:spacing w:after="120"/>
        <w:ind w:left="709" w:hanging="709"/>
        <w:jc w:val="both"/>
      </w:pPr>
      <w:r>
        <w:t>8.</w:t>
      </w:r>
      <w:r>
        <w:tab/>
        <w:t>Vote du budget par le conseil de l'action sociale pour le 31 octobre au plus tard (article 88 de la loi organique)</w:t>
      </w:r>
    </w:p>
    <w:p w14:paraId="4BAA00DE" w14:textId="77777777" w:rsidR="00B61AA3" w:rsidRDefault="00B61AA3" w:rsidP="00B225DE">
      <w:pPr>
        <w:spacing w:after="120"/>
        <w:ind w:left="709" w:hanging="709"/>
        <w:jc w:val="both"/>
      </w:pPr>
      <w:r>
        <w:t>9.</w:t>
      </w:r>
      <w:r>
        <w:tab/>
        <w:t>Communication aux organisations syndicales représentatives et éventuellement séance d'information (article 89bis de la loi organique)</w:t>
      </w:r>
    </w:p>
    <w:p w14:paraId="53F01798" w14:textId="77777777" w:rsidR="00B61AA3" w:rsidRDefault="00B61AA3" w:rsidP="00B225DE">
      <w:pPr>
        <w:spacing w:after="120"/>
        <w:ind w:left="709" w:hanging="709"/>
        <w:jc w:val="both"/>
      </w:pPr>
      <w:r>
        <w:t>10.</w:t>
      </w:r>
      <w:r>
        <w:tab/>
        <w:t>Transmission du budget au conseil communal, autorité de tutelle, avant le 15 novembre (article 112bis de la loi organique)</w:t>
      </w:r>
    </w:p>
    <w:p w14:paraId="3CC5FEFB" w14:textId="77777777" w:rsidR="00B61AA3" w:rsidRDefault="00B61AA3" w:rsidP="00B225DE">
      <w:pPr>
        <w:spacing w:after="120"/>
        <w:ind w:left="709" w:hanging="709"/>
        <w:jc w:val="both"/>
      </w:pPr>
      <w:r>
        <w:t>11.</w:t>
      </w:r>
      <w:r>
        <w:tab/>
        <w:t>Décision du conseil communal (approbation, réformation ou non approbation) dans un délai de 40 jours (prorogeable de moitié) (article 112bis de la loi organique)</w:t>
      </w:r>
    </w:p>
    <w:p w14:paraId="12D3B815" w14:textId="77777777" w:rsidR="00B61AA3" w:rsidRDefault="00B61AA3" w:rsidP="00B225DE">
      <w:pPr>
        <w:spacing w:after="120"/>
        <w:ind w:left="709" w:hanging="709"/>
        <w:jc w:val="both"/>
      </w:pPr>
      <w:r>
        <w:t>12.</w:t>
      </w:r>
      <w:r>
        <w:tab/>
        <w:t>Recours possible contre la décision du conseil communal auprès du gouverneur (article 112bis de la loi organique)</w:t>
      </w:r>
    </w:p>
    <w:p w14:paraId="5F49A963" w14:textId="77777777" w:rsidR="00B61AA3" w:rsidRDefault="00B61AA3" w:rsidP="00B225DE">
      <w:pPr>
        <w:spacing w:after="120"/>
        <w:ind w:left="709" w:hanging="709"/>
        <w:jc w:val="both"/>
      </w:pPr>
      <w:r>
        <w:t>13.</w:t>
      </w:r>
      <w:r>
        <w:tab/>
        <w:t>Exécution du budget par le bureau permanent</w:t>
      </w:r>
    </w:p>
    <w:p w14:paraId="27F417CE" w14:textId="236054CF" w:rsidR="00B61AA3" w:rsidRDefault="00B61AA3" w:rsidP="00B61AA3">
      <w:pPr>
        <w:spacing w:after="120"/>
        <w:jc w:val="both"/>
      </w:pPr>
      <w:r w:rsidRPr="00B225DE">
        <w:rPr>
          <w:b/>
          <w:bCs/>
        </w:rPr>
        <w:t>En ce qui concerne les comptes</w:t>
      </w:r>
      <w:r>
        <w:t>, les CPAS transmettront pour le 15 février au plus tard un compte provisoire arrêté par le bureau Permanent du CPAS. Ce compte reprendra la situation des droits constatés nets et des imputations comptabilisé</w:t>
      </w:r>
      <w:r w:rsidR="001926D3">
        <w:t>e</w:t>
      </w:r>
      <w:r>
        <w:t>s au 31 décembre. Son intérêt est de servir à la demande de l'ICN en matière de disponibilité de données comptables et budgétaires.</w:t>
      </w:r>
    </w:p>
    <w:p w14:paraId="6A7722E7" w14:textId="5A41EF55" w:rsidR="004B3921" w:rsidRDefault="00B61AA3" w:rsidP="00B61AA3">
      <w:pPr>
        <w:spacing w:after="120"/>
        <w:jc w:val="both"/>
      </w:pPr>
      <w:r>
        <w:t>Le compte définitif devra être voté par le conseil de l’action sociale au plus tard pour le 1er juin suivant la clôture de l’exercice.</w:t>
      </w:r>
    </w:p>
    <w:p w14:paraId="42182BE8" w14:textId="52D67384" w:rsidR="00E943C9" w:rsidRDefault="00E943C9" w:rsidP="00E943C9">
      <w:pPr>
        <w:spacing w:after="120"/>
        <w:jc w:val="both"/>
      </w:pPr>
      <w:r w:rsidRPr="00B225DE">
        <w:rPr>
          <w:u w:val="single"/>
        </w:rPr>
        <w:t>Procédure</w:t>
      </w:r>
      <w:r>
        <w:t> :</w:t>
      </w:r>
    </w:p>
    <w:p w14:paraId="34592F69" w14:textId="77777777" w:rsidR="00E943C9" w:rsidRDefault="00E943C9" w:rsidP="00E943C9">
      <w:pPr>
        <w:spacing w:after="120"/>
        <w:jc w:val="both"/>
      </w:pPr>
      <w:r>
        <w:t>1.</w:t>
      </w:r>
      <w:r>
        <w:tab/>
        <w:t>Etablissement des comptes par le directeur financier</w:t>
      </w:r>
    </w:p>
    <w:p w14:paraId="5C7C9799" w14:textId="77777777" w:rsidR="00E943C9" w:rsidRDefault="00E943C9" w:rsidP="00B225DE">
      <w:pPr>
        <w:spacing w:after="120"/>
        <w:ind w:left="709" w:hanging="709"/>
        <w:jc w:val="both"/>
      </w:pPr>
      <w:r>
        <w:t>2.</w:t>
      </w:r>
      <w:r>
        <w:tab/>
        <w:t>Arrêt des comptes provisoires par le bureau permanent et transmission au Gouvernement wallon avant le 15 février de l’exercice suivant (article 89 de la loi organique)</w:t>
      </w:r>
    </w:p>
    <w:p w14:paraId="32D0BB39" w14:textId="77777777" w:rsidR="00E943C9" w:rsidRDefault="00E943C9" w:rsidP="00E943C9">
      <w:pPr>
        <w:spacing w:after="120"/>
        <w:jc w:val="both"/>
      </w:pPr>
      <w:r>
        <w:t>3.</w:t>
      </w:r>
      <w:r>
        <w:tab/>
        <w:t>Comité de concertation commune-CPAS pour avis (article 26bis de la loi organique)</w:t>
      </w:r>
    </w:p>
    <w:p w14:paraId="0CAB501A" w14:textId="77777777" w:rsidR="00E943C9" w:rsidRDefault="00E943C9" w:rsidP="00E943C9">
      <w:pPr>
        <w:spacing w:after="120"/>
        <w:jc w:val="both"/>
      </w:pPr>
      <w:r>
        <w:t>4.</w:t>
      </w:r>
      <w:r>
        <w:tab/>
        <w:t>Fixation de l’ordre du jour du conseil de l’action sociale prévoyant le vote des comptes</w:t>
      </w:r>
    </w:p>
    <w:p w14:paraId="232CB97B" w14:textId="77777777" w:rsidR="00E943C9" w:rsidRDefault="00E943C9" w:rsidP="00B225DE">
      <w:pPr>
        <w:spacing w:after="120"/>
        <w:ind w:left="709" w:hanging="709"/>
        <w:jc w:val="both"/>
      </w:pPr>
      <w:r>
        <w:t>5.</w:t>
      </w:r>
      <w:r>
        <w:tab/>
        <w:t xml:space="preserve">Convocation du conseil de l’action sociale et mise à disposition des pièces aux membres du conseil (exemplaire des comptes, ainsi qu’un rapport de la situation du </w:t>
      </w:r>
      <w:r>
        <w:lastRenderedPageBreak/>
        <w:t>CPAS et de sa gestion au cours de l’exercice écoulé, en ce qui concerne la réalisation des prévisions budgétaires ainsi qu’en ce qui concerne la perception et l’utilisation des subventions octroyées par l’État dans le cadre de la loi du 26 mai 2002 concernant le droit à l’intégration sociale et de la loi du 2 avril 1965 relative à la prise en charge des secours accordés par les centres publics d’action - article 89 de la loi organique)</w:t>
      </w:r>
    </w:p>
    <w:p w14:paraId="05D47AD4" w14:textId="7115DC43" w:rsidR="00E943C9" w:rsidRDefault="00E943C9" w:rsidP="00E943C9">
      <w:pPr>
        <w:spacing w:after="120"/>
        <w:jc w:val="both"/>
      </w:pPr>
      <w:r>
        <w:t>6.</w:t>
      </w:r>
      <w:r>
        <w:tab/>
        <w:t xml:space="preserve">Vote des comptes </w:t>
      </w:r>
      <w:r w:rsidR="006D6B9E">
        <w:t xml:space="preserve">par le </w:t>
      </w:r>
      <w:r>
        <w:t>conseil</w:t>
      </w:r>
    </w:p>
    <w:p w14:paraId="4378D402" w14:textId="77777777" w:rsidR="00E943C9" w:rsidRDefault="00E943C9" w:rsidP="00B225DE">
      <w:pPr>
        <w:spacing w:after="120"/>
        <w:ind w:left="709" w:hanging="709"/>
        <w:jc w:val="both"/>
      </w:pPr>
      <w:r>
        <w:t>7.</w:t>
      </w:r>
      <w:r>
        <w:tab/>
        <w:t>Communication des comptes aux organisations syndicales dans les 5 jours de leur vote (article 89bis de la loi organique)</w:t>
      </w:r>
    </w:p>
    <w:p w14:paraId="0D6A2506" w14:textId="77777777" w:rsidR="00E943C9" w:rsidRDefault="00E943C9" w:rsidP="00B225DE">
      <w:pPr>
        <w:spacing w:after="120"/>
        <w:ind w:left="709" w:hanging="709"/>
        <w:jc w:val="both"/>
      </w:pPr>
      <w:r>
        <w:t>8.</w:t>
      </w:r>
      <w:r>
        <w:tab/>
        <w:t>Transmission des comptes à l’autorité de tutelle, le conseil communal, dans les 15 jours de leur vote avant le 1er juin de l’exercice suivant (articles 89 et 112ter de la loi organique)</w:t>
      </w:r>
    </w:p>
    <w:p w14:paraId="3C1B17EB" w14:textId="77777777" w:rsidR="00E943C9" w:rsidRDefault="00E943C9" w:rsidP="00B225DE">
      <w:pPr>
        <w:spacing w:after="120"/>
        <w:ind w:left="709" w:hanging="709"/>
        <w:jc w:val="both"/>
      </w:pPr>
      <w:r>
        <w:t>9.</w:t>
      </w:r>
      <w:r>
        <w:tab/>
        <w:t>Décision de l’autorité de tutelle (approbation, approbation partielle ou non approbation) dans un délai de 40 jours (prorogeable de moitié) (article 112ter de la loi organique)</w:t>
      </w:r>
    </w:p>
    <w:p w14:paraId="59EF0268" w14:textId="767169CF" w:rsidR="00B61AA3" w:rsidRDefault="00E943C9" w:rsidP="00B225DE">
      <w:pPr>
        <w:spacing w:after="120"/>
        <w:ind w:left="709" w:hanging="709"/>
        <w:jc w:val="both"/>
      </w:pPr>
      <w:r>
        <w:t>10.</w:t>
      </w:r>
      <w:r>
        <w:tab/>
        <w:t>Recours possible contre la décision de l’autorité de tutelle devant le gouverneur (article 112ter de la loi organique)</w:t>
      </w:r>
    </w:p>
    <w:p w14:paraId="32FA7D24" w14:textId="67B725F5" w:rsidR="00E943C9" w:rsidRDefault="00E943C9" w:rsidP="008D7EB7">
      <w:pPr>
        <w:spacing w:after="120"/>
        <w:jc w:val="both"/>
      </w:pPr>
    </w:p>
    <w:p w14:paraId="6901ED4E" w14:textId="77777777" w:rsidR="00E943C9" w:rsidRPr="00A65F14" w:rsidRDefault="00E943C9" w:rsidP="00E943C9">
      <w:pPr>
        <w:spacing w:after="120"/>
        <w:jc w:val="both"/>
        <w:rPr>
          <w:b/>
          <w:bCs/>
        </w:rPr>
      </w:pPr>
      <w:r w:rsidRPr="00A65F14">
        <w:rPr>
          <w:b/>
          <w:bCs/>
        </w:rPr>
        <w:t>b)</w:t>
      </w:r>
      <w:r w:rsidRPr="00A65F14">
        <w:rPr>
          <w:b/>
          <w:bCs/>
        </w:rPr>
        <w:tab/>
      </w:r>
      <w:r w:rsidRPr="00A65F14">
        <w:rPr>
          <w:b/>
          <w:bCs/>
          <w:u w:val="single"/>
        </w:rPr>
        <w:t>Fonds spécial de l'aide sociale</w:t>
      </w:r>
      <w:r w:rsidRPr="00A65F14">
        <w:rPr>
          <w:b/>
          <w:bCs/>
        </w:rPr>
        <w:t xml:space="preserve"> </w:t>
      </w:r>
    </w:p>
    <w:p w14:paraId="497CE0F1" w14:textId="77777777" w:rsidR="00E943C9" w:rsidRDefault="00E943C9" w:rsidP="00E943C9">
      <w:pPr>
        <w:spacing w:after="120"/>
        <w:jc w:val="both"/>
      </w:pPr>
      <w:r>
        <w:t>Les centres inscriront comme prévision de recettes du fonds spécial de l'aide sociale le montant qui leur sera communiqué par courrier. Je vous rappelle que cette prévision est calculée sur la base des dernières informations disponibles (notamment concernant le taux d’inflation) et que la dotation n’est définitivement fixée qu’une fois tous les paramètres connus. Par ailleurs afin de faciliter les projections pluriannuelles, les centres recevront par le même courrier les projections budgétaires de la dotation au fonds spécial de l'aide sociale pour les 5 exercices suivants.</w:t>
      </w:r>
    </w:p>
    <w:p w14:paraId="44A24D02" w14:textId="77777777" w:rsidR="00E943C9" w:rsidRPr="00A65F14" w:rsidRDefault="00E943C9" w:rsidP="00E943C9">
      <w:pPr>
        <w:spacing w:after="120"/>
        <w:jc w:val="both"/>
        <w:rPr>
          <w:b/>
          <w:bCs/>
        </w:rPr>
      </w:pPr>
      <w:r w:rsidRPr="00A65F14">
        <w:rPr>
          <w:b/>
          <w:bCs/>
        </w:rPr>
        <w:t>c)</w:t>
      </w:r>
      <w:r w:rsidRPr="00A65F14">
        <w:rPr>
          <w:b/>
          <w:bCs/>
        </w:rPr>
        <w:tab/>
      </w:r>
      <w:r w:rsidRPr="00A65F14">
        <w:rPr>
          <w:b/>
          <w:bCs/>
          <w:u w:val="single"/>
        </w:rPr>
        <w:t>Dépenses de personnel</w:t>
      </w:r>
    </w:p>
    <w:p w14:paraId="78380789" w14:textId="56BBCB24" w:rsidR="00E943C9" w:rsidRDefault="00E943C9" w:rsidP="00E943C9">
      <w:pPr>
        <w:spacing w:after="120"/>
        <w:jc w:val="both"/>
      </w:pPr>
      <w:r>
        <w:t xml:space="preserve">L'évaluation des crédits doit tenir compte de l'effectif prévisible pour l'année budgétaire, des évolutions de carrières et des mouvements naturels du personnel (mises à la retraite, démissions, engagements ainsi que des conséquences de la mise en </w:t>
      </w:r>
      <w:proofErr w:type="spellStart"/>
      <w:r>
        <w:t>oeuvre</w:t>
      </w:r>
      <w:proofErr w:type="spellEnd"/>
      <w:r>
        <w:t xml:space="preserve"> de la loi du 24 décembre 1999 en vue de la promotion de l'emploi), ainsi que du plan d’embauche.</w:t>
      </w:r>
    </w:p>
    <w:p w14:paraId="0AFA89C8" w14:textId="77777777" w:rsidR="00E943C9" w:rsidRDefault="00E943C9" w:rsidP="00E943C9">
      <w:pPr>
        <w:spacing w:after="120"/>
        <w:jc w:val="both"/>
      </w:pPr>
      <w:r>
        <w:t xml:space="preserve">Concernant l’indexation des rémunérations, il incombera de se référer aux prévisions du Bureau Fédéral du Plan relatives au dépassement de l’indice pivot pour les allocations sociales et les salaires dans le secteur public. Ces données sont actualisées chaque premier mardi du mois. </w:t>
      </w:r>
    </w:p>
    <w:p w14:paraId="1A6B28BE" w14:textId="6EAFF5DE" w:rsidR="00E943C9" w:rsidRDefault="00E943C9" w:rsidP="00E943C9">
      <w:pPr>
        <w:spacing w:after="120"/>
        <w:jc w:val="both"/>
      </w:pPr>
      <w:r>
        <w:t>Au-delà de l’indexation</w:t>
      </w:r>
      <w:r w:rsidR="00F16CBE">
        <w:t xml:space="preserve"> et des augmentations barémiques</w:t>
      </w:r>
      <w:r>
        <w:t xml:space="preserve">, il est </w:t>
      </w:r>
      <w:r w:rsidR="00F35889" w:rsidRPr="00256E9F">
        <w:rPr>
          <w:b/>
          <w:bCs/>
        </w:rPr>
        <w:t xml:space="preserve">vivement </w:t>
      </w:r>
      <w:r>
        <w:t xml:space="preserve">conseillé de limiter l’augmentation du coût net des dépenses de personnel </w:t>
      </w:r>
      <w:r w:rsidRPr="00A65F14">
        <w:t>à 0 %.</w:t>
      </w:r>
    </w:p>
    <w:p w14:paraId="4C55157C" w14:textId="6F78257B" w:rsidR="00E943C9" w:rsidRDefault="00E943C9" w:rsidP="00E943C9">
      <w:pPr>
        <w:spacing w:after="120"/>
        <w:jc w:val="both"/>
      </w:pPr>
      <w:r>
        <w:t xml:space="preserve">Il convient également de rappeler aux CPAS le protocole d'accord signé le 2 décembre 2008 mettant en </w:t>
      </w:r>
      <w:r w:rsidR="00F35889">
        <w:t>œuvre</w:t>
      </w:r>
      <w:r>
        <w:t xml:space="preserve"> la convention sectorielle 2005-2006 et le Pacte pour une Fonction publique locale et provinciale solide et solidaire, ainsi que les mesures de l'accord fédéral des soins de santé 2005-2010 qui sont à appliquer au personnel visé par ledit accord, pour autant que celles-ci aient fait l'objet d'un financement par l'autorité fédérale. </w:t>
      </w:r>
    </w:p>
    <w:p w14:paraId="328650C4" w14:textId="7ED0D14C" w:rsidR="00FD5944" w:rsidRDefault="00FD5944" w:rsidP="00E943C9">
      <w:pPr>
        <w:spacing w:after="120"/>
        <w:jc w:val="both"/>
      </w:pPr>
      <w:r w:rsidRPr="00681CF5">
        <w:lastRenderedPageBreak/>
        <w:t xml:space="preserve">Il convient également de rappeler l’accord cadre tripartite wallon 2018-2020 pour le secteur public non marchand </w:t>
      </w:r>
      <w:r w:rsidR="004647E8">
        <w:t>du</w:t>
      </w:r>
      <w:r w:rsidRPr="00681CF5">
        <w:t xml:space="preserve"> 2 mai 2019 ainsi qu’un accord cadre tripartite intersectoriel du secteur non-marchand wallon 2021-2024 du 26 mai 2021. </w:t>
      </w:r>
    </w:p>
    <w:p w14:paraId="0B6FDB4D" w14:textId="77777777" w:rsidR="00E943C9" w:rsidRDefault="00E943C9" w:rsidP="00E943C9">
      <w:pPr>
        <w:spacing w:after="120"/>
        <w:jc w:val="both"/>
      </w:pPr>
      <w:r>
        <w:t>Par ailleurs, il faut insister pour que, sur la base d'un plan de formation, les CPAS prévoient les crédits nécessaires destinés à assurer la carrière et la mise à niveau du personnel.</w:t>
      </w:r>
    </w:p>
    <w:p w14:paraId="0356489B" w14:textId="6FAB8637" w:rsidR="00E943C9" w:rsidRDefault="00E943C9" w:rsidP="00E943C9">
      <w:pPr>
        <w:spacing w:after="120"/>
        <w:jc w:val="both"/>
      </w:pPr>
      <w:r>
        <w:t xml:space="preserve">Il convient également d’attirer l’attention sur l'application de l’arrêté royal d’exécution de la loi du 24 octobre 2011 assurant un financement pérenne des pensions des membres du personnel nommé des administrations provinciales et locales et des zones de police locales, modifiant la loi du 6 mai 2002 portant création du fonds de pension de la police intégrée et portant des dispositions particulières en matière de sécurité sociale, qui prévoit en </w:t>
      </w:r>
      <w:r w:rsidR="00292825">
        <w:t xml:space="preserve">2023 </w:t>
      </w:r>
      <w:r>
        <w:t xml:space="preserve">un taux de </w:t>
      </w:r>
      <w:r w:rsidR="00292825">
        <w:t xml:space="preserve">44 </w:t>
      </w:r>
      <w:r>
        <w:t>% pour la cotisation de solidarité à payer par les administrations locales.</w:t>
      </w:r>
    </w:p>
    <w:p w14:paraId="202C0A66" w14:textId="77777777" w:rsidR="00E943C9" w:rsidRDefault="00E943C9" w:rsidP="00E943C9">
      <w:pPr>
        <w:spacing w:after="120"/>
        <w:jc w:val="both"/>
      </w:pPr>
      <w:r>
        <w:t xml:space="preserve">Pour rappel, la cotisation de solidarité, inscrite à l’exercice propre du service ordinaire, est due par l'ensemble des collectivités locales afin de financer le fonds solidarisé de pension du Service fédéral des pensions. Elle est calculée en appliquant un taux qui est exprimé en pourcentage du salaire des membres du personnel nommé entrant en ligne de compte dans le calcul de la pension du secteur public. </w:t>
      </w:r>
    </w:p>
    <w:p w14:paraId="5497A559" w14:textId="2248DB1A" w:rsidR="00E943C9" w:rsidRDefault="00E943C9" w:rsidP="00E943C9">
      <w:pPr>
        <w:spacing w:after="120"/>
        <w:jc w:val="both"/>
      </w:pPr>
      <w:proofErr w:type="gramStart"/>
      <w:r>
        <w:t>Par contre</w:t>
      </w:r>
      <w:proofErr w:type="gramEnd"/>
      <w:r>
        <w:t xml:space="preserve">, la cotisation de responsabilisation communiquée par l'ONSS pourra être inscrite aux exercices antérieurs (millésime </w:t>
      </w:r>
      <w:r w:rsidR="00292825">
        <w:t>2022</w:t>
      </w:r>
      <w:r>
        <w:t xml:space="preserve">) du service ordinaire sur la base des prévisions transmises par l’ONSS. Je recommande un article 13110/113-21. </w:t>
      </w:r>
    </w:p>
    <w:p w14:paraId="536A11B4" w14:textId="44B1E69A" w:rsidR="00E943C9" w:rsidRPr="00A65F14" w:rsidRDefault="00E943C9" w:rsidP="00E943C9">
      <w:pPr>
        <w:spacing w:after="120"/>
        <w:jc w:val="both"/>
        <w:rPr>
          <w:strike/>
        </w:rPr>
      </w:pPr>
    </w:p>
    <w:p w14:paraId="7D6D154B" w14:textId="6112024E" w:rsidR="00E943C9" w:rsidRDefault="00E943C9" w:rsidP="00E943C9">
      <w:pPr>
        <w:spacing w:after="120"/>
        <w:jc w:val="both"/>
      </w:pPr>
      <w:r>
        <w:t>Enfin, dans un souci de bonne gouvernance des deniers publics, il convient d'affecter le personnel rattaché au président du CPAS qui exerce également les fonctions d'’échevin du collège communal à un seul et même cabinet afin de limiter les dépenses de personnel.</w:t>
      </w:r>
    </w:p>
    <w:p w14:paraId="3704776C" w14:textId="124120E3" w:rsidR="00E943C9" w:rsidRDefault="00E943C9" w:rsidP="00E943C9">
      <w:pPr>
        <w:spacing w:after="120"/>
        <w:jc w:val="both"/>
      </w:pPr>
    </w:p>
    <w:p w14:paraId="102DB647" w14:textId="1312B9E9" w:rsidR="00E943C9" w:rsidRPr="00A65F14" w:rsidRDefault="00E943C9" w:rsidP="00E943C9">
      <w:pPr>
        <w:spacing w:after="120"/>
        <w:jc w:val="both"/>
        <w:rPr>
          <w:b/>
          <w:bCs/>
        </w:rPr>
      </w:pPr>
      <w:r w:rsidRPr="00A65F14">
        <w:rPr>
          <w:b/>
          <w:bCs/>
        </w:rPr>
        <w:t xml:space="preserve">d) </w:t>
      </w:r>
      <w:r w:rsidRPr="00A65F14">
        <w:rPr>
          <w:b/>
          <w:bCs/>
        </w:rPr>
        <w:tab/>
      </w:r>
      <w:r w:rsidRPr="00A65F14">
        <w:rPr>
          <w:b/>
          <w:bCs/>
          <w:u w:val="single"/>
        </w:rPr>
        <w:t>Dépenses de fonctionnement</w:t>
      </w:r>
    </w:p>
    <w:p w14:paraId="2633AFF3" w14:textId="16508A25" w:rsidR="00E943C9" w:rsidRDefault="00E943C9" w:rsidP="00E943C9">
      <w:pPr>
        <w:spacing w:after="120"/>
        <w:jc w:val="both"/>
      </w:pPr>
      <w:r>
        <w:t xml:space="preserve">Les dépenses de fonctionnement reflétant l'évolution du coût de la vie, les crédits seront établis par rapport aux dépenses engagées du compte </w:t>
      </w:r>
      <w:r w:rsidR="005F3DAC">
        <w:t>2021</w:t>
      </w:r>
      <w:r>
        <w:t xml:space="preserve">. </w:t>
      </w:r>
      <w:r w:rsidR="0071316C">
        <w:t>Afin de contenir ces dépenses, i</w:t>
      </w:r>
      <w:r>
        <w:t xml:space="preserve">l est </w:t>
      </w:r>
      <w:r w:rsidR="0071316C" w:rsidRPr="00256E9F">
        <w:rPr>
          <w:b/>
          <w:bCs/>
        </w:rPr>
        <w:t xml:space="preserve">fortement </w:t>
      </w:r>
      <w:r>
        <w:t xml:space="preserve">recommandé une indexation maximale des dépenses de 2% hors dépenses énergétiques ou de 0 % sur la base de la dernière modification budgétaire </w:t>
      </w:r>
      <w:r w:rsidR="005F3DAC">
        <w:t xml:space="preserve">2022 </w:t>
      </w:r>
      <w:r>
        <w:t xml:space="preserve">si le compte </w:t>
      </w:r>
      <w:r w:rsidR="005F3DAC">
        <w:t xml:space="preserve">2021 </w:t>
      </w:r>
      <w:r>
        <w:t>n’est pas encore disponible.</w:t>
      </w:r>
    </w:p>
    <w:p w14:paraId="7EEB6436" w14:textId="2AD07839" w:rsidR="00E943C9" w:rsidRDefault="0071316C" w:rsidP="00E943C9">
      <w:pPr>
        <w:spacing w:after="120"/>
        <w:jc w:val="both"/>
      </w:pPr>
      <w:r w:rsidRPr="0071316C">
        <w:t xml:space="preserve">A la lueur de l’évolution 2022, </w:t>
      </w:r>
      <w:r>
        <w:t>l</w:t>
      </w:r>
      <w:r w:rsidR="00E943C9">
        <w:t xml:space="preserve">es dépenses énergétiques peuvent fluctuer quant à elles </w:t>
      </w:r>
      <w:r>
        <w:t xml:space="preserve">fortement </w:t>
      </w:r>
      <w:r w:rsidR="00E943C9">
        <w:t>en fonction de l’évolution des coûts de l’énergie. Ces augmentations pourraient être reprises dans un crédit global qui serait affecté progressivement lors des modifications budgétaires.</w:t>
      </w:r>
    </w:p>
    <w:p w14:paraId="27706D52" w14:textId="77777777" w:rsidR="00E943C9" w:rsidRDefault="00E943C9" w:rsidP="00E943C9">
      <w:pPr>
        <w:spacing w:after="120"/>
        <w:jc w:val="both"/>
      </w:pPr>
    </w:p>
    <w:p w14:paraId="1F1EA674" w14:textId="77777777" w:rsidR="00E943C9" w:rsidRPr="00A65F14" w:rsidRDefault="00E943C9" w:rsidP="00E943C9">
      <w:pPr>
        <w:spacing w:after="120"/>
        <w:jc w:val="both"/>
        <w:rPr>
          <w:b/>
          <w:bCs/>
        </w:rPr>
      </w:pPr>
      <w:r w:rsidRPr="00A65F14">
        <w:rPr>
          <w:b/>
          <w:bCs/>
        </w:rPr>
        <w:t>e)</w:t>
      </w:r>
      <w:r w:rsidRPr="00A65F14">
        <w:rPr>
          <w:b/>
          <w:bCs/>
        </w:rPr>
        <w:tab/>
      </w:r>
      <w:r w:rsidRPr="00A65F14">
        <w:rPr>
          <w:b/>
          <w:bCs/>
          <w:u w:val="single"/>
        </w:rPr>
        <w:t>Fonds de réserve et provisions</w:t>
      </w:r>
    </w:p>
    <w:p w14:paraId="55EE14A6" w14:textId="484262A3" w:rsidR="00E943C9" w:rsidRDefault="00E943C9" w:rsidP="00E943C9">
      <w:pPr>
        <w:spacing w:after="120"/>
        <w:jc w:val="both"/>
      </w:pPr>
      <w:r>
        <w:t xml:space="preserve">L’attention des CPAS doit être attirée sur la disparition de la possibilité de créer des fonds de réserve indisponibles </w:t>
      </w:r>
      <w:proofErr w:type="gramStart"/>
      <w:r>
        <w:t>suite à</w:t>
      </w:r>
      <w:proofErr w:type="gramEnd"/>
      <w:r>
        <w:t xml:space="preserve"> la modification du Règlement général de la comptabilité communale rendu applicable aux CPAS (arrêté du gouvernement wallon du 17 janvier 2008). Dans la lignée des synergies à établir et afin de tendre vers une gestion optimale de la trésorerie et notamment en matière de charges d'intérêts, il semble opportun qu'une convention de trésorerie soit établie avec la commune.</w:t>
      </w:r>
    </w:p>
    <w:p w14:paraId="35CEF49C" w14:textId="0B301632" w:rsidR="009210C3" w:rsidRDefault="009210C3" w:rsidP="00E943C9">
      <w:pPr>
        <w:spacing w:after="120"/>
        <w:jc w:val="both"/>
      </w:pPr>
      <w:r w:rsidRPr="00681CF5">
        <w:lastRenderedPageBreak/>
        <w:t>Il y a lieu également de porter une attention particulière aux éventuels intérêts négatifs sur les comptes bancaires et d’inviter les Directeurs financiers (commune et CPAS) de prendre les dispositions utiles afin d’éviter ces effets indésirables, voire inutiles lorsque des possibilités de les éviter existent, notamment par le biais du rythme de liquidation de la dotation communale.</w:t>
      </w:r>
    </w:p>
    <w:p w14:paraId="299AF6CD" w14:textId="77777777" w:rsidR="00E943C9" w:rsidRDefault="00E943C9" w:rsidP="00E943C9">
      <w:pPr>
        <w:spacing w:after="120"/>
        <w:jc w:val="both"/>
      </w:pPr>
      <w:r>
        <w:t>Aux CPAS qui n'ont pas souscrit, auprès d'un organisme extérieur, à la constitution d'un fonds de pension à destination de leurs mandataires, les communes doivent leur conseiller de constituer une provision pour risques et charges d'un montant équivalent à la retenue pour la pension effectuée sur le traitement du président.</w:t>
      </w:r>
    </w:p>
    <w:p w14:paraId="0DCDDFA5" w14:textId="150AADAC" w:rsidR="00E943C9" w:rsidRDefault="00E943C9" w:rsidP="00E943C9">
      <w:pPr>
        <w:spacing w:after="120"/>
        <w:jc w:val="both"/>
      </w:pPr>
      <w:r>
        <w:t>En outre, aucune alimentation ou création de provision et fonds de réserve ne peut être admise, sauf accord de la commune</w:t>
      </w:r>
      <w:r w:rsidR="008B2E55">
        <w:t xml:space="preserve"> </w:t>
      </w:r>
      <w:r w:rsidR="008B2E55" w:rsidRPr="006843B9">
        <w:t>ou dérogation prévues dans des circulaires</w:t>
      </w:r>
      <w:r w:rsidRPr="006843B9">
        <w:t xml:space="preserve">, </w:t>
      </w:r>
      <w:r>
        <w:t xml:space="preserve">si la dotation fixée au budget initial se voit dépassée ; en cas de dépassement des dotations communales telles que fixées ou de déficit, les CPAS se verront dans l'obligation de mettre en </w:t>
      </w:r>
      <w:proofErr w:type="spellStart"/>
      <w:r>
        <w:t>oeuvre</w:t>
      </w:r>
      <w:proofErr w:type="spellEnd"/>
      <w:r>
        <w:t xml:space="preserve"> des mesures complémentaires afin d'aplanir les difficultés financières ainsi rencontrées</w:t>
      </w:r>
      <w:r w:rsidR="008B2E55">
        <w:t xml:space="preserve"> </w:t>
      </w:r>
      <w:r w:rsidR="008B2E55" w:rsidRPr="00681CF5">
        <w:t>(Le fonds de réserve ILA et la provision pour client douteux échappent donc à cette règle)</w:t>
      </w:r>
      <w:r w:rsidRPr="00681CF5">
        <w:t>.</w:t>
      </w:r>
      <w:r>
        <w:t xml:space="preserve"> </w:t>
      </w:r>
    </w:p>
    <w:p w14:paraId="11925651" w14:textId="77777777" w:rsidR="00E943C9" w:rsidRDefault="00E943C9" w:rsidP="00256E9F">
      <w:pPr>
        <w:jc w:val="both"/>
      </w:pPr>
    </w:p>
    <w:p w14:paraId="2E096674" w14:textId="77777777" w:rsidR="00E943C9" w:rsidRPr="00A65F14" w:rsidRDefault="00E943C9" w:rsidP="00E943C9">
      <w:pPr>
        <w:spacing w:after="120"/>
        <w:jc w:val="both"/>
        <w:rPr>
          <w:b/>
          <w:bCs/>
        </w:rPr>
      </w:pPr>
      <w:r w:rsidRPr="00A65F14">
        <w:rPr>
          <w:b/>
          <w:bCs/>
        </w:rPr>
        <w:t>f)</w:t>
      </w:r>
      <w:r w:rsidRPr="00A65F14">
        <w:rPr>
          <w:b/>
          <w:bCs/>
        </w:rPr>
        <w:tab/>
      </w:r>
      <w:r w:rsidRPr="00A65F14">
        <w:rPr>
          <w:b/>
          <w:bCs/>
          <w:u w:val="single"/>
        </w:rPr>
        <w:t>Service extraordinaire</w:t>
      </w:r>
    </w:p>
    <w:p w14:paraId="1F7CCC6E" w14:textId="4C01CD0B" w:rsidR="00E943C9" w:rsidRDefault="00E943C9" w:rsidP="00E943C9">
      <w:pPr>
        <w:spacing w:after="120"/>
        <w:jc w:val="both"/>
      </w:pPr>
      <w:r>
        <w:t>Les communes et leur CPAS se concerteront afin de définir un programme d'investissement qui respecte les balises</w:t>
      </w:r>
      <w:r w:rsidR="006C6AB2">
        <w:t xml:space="preserve"> de dette</w:t>
      </w:r>
      <w:r>
        <w:t xml:space="preserve"> fixées pour les communes et leurs entités consolidées.</w:t>
      </w:r>
    </w:p>
    <w:p w14:paraId="67976786" w14:textId="5B943EFA" w:rsidR="00E943C9" w:rsidRDefault="00E943C9" w:rsidP="00E943C9">
      <w:pPr>
        <w:spacing w:after="120"/>
        <w:jc w:val="both"/>
      </w:pPr>
      <w:r>
        <w:t>La décision d'exécuter des travaux ou des investissements ne peut intervenir qu'après analyse de toutes les possibilités de subvention possible.</w:t>
      </w:r>
    </w:p>
    <w:p w14:paraId="3769A320" w14:textId="0663C7EB" w:rsidR="00E943C9" w:rsidRDefault="00E943C9" w:rsidP="00E943C9">
      <w:pPr>
        <w:spacing w:after="120"/>
        <w:jc w:val="both"/>
      </w:pPr>
      <w:r w:rsidRPr="00E943C9">
        <w:t>Il est recommandé aux CPAS d'inscrire les subventions extraordinaires dans le budget de l'exercice correspondant à celui au cours duquel la dépense sera engagée, ce qui apporte l'adéquation parfaite entre la recette et la dépense et rejoint les préoccupations de l'article 7 du RGCC. Il conviendra donc de tenir compte de la promesse ferme sur adjudication, non de la promesse ferme sur projet.</w:t>
      </w:r>
    </w:p>
    <w:p w14:paraId="4DEC8E64" w14:textId="77777777" w:rsidR="007E35CE" w:rsidRDefault="007E35CE" w:rsidP="00256E9F">
      <w:pPr>
        <w:jc w:val="both"/>
      </w:pPr>
    </w:p>
    <w:p w14:paraId="01C50202" w14:textId="5819BC85" w:rsidR="00E943C9" w:rsidRPr="00A65F14" w:rsidRDefault="00E943C9" w:rsidP="00E943C9">
      <w:pPr>
        <w:spacing w:after="120"/>
        <w:jc w:val="both"/>
        <w:rPr>
          <w:b/>
          <w:bCs/>
        </w:rPr>
      </w:pPr>
      <w:r w:rsidRPr="00A65F14">
        <w:rPr>
          <w:b/>
          <w:bCs/>
        </w:rPr>
        <w:t>g)</w:t>
      </w:r>
      <w:r w:rsidRPr="00A65F14">
        <w:rPr>
          <w:b/>
          <w:bCs/>
        </w:rPr>
        <w:tab/>
      </w:r>
      <w:r w:rsidRPr="00A65F14">
        <w:rPr>
          <w:b/>
          <w:bCs/>
          <w:u w:val="single"/>
        </w:rPr>
        <w:t>Annexes</w:t>
      </w:r>
    </w:p>
    <w:tbl>
      <w:tblPr>
        <w:tblW w:w="10206" w:type="dxa"/>
        <w:tblInd w:w="-5" w:type="dxa"/>
        <w:tblLayout w:type="fixed"/>
        <w:tblCellMar>
          <w:left w:w="0" w:type="dxa"/>
          <w:right w:w="0" w:type="dxa"/>
        </w:tblCellMar>
        <w:tblLook w:val="04A0" w:firstRow="1" w:lastRow="0" w:firstColumn="1" w:lastColumn="0" w:noHBand="0" w:noVBand="1"/>
      </w:tblPr>
      <w:tblGrid>
        <w:gridCol w:w="709"/>
        <w:gridCol w:w="9497"/>
      </w:tblGrid>
      <w:tr w:rsidR="00E943C9" w:rsidRPr="00651F9B" w14:paraId="72C8F97A" w14:textId="77777777" w:rsidTr="00B44836">
        <w:trPr>
          <w:trHeight w:hRule="exact" w:val="451"/>
        </w:trPr>
        <w:tc>
          <w:tcPr>
            <w:tcW w:w="709" w:type="dxa"/>
            <w:tcBorders>
              <w:top w:val="single" w:sz="4" w:space="0" w:color="000000"/>
              <w:left w:val="single" w:sz="4" w:space="0" w:color="000000"/>
              <w:bottom w:val="single" w:sz="4" w:space="0" w:color="000000"/>
              <w:right w:val="single" w:sz="4" w:space="0" w:color="000000"/>
            </w:tcBorders>
          </w:tcPr>
          <w:p w14:paraId="152B1D71" w14:textId="77777777" w:rsidR="00E943C9" w:rsidRPr="00A65F14" w:rsidRDefault="00E943C9">
            <w:pPr>
              <w:spacing w:after="120"/>
              <w:jc w:val="both"/>
              <w:rPr>
                <w:b/>
                <w:sz w:val="22"/>
                <w:szCs w:val="22"/>
                <w:lang w:val="fr-BE"/>
              </w:rPr>
            </w:pPr>
          </w:p>
        </w:tc>
        <w:tc>
          <w:tcPr>
            <w:tcW w:w="9497" w:type="dxa"/>
            <w:tcBorders>
              <w:top w:val="single" w:sz="4" w:space="0" w:color="000000"/>
              <w:left w:val="single" w:sz="4" w:space="0" w:color="000000"/>
              <w:bottom w:val="single" w:sz="4" w:space="0" w:color="000000"/>
              <w:right w:val="single" w:sz="4" w:space="0" w:color="000000"/>
            </w:tcBorders>
            <w:hideMark/>
          </w:tcPr>
          <w:p w14:paraId="32153618" w14:textId="77777777" w:rsidR="00E943C9" w:rsidRPr="00A65F14" w:rsidRDefault="00E943C9">
            <w:pPr>
              <w:spacing w:after="120"/>
              <w:jc w:val="both"/>
              <w:rPr>
                <w:b/>
                <w:sz w:val="22"/>
                <w:szCs w:val="22"/>
              </w:rPr>
            </w:pPr>
            <w:r w:rsidRPr="00A65F14">
              <w:rPr>
                <w:b/>
                <w:sz w:val="22"/>
                <w:szCs w:val="22"/>
              </w:rPr>
              <w:t xml:space="preserve">BUDGET - </w:t>
            </w:r>
            <w:proofErr w:type="gramStart"/>
            <w:r w:rsidRPr="00A65F14">
              <w:rPr>
                <w:b/>
                <w:sz w:val="22"/>
                <w:szCs w:val="22"/>
              </w:rPr>
              <w:t>Listing</w:t>
            </w:r>
            <w:proofErr w:type="gramEnd"/>
            <w:r w:rsidRPr="00A65F14">
              <w:rPr>
                <w:b/>
                <w:sz w:val="22"/>
                <w:szCs w:val="22"/>
              </w:rPr>
              <w:t xml:space="preserve"> des pièces justificatives obligatoires</w:t>
            </w:r>
          </w:p>
        </w:tc>
      </w:tr>
      <w:tr w:rsidR="00E943C9" w:rsidRPr="00651F9B" w14:paraId="0B1C87B0" w14:textId="77777777" w:rsidTr="00B44836">
        <w:trPr>
          <w:trHeight w:hRule="exact" w:val="331"/>
        </w:trPr>
        <w:tc>
          <w:tcPr>
            <w:tcW w:w="709" w:type="dxa"/>
            <w:tcBorders>
              <w:top w:val="single" w:sz="4" w:space="0" w:color="000000"/>
              <w:left w:val="single" w:sz="4" w:space="0" w:color="000000"/>
              <w:bottom w:val="single" w:sz="4" w:space="0" w:color="000000"/>
              <w:right w:val="single" w:sz="4" w:space="0" w:color="000000"/>
            </w:tcBorders>
            <w:hideMark/>
          </w:tcPr>
          <w:p w14:paraId="2317B775" w14:textId="77777777" w:rsidR="00E943C9" w:rsidRPr="00A65F14" w:rsidRDefault="00E943C9">
            <w:pPr>
              <w:spacing w:after="120"/>
              <w:jc w:val="both"/>
              <w:rPr>
                <w:sz w:val="22"/>
                <w:szCs w:val="22"/>
              </w:rPr>
            </w:pPr>
            <w:r w:rsidRPr="00A65F14">
              <w:rPr>
                <w:sz w:val="22"/>
                <w:szCs w:val="22"/>
              </w:rPr>
              <w:t>1</w:t>
            </w:r>
          </w:p>
        </w:tc>
        <w:tc>
          <w:tcPr>
            <w:tcW w:w="9497" w:type="dxa"/>
            <w:tcBorders>
              <w:top w:val="single" w:sz="4" w:space="0" w:color="000000"/>
              <w:left w:val="single" w:sz="4" w:space="0" w:color="000000"/>
              <w:bottom w:val="single" w:sz="4" w:space="0" w:color="000000"/>
              <w:right w:val="single" w:sz="4" w:space="0" w:color="000000"/>
            </w:tcBorders>
            <w:hideMark/>
          </w:tcPr>
          <w:p w14:paraId="5FE5B9FA" w14:textId="77777777" w:rsidR="00E943C9" w:rsidRPr="00A65F14" w:rsidRDefault="00E943C9">
            <w:pPr>
              <w:spacing w:after="120"/>
              <w:jc w:val="both"/>
              <w:rPr>
                <w:sz w:val="22"/>
                <w:szCs w:val="22"/>
              </w:rPr>
            </w:pPr>
            <w:r w:rsidRPr="00A65F14">
              <w:rPr>
                <w:sz w:val="22"/>
                <w:szCs w:val="22"/>
              </w:rPr>
              <w:t xml:space="preserve">La délibération in extenso du conseil de l'action sociale </w:t>
            </w:r>
          </w:p>
        </w:tc>
      </w:tr>
      <w:tr w:rsidR="00E943C9" w:rsidRPr="00651F9B" w14:paraId="457F5560"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608E1293" w14:textId="77777777" w:rsidR="00E943C9" w:rsidRPr="00A65F14" w:rsidRDefault="00E943C9">
            <w:pPr>
              <w:spacing w:after="120"/>
              <w:jc w:val="both"/>
              <w:rPr>
                <w:sz w:val="22"/>
                <w:szCs w:val="22"/>
              </w:rPr>
            </w:pPr>
            <w:r w:rsidRPr="00A65F14">
              <w:rPr>
                <w:sz w:val="22"/>
                <w:szCs w:val="22"/>
              </w:rPr>
              <w:t>2</w:t>
            </w:r>
          </w:p>
        </w:tc>
        <w:tc>
          <w:tcPr>
            <w:tcW w:w="9497" w:type="dxa"/>
            <w:tcBorders>
              <w:top w:val="single" w:sz="4" w:space="0" w:color="000000"/>
              <w:left w:val="single" w:sz="4" w:space="0" w:color="000000"/>
              <w:bottom w:val="single" w:sz="4" w:space="0" w:color="000000"/>
              <w:right w:val="single" w:sz="4" w:space="0" w:color="000000"/>
            </w:tcBorders>
            <w:hideMark/>
          </w:tcPr>
          <w:p w14:paraId="456B6E9D" w14:textId="77777777" w:rsidR="00E943C9" w:rsidRPr="00A65F14" w:rsidRDefault="00E943C9">
            <w:pPr>
              <w:spacing w:after="120"/>
              <w:jc w:val="both"/>
              <w:rPr>
                <w:sz w:val="22"/>
                <w:szCs w:val="22"/>
              </w:rPr>
            </w:pPr>
            <w:r w:rsidRPr="00A65F14">
              <w:rPr>
                <w:sz w:val="22"/>
                <w:szCs w:val="22"/>
              </w:rPr>
              <w:t>Le procès-verbal de la réunion du comité de concertation (art 26 §2 de la loi organique)</w:t>
            </w:r>
          </w:p>
        </w:tc>
      </w:tr>
      <w:tr w:rsidR="00E943C9" w:rsidRPr="00651F9B" w14:paraId="0632A9EC"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40FB23A2" w14:textId="77777777" w:rsidR="00E943C9" w:rsidRPr="00A65F14" w:rsidRDefault="00E943C9">
            <w:pPr>
              <w:spacing w:after="120"/>
              <w:jc w:val="both"/>
              <w:rPr>
                <w:sz w:val="22"/>
                <w:szCs w:val="22"/>
              </w:rPr>
            </w:pPr>
            <w:r w:rsidRPr="00A65F14">
              <w:rPr>
                <w:sz w:val="22"/>
                <w:szCs w:val="22"/>
              </w:rPr>
              <w:t>3</w:t>
            </w:r>
          </w:p>
        </w:tc>
        <w:tc>
          <w:tcPr>
            <w:tcW w:w="9497" w:type="dxa"/>
            <w:tcBorders>
              <w:top w:val="single" w:sz="4" w:space="0" w:color="000000"/>
              <w:left w:val="single" w:sz="4" w:space="0" w:color="000000"/>
              <w:bottom w:val="single" w:sz="4" w:space="0" w:color="000000"/>
              <w:right w:val="single" w:sz="4" w:space="0" w:color="000000"/>
            </w:tcBorders>
            <w:hideMark/>
          </w:tcPr>
          <w:p w14:paraId="7D92DCEF" w14:textId="77777777" w:rsidR="00E943C9" w:rsidRPr="00A65F14" w:rsidRDefault="00E943C9">
            <w:pPr>
              <w:spacing w:after="120"/>
              <w:jc w:val="both"/>
              <w:rPr>
                <w:sz w:val="22"/>
                <w:szCs w:val="22"/>
              </w:rPr>
            </w:pPr>
            <w:r w:rsidRPr="00A65F14">
              <w:rPr>
                <w:sz w:val="22"/>
                <w:szCs w:val="22"/>
              </w:rPr>
              <w:t>L'avis de la commission article 12 du RGCC tel qu’adapté aux CPAS</w:t>
            </w:r>
          </w:p>
        </w:tc>
      </w:tr>
      <w:tr w:rsidR="00E943C9" w:rsidRPr="00651F9B" w14:paraId="70998107"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60AD8831" w14:textId="77777777" w:rsidR="00E943C9" w:rsidRPr="00A65F14" w:rsidRDefault="00E943C9">
            <w:pPr>
              <w:spacing w:after="120"/>
              <w:jc w:val="both"/>
              <w:rPr>
                <w:sz w:val="22"/>
                <w:szCs w:val="22"/>
              </w:rPr>
            </w:pPr>
            <w:r w:rsidRPr="00A65F14">
              <w:rPr>
                <w:sz w:val="22"/>
                <w:szCs w:val="22"/>
              </w:rPr>
              <w:t>4</w:t>
            </w:r>
          </w:p>
        </w:tc>
        <w:tc>
          <w:tcPr>
            <w:tcW w:w="9497" w:type="dxa"/>
            <w:tcBorders>
              <w:top w:val="single" w:sz="4" w:space="0" w:color="000000"/>
              <w:left w:val="single" w:sz="4" w:space="0" w:color="000000"/>
              <w:bottom w:val="single" w:sz="4" w:space="0" w:color="000000"/>
              <w:right w:val="single" w:sz="4" w:space="0" w:color="000000"/>
            </w:tcBorders>
            <w:hideMark/>
          </w:tcPr>
          <w:p w14:paraId="7C4EA83F" w14:textId="77777777" w:rsidR="00E943C9" w:rsidRPr="00A65F14" w:rsidRDefault="00E943C9">
            <w:pPr>
              <w:spacing w:after="120"/>
              <w:jc w:val="both"/>
              <w:rPr>
                <w:sz w:val="22"/>
                <w:szCs w:val="22"/>
              </w:rPr>
            </w:pPr>
            <w:r w:rsidRPr="00A65F14">
              <w:rPr>
                <w:sz w:val="22"/>
                <w:szCs w:val="22"/>
              </w:rPr>
              <w:t>La note de politique générale et le rapport tel que prévu par l'article 88 de la loi organique</w:t>
            </w:r>
          </w:p>
        </w:tc>
      </w:tr>
      <w:tr w:rsidR="00E943C9" w:rsidRPr="00651F9B" w14:paraId="1D9E104E" w14:textId="77777777" w:rsidTr="00B44836">
        <w:trPr>
          <w:trHeight w:hRule="exact" w:val="847"/>
        </w:trPr>
        <w:tc>
          <w:tcPr>
            <w:tcW w:w="709" w:type="dxa"/>
            <w:tcBorders>
              <w:top w:val="single" w:sz="4" w:space="0" w:color="000000"/>
              <w:left w:val="single" w:sz="4" w:space="0" w:color="000000"/>
              <w:bottom w:val="single" w:sz="4" w:space="0" w:color="000000"/>
              <w:right w:val="single" w:sz="4" w:space="0" w:color="000000"/>
            </w:tcBorders>
            <w:hideMark/>
          </w:tcPr>
          <w:p w14:paraId="4BF7EB65" w14:textId="77777777" w:rsidR="00E943C9" w:rsidRPr="00A65F14" w:rsidRDefault="00E943C9">
            <w:pPr>
              <w:spacing w:after="120"/>
              <w:jc w:val="both"/>
              <w:rPr>
                <w:sz w:val="22"/>
                <w:szCs w:val="22"/>
              </w:rPr>
            </w:pPr>
            <w:r w:rsidRPr="00A65F14">
              <w:rPr>
                <w:sz w:val="22"/>
                <w:szCs w:val="22"/>
              </w:rPr>
              <w:t>5</w:t>
            </w:r>
          </w:p>
        </w:tc>
        <w:tc>
          <w:tcPr>
            <w:tcW w:w="9497" w:type="dxa"/>
            <w:tcBorders>
              <w:top w:val="single" w:sz="4" w:space="0" w:color="000000"/>
              <w:left w:val="single" w:sz="4" w:space="0" w:color="000000"/>
              <w:bottom w:val="single" w:sz="4" w:space="0" w:color="000000"/>
              <w:right w:val="single" w:sz="4" w:space="0" w:color="000000"/>
            </w:tcBorders>
            <w:hideMark/>
          </w:tcPr>
          <w:p w14:paraId="010E534B" w14:textId="77777777" w:rsidR="00E943C9" w:rsidRPr="00A65F14" w:rsidRDefault="00E943C9">
            <w:pPr>
              <w:spacing w:after="120"/>
              <w:jc w:val="both"/>
              <w:rPr>
                <w:sz w:val="22"/>
                <w:szCs w:val="22"/>
              </w:rPr>
            </w:pPr>
            <w:r w:rsidRPr="00A65F14">
              <w:rPr>
                <w:sz w:val="22"/>
                <w:szCs w:val="22"/>
              </w:rPr>
              <w:t>Le rapport annuel sur l’ensemble des synergies existantes et à développer entre la commune et le CPAS et aux économies d’échelle et aux suppressions des doubles emplois ou chevauchements d’activités du CPAS et de la commune (art 26bis §6 de la loi organique)</w:t>
            </w:r>
          </w:p>
        </w:tc>
      </w:tr>
      <w:tr w:rsidR="00E943C9" w:rsidRPr="00651F9B" w14:paraId="2494E07C" w14:textId="77777777" w:rsidTr="00B44836">
        <w:trPr>
          <w:trHeight w:hRule="exact" w:val="621"/>
        </w:trPr>
        <w:tc>
          <w:tcPr>
            <w:tcW w:w="709" w:type="dxa"/>
            <w:tcBorders>
              <w:top w:val="single" w:sz="4" w:space="0" w:color="000000"/>
              <w:left w:val="single" w:sz="4" w:space="0" w:color="000000"/>
              <w:bottom w:val="single" w:sz="4" w:space="0" w:color="000000"/>
              <w:right w:val="single" w:sz="4" w:space="0" w:color="000000"/>
            </w:tcBorders>
            <w:hideMark/>
          </w:tcPr>
          <w:p w14:paraId="53E452AF" w14:textId="77777777" w:rsidR="00E943C9" w:rsidRPr="00A65F14" w:rsidRDefault="00E943C9">
            <w:pPr>
              <w:spacing w:after="120"/>
              <w:jc w:val="both"/>
              <w:rPr>
                <w:sz w:val="22"/>
                <w:szCs w:val="22"/>
              </w:rPr>
            </w:pPr>
            <w:r w:rsidRPr="00A65F14">
              <w:rPr>
                <w:sz w:val="22"/>
                <w:szCs w:val="22"/>
              </w:rPr>
              <w:t>6</w:t>
            </w:r>
          </w:p>
        </w:tc>
        <w:tc>
          <w:tcPr>
            <w:tcW w:w="9497" w:type="dxa"/>
            <w:tcBorders>
              <w:top w:val="single" w:sz="4" w:space="0" w:color="000000"/>
              <w:left w:val="single" w:sz="4" w:space="0" w:color="000000"/>
              <w:bottom w:val="single" w:sz="4" w:space="0" w:color="000000"/>
              <w:right w:val="single" w:sz="4" w:space="0" w:color="000000"/>
            </w:tcBorders>
          </w:tcPr>
          <w:p w14:paraId="7944DA73" w14:textId="77777777" w:rsidR="00E943C9" w:rsidRPr="00A65F14" w:rsidRDefault="00E943C9">
            <w:pPr>
              <w:spacing w:after="120"/>
              <w:jc w:val="both"/>
              <w:rPr>
                <w:sz w:val="22"/>
                <w:szCs w:val="22"/>
              </w:rPr>
            </w:pPr>
            <w:r w:rsidRPr="00A65F14">
              <w:rPr>
                <w:sz w:val="22"/>
                <w:szCs w:val="22"/>
              </w:rPr>
              <w:t>Les tableaux de synthèse ordinaire et extraordinaire et leurs adaptations dûment signés par le directeur financier</w:t>
            </w:r>
          </w:p>
          <w:p w14:paraId="617D7240" w14:textId="77777777" w:rsidR="00E943C9" w:rsidRPr="00A65F14" w:rsidRDefault="00E943C9">
            <w:pPr>
              <w:spacing w:after="120"/>
              <w:jc w:val="both"/>
              <w:rPr>
                <w:sz w:val="22"/>
                <w:szCs w:val="22"/>
              </w:rPr>
            </w:pPr>
          </w:p>
        </w:tc>
      </w:tr>
      <w:tr w:rsidR="00E943C9" w:rsidRPr="00651F9B" w14:paraId="6DAB09B9" w14:textId="77777777" w:rsidTr="00B44836">
        <w:trPr>
          <w:trHeight w:hRule="exact" w:val="656"/>
        </w:trPr>
        <w:tc>
          <w:tcPr>
            <w:tcW w:w="709" w:type="dxa"/>
            <w:tcBorders>
              <w:top w:val="single" w:sz="4" w:space="0" w:color="000000"/>
              <w:left w:val="single" w:sz="4" w:space="0" w:color="000000"/>
              <w:bottom w:val="single" w:sz="4" w:space="0" w:color="000000"/>
              <w:right w:val="single" w:sz="4" w:space="0" w:color="000000"/>
            </w:tcBorders>
            <w:hideMark/>
          </w:tcPr>
          <w:p w14:paraId="7E74C9B6" w14:textId="77777777" w:rsidR="00E943C9" w:rsidRPr="00A65F14" w:rsidRDefault="00E943C9">
            <w:pPr>
              <w:spacing w:after="120"/>
              <w:jc w:val="both"/>
              <w:rPr>
                <w:sz w:val="22"/>
                <w:szCs w:val="22"/>
              </w:rPr>
            </w:pPr>
            <w:r w:rsidRPr="00A65F14">
              <w:rPr>
                <w:sz w:val="22"/>
                <w:szCs w:val="22"/>
              </w:rPr>
              <w:t>7</w:t>
            </w:r>
          </w:p>
        </w:tc>
        <w:tc>
          <w:tcPr>
            <w:tcW w:w="9497" w:type="dxa"/>
            <w:tcBorders>
              <w:top w:val="single" w:sz="4" w:space="0" w:color="000000"/>
              <w:left w:val="single" w:sz="4" w:space="0" w:color="000000"/>
              <w:bottom w:val="single" w:sz="4" w:space="0" w:color="000000"/>
              <w:right w:val="single" w:sz="4" w:space="0" w:color="000000"/>
            </w:tcBorders>
            <w:hideMark/>
          </w:tcPr>
          <w:p w14:paraId="616B550F" w14:textId="77777777" w:rsidR="00E943C9" w:rsidRPr="00A65F14" w:rsidRDefault="00E943C9">
            <w:pPr>
              <w:spacing w:after="120"/>
              <w:jc w:val="both"/>
              <w:rPr>
                <w:sz w:val="22"/>
                <w:szCs w:val="22"/>
              </w:rPr>
            </w:pPr>
            <w:r w:rsidRPr="00A65F14">
              <w:rPr>
                <w:sz w:val="22"/>
                <w:szCs w:val="22"/>
              </w:rPr>
              <w:t>Le programme des investissements et des voies et moyens affectés aux prévisions de dépenses ventilés par article budgétaire et par numéro de projet extraordinaire</w:t>
            </w:r>
          </w:p>
        </w:tc>
      </w:tr>
      <w:tr w:rsidR="00E943C9" w:rsidRPr="00651F9B" w14:paraId="787478D0" w14:textId="77777777" w:rsidTr="00B44836">
        <w:trPr>
          <w:trHeight w:hRule="exact" w:val="296"/>
        </w:trPr>
        <w:tc>
          <w:tcPr>
            <w:tcW w:w="709" w:type="dxa"/>
            <w:tcBorders>
              <w:top w:val="single" w:sz="4" w:space="0" w:color="000000"/>
              <w:left w:val="single" w:sz="4" w:space="0" w:color="000000"/>
              <w:bottom w:val="single" w:sz="4" w:space="0" w:color="000000"/>
              <w:right w:val="single" w:sz="4" w:space="0" w:color="000000"/>
            </w:tcBorders>
            <w:hideMark/>
          </w:tcPr>
          <w:p w14:paraId="55A0DFEA" w14:textId="77777777" w:rsidR="00E943C9" w:rsidRPr="00A65F14" w:rsidRDefault="00E943C9">
            <w:pPr>
              <w:spacing w:after="120"/>
              <w:jc w:val="both"/>
              <w:rPr>
                <w:sz w:val="22"/>
                <w:szCs w:val="22"/>
              </w:rPr>
            </w:pPr>
            <w:r w:rsidRPr="00A65F14">
              <w:rPr>
                <w:sz w:val="22"/>
                <w:szCs w:val="22"/>
              </w:rPr>
              <w:t>8</w:t>
            </w:r>
          </w:p>
        </w:tc>
        <w:tc>
          <w:tcPr>
            <w:tcW w:w="9497" w:type="dxa"/>
            <w:tcBorders>
              <w:top w:val="single" w:sz="4" w:space="0" w:color="000000"/>
              <w:left w:val="single" w:sz="4" w:space="0" w:color="000000"/>
              <w:bottom w:val="single" w:sz="4" w:space="0" w:color="000000"/>
              <w:right w:val="single" w:sz="4" w:space="0" w:color="000000"/>
            </w:tcBorders>
            <w:hideMark/>
          </w:tcPr>
          <w:p w14:paraId="17BAE874" w14:textId="77777777" w:rsidR="00E943C9" w:rsidRPr="00A65F14" w:rsidRDefault="00E943C9">
            <w:pPr>
              <w:spacing w:after="120"/>
              <w:jc w:val="both"/>
              <w:rPr>
                <w:sz w:val="22"/>
                <w:szCs w:val="22"/>
              </w:rPr>
            </w:pPr>
            <w:r w:rsidRPr="00A65F14">
              <w:rPr>
                <w:sz w:val="22"/>
                <w:szCs w:val="22"/>
              </w:rPr>
              <w:t>Le tableau des emprunts contractés et à contracter présenté par emprunt avec récapitulation</w:t>
            </w:r>
          </w:p>
        </w:tc>
      </w:tr>
      <w:tr w:rsidR="00E943C9" w:rsidRPr="00651F9B" w14:paraId="58091929" w14:textId="77777777" w:rsidTr="00B44836">
        <w:trPr>
          <w:trHeight w:hRule="exact" w:val="1123"/>
        </w:trPr>
        <w:tc>
          <w:tcPr>
            <w:tcW w:w="709" w:type="dxa"/>
            <w:tcBorders>
              <w:top w:val="single" w:sz="4" w:space="0" w:color="000000"/>
              <w:left w:val="single" w:sz="4" w:space="0" w:color="000000"/>
              <w:bottom w:val="single" w:sz="4" w:space="0" w:color="000000"/>
              <w:right w:val="single" w:sz="4" w:space="0" w:color="000000"/>
            </w:tcBorders>
            <w:hideMark/>
          </w:tcPr>
          <w:p w14:paraId="274BB920" w14:textId="77777777" w:rsidR="00E943C9" w:rsidRPr="00A65F14" w:rsidRDefault="00E943C9">
            <w:pPr>
              <w:spacing w:after="120"/>
              <w:jc w:val="both"/>
              <w:rPr>
                <w:sz w:val="22"/>
                <w:szCs w:val="22"/>
              </w:rPr>
            </w:pPr>
            <w:r w:rsidRPr="00A65F14">
              <w:rPr>
                <w:sz w:val="22"/>
                <w:szCs w:val="22"/>
              </w:rPr>
              <w:lastRenderedPageBreak/>
              <w:t>9</w:t>
            </w:r>
          </w:p>
        </w:tc>
        <w:tc>
          <w:tcPr>
            <w:tcW w:w="9497" w:type="dxa"/>
            <w:tcBorders>
              <w:top w:val="single" w:sz="4" w:space="0" w:color="000000"/>
              <w:left w:val="single" w:sz="4" w:space="0" w:color="000000"/>
              <w:bottom w:val="single" w:sz="4" w:space="0" w:color="000000"/>
              <w:right w:val="single" w:sz="4" w:space="0" w:color="000000"/>
            </w:tcBorders>
            <w:hideMark/>
          </w:tcPr>
          <w:p w14:paraId="1F09DA51" w14:textId="77777777" w:rsidR="00E943C9" w:rsidRPr="00A65F14" w:rsidRDefault="00E943C9">
            <w:pPr>
              <w:spacing w:after="120"/>
              <w:jc w:val="both"/>
              <w:rPr>
                <w:sz w:val="22"/>
                <w:szCs w:val="22"/>
              </w:rPr>
            </w:pPr>
            <w:r w:rsidRPr="00A65F14">
              <w:rPr>
                <w:sz w:val="22"/>
                <w:szCs w:val="22"/>
              </w:rPr>
              <w:t>Stabilité de la charge de la dette : tableau justifiant la stabilité + tableau reprenant, par exercice, les montants qui ont servi à l'autofinancement du service extraordinaire ainsi que les montants affectés à des remboursements anticipés d'emprunts (soit sur boni extraordinaire, soit par transfert direct de service, soit par prélèvement via un fonds de réserve).</w:t>
            </w:r>
          </w:p>
        </w:tc>
      </w:tr>
      <w:tr w:rsidR="00E943C9" w:rsidRPr="00651F9B" w14:paraId="1363DC44" w14:textId="77777777" w:rsidTr="00B44836">
        <w:trPr>
          <w:trHeight w:hRule="exact" w:val="288"/>
        </w:trPr>
        <w:tc>
          <w:tcPr>
            <w:tcW w:w="709" w:type="dxa"/>
            <w:tcBorders>
              <w:top w:val="single" w:sz="4" w:space="0" w:color="000000"/>
              <w:left w:val="single" w:sz="4" w:space="0" w:color="000000"/>
              <w:bottom w:val="single" w:sz="4" w:space="0" w:color="000000"/>
              <w:right w:val="single" w:sz="4" w:space="0" w:color="000000"/>
            </w:tcBorders>
            <w:hideMark/>
          </w:tcPr>
          <w:p w14:paraId="70171B86" w14:textId="77777777" w:rsidR="00E943C9" w:rsidRPr="00A65F14" w:rsidRDefault="00E943C9">
            <w:pPr>
              <w:spacing w:after="120"/>
              <w:jc w:val="both"/>
              <w:rPr>
                <w:sz w:val="22"/>
                <w:szCs w:val="22"/>
              </w:rPr>
            </w:pPr>
            <w:r w:rsidRPr="00A65F14">
              <w:rPr>
                <w:sz w:val="22"/>
                <w:szCs w:val="22"/>
              </w:rPr>
              <w:t>10</w:t>
            </w:r>
          </w:p>
        </w:tc>
        <w:tc>
          <w:tcPr>
            <w:tcW w:w="9497" w:type="dxa"/>
            <w:tcBorders>
              <w:top w:val="single" w:sz="4" w:space="0" w:color="000000"/>
              <w:left w:val="single" w:sz="4" w:space="0" w:color="000000"/>
              <w:bottom w:val="single" w:sz="4" w:space="0" w:color="000000"/>
              <w:right w:val="single" w:sz="4" w:space="0" w:color="000000"/>
            </w:tcBorders>
            <w:hideMark/>
          </w:tcPr>
          <w:p w14:paraId="4187D785" w14:textId="77777777" w:rsidR="00E943C9" w:rsidRPr="00A65F14" w:rsidRDefault="00E943C9">
            <w:pPr>
              <w:spacing w:after="120"/>
              <w:jc w:val="both"/>
              <w:rPr>
                <w:sz w:val="22"/>
                <w:szCs w:val="22"/>
              </w:rPr>
            </w:pPr>
            <w:r w:rsidRPr="00A65F14">
              <w:rPr>
                <w:sz w:val="22"/>
                <w:szCs w:val="22"/>
              </w:rPr>
              <w:t>Les mouvements des réserves et provisions (avec les ventilations)</w:t>
            </w:r>
          </w:p>
        </w:tc>
      </w:tr>
      <w:tr w:rsidR="00E943C9" w:rsidRPr="00651F9B" w14:paraId="2B2318CE"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7905D319" w14:textId="77777777" w:rsidR="00E943C9" w:rsidRPr="00A65F14" w:rsidRDefault="00E943C9">
            <w:pPr>
              <w:spacing w:after="120"/>
              <w:jc w:val="both"/>
              <w:rPr>
                <w:sz w:val="22"/>
                <w:szCs w:val="22"/>
              </w:rPr>
            </w:pPr>
            <w:r w:rsidRPr="00A65F14">
              <w:rPr>
                <w:sz w:val="22"/>
                <w:szCs w:val="22"/>
              </w:rPr>
              <w:t>11</w:t>
            </w:r>
          </w:p>
        </w:tc>
        <w:tc>
          <w:tcPr>
            <w:tcW w:w="9497" w:type="dxa"/>
            <w:tcBorders>
              <w:top w:val="single" w:sz="4" w:space="0" w:color="000000"/>
              <w:left w:val="single" w:sz="4" w:space="0" w:color="000000"/>
              <w:bottom w:val="single" w:sz="4" w:space="0" w:color="000000"/>
              <w:right w:val="single" w:sz="4" w:space="0" w:color="000000"/>
            </w:tcBorders>
            <w:hideMark/>
          </w:tcPr>
          <w:p w14:paraId="6F806156" w14:textId="77777777" w:rsidR="00E943C9" w:rsidRPr="00A65F14" w:rsidRDefault="00E943C9">
            <w:pPr>
              <w:spacing w:after="120"/>
              <w:jc w:val="both"/>
              <w:rPr>
                <w:sz w:val="22"/>
                <w:szCs w:val="22"/>
              </w:rPr>
            </w:pPr>
            <w:r w:rsidRPr="00A65F14">
              <w:rPr>
                <w:sz w:val="22"/>
                <w:szCs w:val="22"/>
              </w:rPr>
              <w:t>La liste des garanties de bonne fin accordées à des tiers</w:t>
            </w:r>
          </w:p>
        </w:tc>
      </w:tr>
      <w:tr w:rsidR="00E943C9" w:rsidRPr="00651F9B" w14:paraId="530A6309"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7C7B5459" w14:textId="77777777" w:rsidR="00E943C9" w:rsidRPr="00A65F14" w:rsidRDefault="00E943C9">
            <w:pPr>
              <w:spacing w:after="120"/>
              <w:jc w:val="both"/>
              <w:rPr>
                <w:sz w:val="22"/>
                <w:szCs w:val="22"/>
              </w:rPr>
            </w:pPr>
            <w:r w:rsidRPr="00A65F14">
              <w:rPr>
                <w:sz w:val="22"/>
                <w:szCs w:val="22"/>
              </w:rPr>
              <w:t>12</w:t>
            </w:r>
          </w:p>
        </w:tc>
        <w:tc>
          <w:tcPr>
            <w:tcW w:w="9497" w:type="dxa"/>
            <w:tcBorders>
              <w:top w:val="single" w:sz="4" w:space="0" w:color="000000"/>
              <w:left w:val="single" w:sz="4" w:space="0" w:color="000000"/>
              <w:bottom w:val="single" w:sz="4" w:space="0" w:color="000000"/>
              <w:right w:val="single" w:sz="4" w:space="0" w:color="000000"/>
            </w:tcBorders>
            <w:hideMark/>
          </w:tcPr>
          <w:p w14:paraId="225FDF68" w14:textId="77777777" w:rsidR="00E943C9" w:rsidRPr="00A65F14" w:rsidRDefault="00E943C9">
            <w:pPr>
              <w:spacing w:after="120"/>
              <w:jc w:val="both"/>
              <w:rPr>
                <w:sz w:val="22"/>
                <w:szCs w:val="22"/>
              </w:rPr>
            </w:pPr>
            <w:r w:rsidRPr="00A65F14">
              <w:rPr>
                <w:sz w:val="22"/>
                <w:szCs w:val="22"/>
              </w:rPr>
              <w:t>Le tableau du personnel (hors article 60) comprenant tous les éléments chiffrés de la rémunération</w:t>
            </w:r>
          </w:p>
        </w:tc>
      </w:tr>
      <w:tr w:rsidR="00E943C9" w:rsidRPr="00651F9B" w14:paraId="5DF98687"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50862A55" w14:textId="77777777" w:rsidR="00E943C9" w:rsidRPr="00A65F14" w:rsidRDefault="00E943C9">
            <w:pPr>
              <w:spacing w:after="120"/>
              <w:jc w:val="both"/>
              <w:rPr>
                <w:sz w:val="22"/>
                <w:szCs w:val="22"/>
              </w:rPr>
            </w:pPr>
            <w:r w:rsidRPr="00A65F14">
              <w:rPr>
                <w:sz w:val="22"/>
                <w:szCs w:val="22"/>
              </w:rPr>
              <w:t>13</w:t>
            </w:r>
          </w:p>
        </w:tc>
        <w:tc>
          <w:tcPr>
            <w:tcW w:w="9497" w:type="dxa"/>
            <w:tcBorders>
              <w:top w:val="single" w:sz="4" w:space="0" w:color="000000"/>
              <w:left w:val="single" w:sz="4" w:space="0" w:color="000000"/>
              <w:bottom w:val="single" w:sz="4" w:space="0" w:color="000000"/>
              <w:right w:val="single" w:sz="4" w:space="0" w:color="000000"/>
            </w:tcBorders>
            <w:hideMark/>
          </w:tcPr>
          <w:p w14:paraId="4612E575" w14:textId="77777777" w:rsidR="00E943C9" w:rsidRPr="00A65F14" w:rsidRDefault="00E943C9">
            <w:pPr>
              <w:spacing w:after="120"/>
              <w:jc w:val="both"/>
              <w:rPr>
                <w:sz w:val="22"/>
                <w:szCs w:val="22"/>
              </w:rPr>
            </w:pPr>
            <w:r w:rsidRPr="00A65F14">
              <w:rPr>
                <w:sz w:val="22"/>
                <w:szCs w:val="22"/>
              </w:rPr>
              <w:t xml:space="preserve">L’accusé de réception de l’envoi via </w:t>
            </w:r>
            <w:proofErr w:type="spellStart"/>
            <w:r w:rsidRPr="00A65F14">
              <w:rPr>
                <w:sz w:val="22"/>
                <w:szCs w:val="22"/>
              </w:rPr>
              <w:t>StatRw</w:t>
            </w:r>
            <w:proofErr w:type="spellEnd"/>
            <w:r w:rsidRPr="00A65F14">
              <w:rPr>
                <w:sz w:val="22"/>
                <w:szCs w:val="22"/>
              </w:rPr>
              <w:t xml:space="preserve"> du fichier des prévisions pluriannuelles </w:t>
            </w:r>
          </w:p>
        </w:tc>
      </w:tr>
      <w:tr w:rsidR="00E943C9" w:rsidRPr="00651F9B" w14:paraId="04B849A6"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48AADEC1" w14:textId="77777777" w:rsidR="00E943C9" w:rsidRPr="00A65F14" w:rsidRDefault="00E943C9">
            <w:pPr>
              <w:spacing w:after="120"/>
              <w:jc w:val="both"/>
              <w:rPr>
                <w:sz w:val="22"/>
                <w:szCs w:val="22"/>
              </w:rPr>
            </w:pPr>
            <w:r w:rsidRPr="00A65F14">
              <w:rPr>
                <w:sz w:val="22"/>
                <w:szCs w:val="22"/>
              </w:rPr>
              <w:t>14</w:t>
            </w:r>
          </w:p>
        </w:tc>
        <w:tc>
          <w:tcPr>
            <w:tcW w:w="9497" w:type="dxa"/>
            <w:tcBorders>
              <w:top w:val="single" w:sz="4" w:space="0" w:color="000000"/>
              <w:left w:val="single" w:sz="4" w:space="0" w:color="000000"/>
              <w:bottom w:val="single" w:sz="4" w:space="0" w:color="000000"/>
              <w:right w:val="single" w:sz="4" w:space="0" w:color="000000"/>
            </w:tcBorders>
            <w:hideMark/>
          </w:tcPr>
          <w:p w14:paraId="5E3079AA" w14:textId="24609D92" w:rsidR="00E943C9" w:rsidRPr="00A65F14" w:rsidRDefault="00E943C9">
            <w:pPr>
              <w:spacing w:after="120"/>
              <w:jc w:val="both"/>
              <w:rPr>
                <w:sz w:val="22"/>
                <w:szCs w:val="22"/>
              </w:rPr>
            </w:pPr>
            <w:r w:rsidRPr="00A65F14">
              <w:rPr>
                <w:sz w:val="22"/>
                <w:szCs w:val="22"/>
              </w:rPr>
              <w:t>La preuve de la transmission des documents budgétaires au directeur financier</w:t>
            </w:r>
            <w:r w:rsidR="00B942AC">
              <w:rPr>
                <w:sz w:val="22"/>
                <w:szCs w:val="22"/>
              </w:rPr>
              <w:t xml:space="preserve"> </w:t>
            </w:r>
            <w:r w:rsidR="00B942AC" w:rsidRPr="00681CF5">
              <w:rPr>
                <w:sz w:val="22"/>
                <w:szCs w:val="22"/>
              </w:rPr>
              <w:t>(si non établis par lui)</w:t>
            </w:r>
          </w:p>
        </w:tc>
      </w:tr>
      <w:tr w:rsidR="00E943C9" w:rsidRPr="00651F9B" w14:paraId="16C5916E"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2CEE2572" w14:textId="77777777" w:rsidR="00E943C9" w:rsidRPr="00A65F14" w:rsidRDefault="00E943C9">
            <w:pPr>
              <w:spacing w:after="120"/>
              <w:jc w:val="both"/>
              <w:rPr>
                <w:sz w:val="22"/>
                <w:szCs w:val="22"/>
              </w:rPr>
            </w:pPr>
            <w:r w:rsidRPr="00A65F14">
              <w:rPr>
                <w:sz w:val="22"/>
                <w:szCs w:val="22"/>
              </w:rPr>
              <w:t>15</w:t>
            </w:r>
          </w:p>
        </w:tc>
        <w:tc>
          <w:tcPr>
            <w:tcW w:w="9497" w:type="dxa"/>
            <w:tcBorders>
              <w:top w:val="single" w:sz="4" w:space="0" w:color="000000"/>
              <w:left w:val="single" w:sz="4" w:space="0" w:color="000000"/>
              <w:bottom w:val="single" w:sz="4" w:space="0" w:color="000000"/>
              <w:right w:val="single" w:sz="4" w:space="0" w:color="000000"/>
            </w:tcBorders>
            <w:hideMark/>
          </w:tcPr>
          <w:p w14:paraId="471F4C79" w14:textId="77777777" w:rsidR="00E943C9" w:rsidRPr="00A65F14" w:rsidRDefault="00E943C9">
            <w:pPr>
              <w:spacing w:after="120"/>
              <w:jc w:val="both"/>
              <w:rPr>
                <w:sz w:val="22"/>
                <w:szCs w:val="22"/>
              </w:rPr>
            </w:pPr>
            <w:r w:rsidRPr="00A65F14">
              <w:rPr>
                <w:sz w:val="22"/>
                <w:szCs w:val="22"/>
              </w:rPr>
              <w:t>Quand il existe, l’avis du directeur financier rendu en application de l’article 46 de la loi organique</w:t>
            </w:r>
          </w:p>
        </w:tc>
      </w:tr>
      <w:tr w:rsidR="00E943C9" w:rsidRPr="00651F9B" w14:paraId="3B6DF15A" w14:textId="77777777" w:rsidTr="00B44836">
        <w:trPr>
          <w:trHeight w:hRule="exact" w:val="624"/>
        </w:trPr>
        <w:tc>
          <w:tcPr>
            <w:tcW w:w="709" w:type="dxa"/>
            <w:tcBorders>
              <w:top w:val="single" w:sz="4" w:space="0" w:color="000000"/>
              <w:left w:val="single" w:sz="4" w:space="0" w:color="000000"/>
              <w:bottom w:val="single" w:sz="4" w:space="0" w:color="000000"/>
              <w:right w:val="single" w:sz="4" w:space="0" w:color="000000"/>
            </w:tcBorders>
            <w:hideMark/>
          </w:tcPr>
          <w:p w14:paraId="3468E9C6" w14:textId="77777777" w:rsidR="00E943C9" w:rsidRPr="00A65F14" w:rsidRDefault="00E943C9">
            <w:pPr>
              <w:spacing w:after="120"/>
              <w:jc w:val="both"/>
              <w:rPr>
                <w:sz w:val="22"/>
                <w:szCs w:val="22"/>
              </w:rPr>
            </w:pPr>
            <w:r w:rsidRPr="00A65F14">
              <w:rPr>
                <w:sz w:val="22"/>
                <w:szCs w:val="22"/>
              </w:rPr>
              <w:t>16</w:t>
            </w:r>
          </w:p>
        </w:tc>
        <w:tc>
          <w:tcPr>
            <w:tcW w:w="9497" w:type="dxa"/>
            <w:tcBorders>
              <w:top w:val="single" w:sz="4" w:space="0" w:color="000000"/>
              <w:left w:val="single" w:sz="4" w:space="0" w:color="000000"/>
              <w:bottom w:val="single" w:sz="4" w:space="0" w:color="000000"/>
              <w:right w:val="single" w:sz="4" w:space="0" w:color="000000"/>
            </w:tcBorders>
            <w:hideMark/>
          </w:tcPr>
          <w:p w14:paraId="37DD2F57" w14:textId="11DD1F1D" w:rsidR="00E943C9" w:rsidRPr="00A65F14" w:rsidRDefault="00E943C9">
            <w:pPr>
              <w:spacing w:after="120"/>
              <w:jc w:val="both"/>
              <w:rPr>
                <w:sz w:val="22"/>
                <w:szCs w:val="22"/>
              </w:rPr>
            </w:pPr>
            <w:r w:rsidRPr="00A65F14">
              <w:rPr>
                <w:sz w:val="22"/>
                <w:szCs w:val="22"/>
              </w:rPr>
              <w:t xml:space="preserve">La preuve de la communication aux organisations syndicales des documents budgétaires et </w:t>
            </w:r>
            <w:r w:rsidR="007E35CE">
              <w:rPr>
                <w:sz w:val="22"/>
                <w:szCs w:val="22"/>
              </w:rPr>
              <w:t xml:space="preserve">la certification que, </w:t>
            </w:r>
            <w:r w:rsidRPr="00A65F14">
              <w:rPr>
                <w:sz w:val="22"/>
                <w:szCs w:val="22"/>
              </w:rPr>
              <w:t>si ces organisations en ont fait la demande, une réunion d’information</w:t>
            </w:r>
            <w:r w:rsidR="007E35CE">
              <w:rPr>
                <w:sz w:val="22"/>
                <w:szCs w:val="22"/>
              </w:rPr>
              <w:t xml:space="preserve"> sera tenue.</w:t>
            </w:r>
          </w:p>
        </w:tc>
      </w:tr>
    </w:tbl>
    <w:p w14:paraId="288EAA07" w14:textId="6E6214D4" w:rsidR="00E943C9" w:rsidRDefault="00E943C9" w:rsidP="00256E9F">
      <w:pPr>
        <w:jc w:val="both"/>
      </w:pPr>
    </w:p>
    <w:tbl>
      <w:tblPr>
        <w:tblW w:w="10206" w:type="dxa"/>
        <w:tblInd w:w="-5" w:type="dxa"/>
        <w:tblLayout w:type="fixed"/>
        <w:tblCellMar>
          <w:left w:w="0" w:type="dxa"/>
          <w:right w:w="0" w:type="dxa"/>
        </w:tblCellMar>
        <w:tblLook w:val="04A0" w:firstRow="1" w:lastRow="0" w:firstColumn="1" w:lastColumn="0" w:noHBand="0" w:noVBand="1"/>
      </w:tblPr>
      <w:tblGrid>
        <w:gridCol w:w="709"/>
        <w:gridCol w:w="9497"/>
      </w:tblGrid>
      <w:tr w:rsidR="00651F9B" w:rsidRPr="00651F9B" w14:paraId="5F10F6EF" w14:textId="77777777" w:rsidTr="00B44836">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3683F265" w14:textId="77777777" w:rsidR="00651F9B" w:rsidRPr="00A65F14" w:rsidRDefault="00651F9B" w:rsidP="00651F9B">
            <w:pPr>
              <w:spacing w:after="120"/>
              <w:jc w:val="both"/>
              <w:rPr>
                <w:sz w:val="22"/>
                <w:szCs w:val="22"/>
                <w:lang w:val="fr-BE"/>
              </w:rPr>
            </w:pPr>
          </w:p>
        </w:tc>
        <w:tc>
          <w:tcPr>
            <w:tcW w:w="9497" w:type="dxa"/>
            <w:tcBorders>
              <w:top w:val="single" w:sz="4" w:space="0" w:color="000000"/>
              <w:left w:val="single" w:sz="4" w:space="0" w:color="000000"/>
              <w:bottom w:val="single" w:sz="4" w:space="0" w:color="000000"/>
              <w:right w:val="single" w:sz="4" w:space="0" w:color="000000"/>
            </w:tcBorders>
            <w:hideMark/>
          </w:tcPr>
          <w:p w14:paraId="7EF6D9DD" w14:textId="77777777" w:rsidR="00651F9B" w:rsidRPr="00A65F14" w:rsidRDefault="00651F9B" w:rsidP="00651F9B">
            <w:pPr>
              <w:spacing w:after="120"/>
              <w:jc w:val="both"/>
              <w:rPr>
                <w:sz w:val="22"/>
                <w:szCs w:val="22"/>
              </w:rPr>
            </w:pPr>
            <w:r w:rsidRPr="00A65F14">
              <w:rPr>
                <w:b/>
                <w:sz w:val="22"/>
                <w:szCs w:val="22"/>
              </w:rPr>
              <w:t xml:space="preserve">MODIFICATIONS BUDGETAIRES - </w:t>
            </w:r>
            <w:proofErr w:type="gramStart"/>
            <w:r w:rsidRPr="00A65F14">
              <w:rPr>
                <w:b/>
                <w:sz w:val="22"/>
                <w:szCs w:val="22"/>
              </w:rPr>
              <w:t>Listing</w:t>
            </w:r>
            <w:proofErr w:type="gramEnd"/>
            <w:r w:rsidRPr="00A65F14">
              <w:rPr>
                <w:b/>
                <w:sz w:val="22"/>
                <w:szCs w:val="22"/>
              </w:rPr>
              <w:t xml:space="preserve"> des pièces justificatives obligatoires</w:t>
            </w:r>
          </w:p>
        </w:tc>
      </w:tr>
      <w:tr w:rsidR="00651F9B" w:rsidRPr="00651F9B" w14:paraId="01BF7843" w14:textId="77777777" w:rsidTr="00B44836">
        <w:trPr>
          <w:trHeight w:hRule="exact" w:val="320"/>
        </w:trPr>
        <w:tc>
          <w:tcPr>
            <w:tcW w:w="709" w:type="dxa"/>
            <w:tcBorders>
              <w:top w:val="single" w:sz="4" w:space="0" w:color="000000"/>
              <w:left w:val="single" w:sz="4" w:space="0" w:color="000000"/>
              <w:bottom w:val="single" w:sz="4" w:space="0" w:color="000000"/>
              <w:right w:val="single" w:sz="4" w:space="0" w:color="000000"/>
            </w:tcBorders>
            <w:hideMark/>
          </w:tcPr>
          <w:p w14:paraId="28DE0E36" w14:textId="77777777" w:rsidR="00651F9B" w:rsidRPr="00A65F14" w:rsidRDefault="00651F9B" w:rsidP="00651F9B">
            <w:pPr>
              <w:spacing w:after="120"/>
              <w:jc w:val="both"/>
              <w:rPr>
                <w:sz w:val="22"/>
                <w:szCs w:val="22"/>
              </w:rPr>
            </w:pPr>
            <w:r w:rsidRPr="00A65F14">
              <w:rPr>
                <w:sz w:val="22"/>
                <w:szCs w:val="22"/>
              </w:rPr>
              <w:t>1</w:t>
            </w:r>
          </w:p>
        </w:tc>
        <w:tc>
          <w:tcPr>
            <w:tcW w:w="9497" w:type="dxa"/>
            <w:tcBorders>
              <w:top w:val="single" w:sz="4" w:space="0" w:color="000000"/>
              <w:left w:val="single" w:sz="4" w:space="0" w:color="000000"/>
              <w:bottom w:val="single" w:sz="4" w:space="0" w:color="000000"/>
              <w:right w:val="single" w:sz="4" w:space="0" w:color="000000"/>
            </w:tcBorders>
            <w:hideMark/>
          </w:tcPr>
          <w:p w14:paraId="69D3E9DB" w14:textId="77777777" w:rsidR="00651F9B" w:rsidRPr="00A65F14" w:rsidRDefault="00651F9B" w:rsidP="00651F9B">
            <w:pPr>
              <w:spacing w:after="120"/>
              <w:jc w:val="both"/>
              <w:rPr>
                <w:sz w:val="22"/>
                <w:szCs w:val="22"/>
              </w:rPr>
            </w:pPr>
            <w:r w:rsidRPr="00A65F14">
              <w:rPr>
                <w:sz w:val="22"/>
                <w:szCs w:val="22"/>
              </w:rPr>
              <w:t>La délibération in extenso du Conseil de l'action</w:t>
            </w:r>
          </w:p>
        </w:tc>
      </w:tr>
      <w:tr w:rsidR="00651F9B" w:rsidRPr="00651F9B" w14:paraId="3C624078" w14:textId="77777777" w:rsidTr="00B44836">
        <w:trPr>
          <w:trHeight w:hRule="exact" w:val="581"/>
        </w:trPr>
        <w:tc>
          <w:tcPr>
            <w:tcW w:w="709" w:type="dxa"/>
            <w:tcBorders>
              <w:top w:val="single" w:sz="4" w:space="0" w:color="000000"/>
              <w:left w:val="single" w:sz="4" w:space="0" w:color="000000"/>
              <w:bottom w:val="single" w:sz="4" w:space="0" w:color="000000"/>
              <w:right w:val="single" w:sz="4" w:space="0" w:color="000000"/>
            </w:tcBorders>
            <w:hideMark/>
          </w:tcPr>
          <w:p w14:paraId="297565ED" w14:textId="77777777" w:rsidR="00651F9B" w:rsidRPr="00A65F14" w:rsidRDefault="00651F9B" w:rsidP="00651F9B">
            <w:pPr>
              <w:spacing w:after="120"/>
              <w:jc w:val="both"/>
              <w:rPr>
                <w:sz w:val="22"/>
                <w:szCs w:val="22"/>
              </w:rPr>
            </w:pPr>
            <w:r w:rsidRPr="00A65F14">
              <w:rPr>
                <w:sz w:val="22"/>
                <w:szCs w:val="22"/>
              </w:rPr>
              <w:t>2</w:t>
            </w:r>
          </w:p>
        </w:tc>
        <w:tc>
          <w:tcPr>
            <w:tcW w:w="9497" w:type="dxa"/>
            <w:tcBorders>
              <w:top w:val="single" w:sz="4" w:space="0" w:color="000000"/>
              <w:left w:val="single" w:sz="4" w:space="0" w:color="000000"/>
              <w:bottom w:val="single" w:sz="4" w:space="0" w:color="000000"/>
              <w:right w:val="single" w:sz="4" w:space="0" w:color="000000"/>
            </w:tcBorders>
            <w:hideMark/>
          </w:tcPr>
          <w:p w14:paraId="17D408CC" w14:textId="77777777" w:rsidR="00651F9B" w:rsidRPr="00A65F14" w:rsidRDefault="00651F9B" w:rsidP="00651F9B">
            <w:pPr>
              <w:spacing w:after="120"/>
              <w:jc w:val="both"/>
              <w:rPr>
                <w:sz w:val="22"/>
                <w:szCs w:val="22"/>
              </w:rPr>
            </w:pPr>
            <w:r w:rsidRPr="00A65F14">
              <w:rPr>
                <w:sz w:val="22"/>
                <w:szCs w:val="22"/>
              </w:rPr>
              <w:t>Le programme des investissements et des voies et moyens affectés aux prévisions de dépenses ventilés par article et par n° de projet extraordinaire</w:t>
            </w:r>
          </w:p>
        </w:tc>
      </w:tr>
      <w:tr w:rsidR="00651F9B" w:rsidRPr="00651F9B" w14:paraId="117642A1"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20500493" w14:textId="77777777" w:rsidR="00651F9B" w:rsidRPr="00A65F14" w:rsidRDefault="00651F9B" w:rsidP="00651F9B">
            <w:pPr>
              <w:spacing w:after="120"/>
              <w:jc w:val="both"/>
              <w:rPr>
                <w:sz w:val="22"/>
                <w:szCs w:val="22"/>
              </w:rPr>
            </w:pPr>
            <w:r w:rsidRPr="00A65F14">
              <w:rPr>
                <w:sz w:val="22"/>
                <w:szCs w:val="22"/>
              </w:rPr>
              <w:t>3</w:t>
            </w:r>
          </w:p>
        </w:tc>
        <w:tc>
          <w:tcPr>
            <w:tcW w:w="9497" w:type="dxa"/>
            <w:tcBorders>
              <w:top w:val="single" w:sz="4" w:space="0" w:color="000000"/>
              <w:left w:val="single" w:sz="4" w:space="0" w:color="000000"/>
              <w:bottom w:val="single" w:sz="4" w:space="0" w:color="000000"/>
              <w:right w:val="single" w:sz="4" w:space="0" w:color="000000"/>
            </w:tcBorders>
            <w:hideMark/>
          </w:tcPr>
          <w:p w14:paraId="38CC5218" w14:textId="77777777" w:rsidR="00651F9B" w:rsidRPr="00A65F14" w:rsidRDefault="00651F9B" w:rsidP="00651F9B">
            <w:pPr>
              <w:spacing w:after="120"/>
              <w:jc w:val="both"/>
              <w:rPr>
                <w:sz w:val="22"/>
                <w:szCs w:val="22"/>
              </w:rPr>
            </w:pPr>
            <w:r w:rsidRPr="00A65F14">
              <w:rPr>
                <w:sz w:val="22"/>
                <w:szCs w:val="22"/>
              </w:rPr>
              <w:t>Les mouvements des réserves et provisions</w:t>
            </w:r>
          </w:p>
        </w:tc>
      </w:tr>
      <w:tr w:rsidR="00651F9B" w:rsidRPr="00651F9B" w14:paraId="35CE82D2"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00E6E126" w14:textId="77777777" w:rsidR="00651F9B" w:rsidRPr="00A65F14" w:rsidRDefault="00651F9B" w:rsidP="00651F9B">
            <w:pPr>
              <w:spacing w:after="120"/>
              <w:jc w:val="both"/>
              <w:rPr>
                <w:sz w:val="22"/>
                <w:szCs w:val="22"/>
              </w:rPr>
            </w:pPr>
            <w:r w:rsidRPr="00A65F14">
              <w:rPr>
                <w:sz w:val="22"/>
                <w:szCs w:val="22"/>
              </w:rPr>
              <w:t>4</w:t>
            </w:r>
          </w:p>
        </w:tc>
        <w:tc>
          <w:tcPr>
            <w:tcW w:w="9497" w:type="dxa"/>
            <w:tcBorders>
              <w:top w:val="single" w:sz="4" w:space="0" w:color="000000"/>
              <w:left w:val="single" w:sz="4" w:space="0" w:color="000000"/>
              <w:bottom w:val="single" w:sz="4" w:space="0" w:color="000000"/>
              <w:right w:val="single" w:sz="4" w:space="0" w:color="000000"/>
            </w:tcBorders>
            <w:hideMark/>
          </w:tcPr>
          <w:p w14:paraId="34582D4C" w14:textId="77777777" w:rsidR="00651F9B" w:rsidRPr="00A65F14" w:rsidRDefault="00651F9B" w:rsidP="00651F9B">
            <w:pPr>
              <w:spacing w:after="120"/>
              <w:jc w:val="both"/>
              <w:rPr>
                <w:sz w:val="22"/>
                <w:szCs w:val="22"/>
              </w:rPr>
            </w:pPr>
            <w:r w:rsidRPr="00A65F14">
              <w:rPr>
                <w:sz w:val="22"/>
                <w:szCs w:val="22"/>
              </w:rPr>
              <w:t>L’avis de la commission article 12 du RGCC tel qu’adapté aux CPAS</w:t>
            </w:r>
          </w:p>
        </w:tc>
      </w:tr>
      <w:tr w:rsidR="00651F9B" w:rsidRPr="00651F9B" w14:paraId="6CA5FD00" w14:textId="77777777" w:rsidTr="00B44836">
        <w:trPr>
          <w:trHeight w:hRule="exact" w:val="581"/>
        </w:trPr>
        <w:tc>
          <w:tcPr>
            <w:tcW w:w="709" w:type="dxa"/>
            <w:tcBorders>
              <w:top w:val="single" w:sz="4" w:space="0" w:color="000000"/>
              <w:left w:val="single" w:sz="4" w:space="0" w:color="000000"/>
              <w:bottom w:val="single" w:sz="4" w:space="0" w:color="000000"/>
              <w:right w:val="single" w:sz="4" w:space="0" w:color="000000"/>
            </w:tcBorders>
            <w:hideMark/>
          </w:tcPr>
          <w:p w14:paraId="4E7D78D5" w14:textId="77777777" w:rsidR="00651F9B" w:rsidRPr="00A65F14" w:rsidRDefault="00651F9B" w:rsidP="00651F9B">
            <w:pPr>
              <w:spacing w:after="120"/>
              <w:jc w:val="both"/>
              <w:rPr>
                <w:sz w:val="22"/>
                <w:szCs w:val="22"/>
              </w:rPr>
            </w:pPr>
            <w:r w:rsidRPr="00A65F14">
              <w:rPr>
                <w:sz w:val="22"/>
                <w:szCs w:val="22"/>
              </w:rPr>
              <w:t>5</w:t>
            </w:r>
          </w:p>
        </w:tc>
        <w:tc>
          <w:tcPr>
            <w:tcW w:w="9497" w:type="dxa"/>
            <w:tcBorders>
              <w:top w:val="single" w:sz="4" w:space="0" w:color="000000"/>
              <w:left w:val="single" w:sz="4" w:space="0" w:color="000000"/>
              <w:bottom w:val="single" w:sz="4" w:space="0" w:color="000000"/>
              <w:right w:val="single" w:sz="4" w:space="0" w:color="000000"/>
            </w:tcBorders>
            <w:hideMark/>
          </w:tcPr>
          <w:p w14:paraId="3E9170ED" w14:textId="77777777" w:rsidR="00651F9B" w:rsidRPr="00A65F14" w:rsidRDefault="00651F9B" w:rsidP="00651F9B">
            <w:pPr>
              <w:spacing w:after="120"/>
              <w:jc w:val="both"/>
              <w:rPr>
                <w:sz w:val="22"/>
                <w:szCs w:val="22"/>
              </w:rPr>
            </w:pPr>
            <w:r w:rsidRPr="00A65F14">
              <w:rPr>
                <w:sz w:val="22"/>
                <w:szCs w:val="22"/>
              </w:rPr>
              <w:t>Le procès-verbal de la réunion du comité de concertation (art 26 §2 de la loi organique) uniquement lorsque la dotation communale au CPAS est majorée.</w:t>
            </w:r>
          </w:p>
        </w:tc>
      </w:tr>
      <w:tr w:rsidR="00651F9B" w:rsidRPr="00651F9B" w14:paraId="03C03377"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36E7DF16" w14:textId="77777777" w:rsidR="00651F9B" w:rsidRPr="00A65F14" w:rsidRDefault="00651F9B" w:rsidP="00651F9B">
            <w:pPr>
              <w:spacing w:after="120"/>
              <w:jc w:val="both"/>
              <w:rPr>
                <w:sz w:val="22"/>
                <w:szCs w:val="22"/>
              </w:rPr>
            </w:pPr>
            <w:r w:rsidRPr="00A65F14">
              <w:rPr>
                <w:sz w:val="22"/>
                <w:szCs w:val="22"/>
              </w:rPr>
              <w:t>6</w:t>
            </w:r>
          </w:p>
        </w:tc>
        <w:tc>
          <w:tcPr>
            <w:tcW w:w="9497" w:type="dxa"/>
            <w:tcBorders>
              <w:top w:val="single" w:sz="4" w:space="0" w:color="000000"/>
              <w:left w:val="single" w:sz="4" w:space="0" w:color="000000"/>
              <w:bottom w:val="single" w:sz="4" w:space="0" w:color="000000"/>
              <w:right w:val="single" w:sz="4" w:space="0" w:color="000000"/>
            </w:tcBorders>
            <w:hideMark/>
          </w:tcPr>
          <w:p w14:paraId="78663305" w14:textId="7505A3CE" w:rsidR="00651F9B" w:rsidRPr="00A65F14" w:rsidRDefault="00651F9B" w:rsidP="00651F9B">
            <w:pPr>
              <w:spacing w:after="120"/>
              <w:jc w:val="both"/>
              <w:rPr>
                <w:sz w:val="22"/>
                <w:szCs w:val="22"/>
              </w:rPr>
            </w:pPr>
            <w:r w:rsidRPr="00A65F14">
              <w:rPr>
                <w:sz w:val="22"/>
                <w:szCs w:val="22"/>
              </w:rPr>
              <w:t>La preuve de la transmission des documents budgétaires au directeur financier</w:t>
            </w:r>
            <w:r w:rsidR="00B942AC">
              <w:rPr>
                <w:sz w:val="22"/>
                <w:szCs w:val="22"/>
              </w:rPr>
              <w:t xml:space="preserve"> </w:t>
            </w:r>
            <w:r w:rsidR="00B942AC" w:rsidRPr="00681CF5">
              <w:rPr>
                <w:sz w:val="22"/>
                <w:szCs w:val="22"/>
              </w:rPr>
              <w:t>(si non établis par lui)</w:t>
            </w:r>
          </w:p>
        </w:tc>
      </w:tr>
      <w:tr w:rsidR="00651F9B" w:rsidRPr="00651F9B" w14:paraId="654895B4"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7F831E63" w14:textId="77777777" w:rsidR="00651F9B" w:rsidRPr="00A65F14" w:rsidRDefault="00651F9B" w:rsidP="00651F9B">
            <w:pPr>
              <w:spacing w:after="120"/>
              <w:jc w:val="both"/>
              <w:rPr>
                <w:sz w:val="22"/>
                <w:szCs w:val="22"/>
              </w:rPr>
            </w:pPr>
            <w:r w:rsidRPr="00A65F14">
              <w:rPr>
                <w:sz w:val="22"/>
                <w:szCs w:val="22"/>
              </w:rPr>
              <w:t>7</w:t>
            </w:r>
          </w:p>
        </w:tc>
        <w:tc>
          <w:tcPr>
            <w:tcW w:w="9497" w:type="dxa"/>
            <w:tcBorders>
              <w:top w:val="single" w:sz="4" w:space="0" w:color="000000"/>
              <w:left w:val="single" w:sz="4" w:space="0" w:color="000000"/>
              <w:bottom w:val="single" w:sz="4" w:space="0" w:color="000000"/>
              <w:right w:val="single" w:sz="4" w:space="0" w:color="000000"/>
            </w:tcBorders>
            <w:hideMark/>
          </w:tcPr>
          <w:p w14:paraId="6431CB13" w14:textId="77777777" w:rsidR="00651F9B" w:rsidRPr="00A65F14" w:rsidRDefault="00651F9B" w:rsidP="00651F9B">
            <w:pPr>
              <w:spacing w:after="120"/>
              <w:jc w:val="both"/>
              <w:rPr>
                <w:sz w:val="22"/>
                <w:szCs w:val="22"/>
              </w:rPr>
            </w:pPr>
            <w:r w:rsidRPr="00A65F14">
              <w:rPr>
                <w:sz w:val="22"/>
                <w:szCs w:val="22"/>
              </w:rPr>
              <w:t>Quand il existe, l’avis du directeur financier rendu en application de l’article 46 de la loi organique</w:t>
            </w:r>
          </w:p>
        </w:tc>
      </w:tr>
      <w:tr w:rsidR="00651F9B" w:rsidRPr="00651F9B" w14:paraId="402445A4" w14:textId="77777777" w:rsidTr="00B44836">
        <w:trPr>
          <w:trHeight w:hRule="exact" w:val="624"/>
        </w:trPr>
        <w:tc>
          <w:tcPr>
            <w:tcW w:w="709" w:type="dxa"/>
            <w:tcBorders>
              <w:top w:val="single" w:sz="4" w:space="0" w:color="000000"/>
              <w:left w:val="single" w:sz="4" w:space="0" w:color="000000"/>
              <w:bottom w:val="single" w:sz="4" w:space="0" w:color="000000"/>
              <w:right w:val="single" w:sz="4" w:space="0" w:color="000000"/>
            </w:tcBorders>
            <w:hideMark/>
          </w:tcPr>
          <w:p w14:paraId="2CA4199F" w14:textId="77777777" w:rsidR="00651F9B" w:rsidRPr="00A65F14" w:rsidRDefault="00651F9B" w:rsidP="00651F9B">
            <w:pPr>
              <w:spacing w:after="120"/>
              <w:jc w:val="both"/>
              <w:rPr>
                <w:sz w:val="22"/>
                <w:szCs w:val="22"/>
              </w:rPr>
            </w:pPr>
            <w:r w:rsidRPr="00A65F14">
              <w:rPr>
                <w:sz w:val="22"/>
                <w:szCs w:val="22"/>
              </w:rPr>
              <w:t>8</w:t>
            </w:r>
          </w:p>
        </w:tc>
        <w:tc>
          <w:tcPr>
            <w:tcW w:w="9497" w:type="dxa"/>
            <w:tcBorders>
              <w:top w:val="single" w:sz="4" w:space="0" w:color="000000"/>
              <w:left w:val="single" w:sz="4" w:space="0" w:color="000000"/>
              <w:bottom w:val="single" w:sz="4" w:space="0" w:color="000000"/>
              <w:right w:val="single" w:sz="4" w:space="0" w:color="000000"/>
            </w:tcBorders>
            <w:hideMark/>
          </w:tcPr>
          <w:p w14:paraId="2E77AC93" w14:textId="5C067DA2" w:rsidR="00651F9B" w:rsidRPr="00A65F14" w:rsidRDefault="00651F9B" w:rsidP="00651F9B">
            <w:pPr>
              <w:spacing w:after="120"/>
              <w:jc w:val="both"/>
              <w:rPr>
                <w:sz w:val="22"/>
                <w:szCs w:val="22"/>
              </w:rPr>
            </w:pPr>
            <w:r w:rsidRPr="00A65F14">
              <w:rPr>
                <w:sz w:val="22"/>
                <w:szCs w:val="22"/>
              </w:rPr>
              <w:t>La preuve de la communication aux organisations syndicales des documents budgétaires et</w:t>
            </w:r>
            <w:r w:rsidR="007E35CE">
              <w:rPr>
                <w:sz w:val="22"/>
                <w:szCs w:val="22"/>
              </w:rPr>
              <w:t xml:space="preserve"> la certification que, </w:t>
            </w:r>
            <w:r w:rsidRPr="00A65F14">
              <w:rPr>
                <w:sz w:val="22"/>
                <w:szCs w:val="22"/>
              </w:rPr>
              <w:t>si ces organisations en ont fait la demande, une réunion d’information</w:t>
            </w:r>
            <w:r w:rsidR="007E35CE">
              <w:rPr>
                <w:sz w:val="22"/>
                <w:szCs w:val="22"/>
              </w:rPr>
              <w:t xml:space="preserve"> sera tenue.</w:t>
            </w:r>
          </w:p>
        </w:tc>
      </w:tr>
    </w:tbl>
    <w:p w14:paraId="43C5F30A" w14:textId="6A67B573" w:rsidR="00E943C9" w:rsidRPr="00256E9F" w:rsidRDefault="00E943C9" w:rsidP="00256E9F">
      <w:pPr>
        <w:jc w:val="both"/>
        <w:rPr>
          <w:sz w:val="10"/>
          <w:szCs w:val="10"/>
        </w:rPr>
      </w:pPr>
    </w:p>
    <w:p w14:paraId="7AB14FAF" w14:textId="6D1C1ED2" w:rsidR="00651F9B" w:rsidRDefault="00651F9B" w:rsidP="00651F9B">
      <w:pPr>
        <w:spacing w:after="120"/>
        <w:jc w:val="both"/>
      </w:pPr>
      <w:r>
        <w:t>Les pièces justificatives à joindre aux comptes sont quant à elles fixées par la circulaire du 21 janvier 2019.</w:t>
      </w:r>
    </w:p>
    <w:p w14:paraId="6AD755A6" w14:textId="77777777" w:rsidR="008C5E39" w:rsidRDefault="008C5E39" w:rsidP="00651F9B">
      <w:pPr>
        <w:spacing w:after="120"/>
        <w:jc w:val="both"/>
      </w:pPr>
    </w:p>
    <w:p w14:paraId="75CF7E0A" w14:textId="77777777" w:rsidR="00651F9B" w:rsidRPr="00A65F14" w:rsidRDefault="00651F9B" w:rsidP="00651F9B">
      <w:pPr>
        <w:spacing w:after="120"/>
        <w:jc w:val="both"/>
        <w:rPr>
          <w:b/>
          <w:bCs/>
        </w:rPr>
      </w:pPr>
      <w:r w:rsidRPr="00A65F14">
        <w:rPr>
          <w:b/>
          <w:bCs/>
        </w:rPr>
        <w:t>h)</w:t>
      </w:r>
      <w:r w:rsidRPr="00A65F14">
        <w:rPr>
          <w:b/>
          <w:bCs/>
        </w:rPr>
        <w:tab/>
      </w:r>
      <w:r w:rsidRPr="00A65F14">
        <w:rPr>
          <w:b/>
          <w:bCs/>
          <w:u w:val="single"/>
        </w:rPr>
        <w:t>Plan de gestion</w:t>
      </w:r>
    </w:p>
    <w:p w14:paraId="48C4EE48" w14:textId="61FDA8C7" w:rsidR="00651F9B" w:rsidRPr="00A65F14" w:rsidRDefault="00651F9B" w:rsidP="00576EF5">
      <w:pPr>
        <w:jc w:val="both"/>
      </w:pPr>
      <w:r w:rsidRPr="00B416C4">
        <w:t>Concerne : les Communes mais également leurs CPAS, en tant qu’entités consolidées</w:t>
      </w:r>
      <w:r w:rsidR="008C5E39">
        <w:t>.</w:t>
      </w:r>
    </w:p>
    <w:p w14:paraId="5CE2934B" w14:textId="7B0182DB" w:rsidR="00AB4B32" w:rsidRPr="00AB4B32" w:rsidRDefault="00AB4B32" w:rsidP="00A65F14">
      <w:pPr>
        <w:spacing w:after="240"/>
        <w:jc w:val="both"/>
      </w:pPr>
      <w:r w:rsidRPr="00A65F14">
        <w:t>Je vous renvoie à la circulaire spécifique.</w:t>
      </w:r>
    </w:p>
    <w:p w14:paraId="7BFAF4D4" w14:textId="20F7E651" w:rsidR="00E943C9" w:rsidRPr="00681CF5" w:rsidRDefault="009874FD" w:rsidP="00FD009B">
      <w:pPr>
        <w:spacing w:after="120"/>
        <w:jc w:val="both"/>
        <w:rPr>
          <w:b/>
          <w:bCs/>
          <w:u w:val="single"/>
        </w:rPr>
      </w:pPr>
      <w:r w:rsidRPr="00681CF5">
        <w:rPr>
          <w:b/>
          <w:bCs/>
        </w:rPr>
        <w:t xml:space="preserve">i) </w:t>
      </w:r>
      <w:r w:rsidRPr="00681CF5">
        <w:rPr>
          <w:b/>
          <w:bCs/>
        </w:rPr>
        <w:tab/>
      </w:r>
      <w:r w:rsidRPr="00681CF5">
        <w:rPr>
          <w:b/>
          <w:bCs/>
          <w:u w:val="single"/>
        </w:rPr>
        <w:t>Subventions et aides régionales spécifique</w:t>
      </w:r>
    </w:p>
    <w:p w14:paraId="21119928" w14:textId="157F4E2C" w:rsidR="00E943C9" w:rsidRDefault="009874FD" w:rsidP="00E943C9">
      <w:pPr>
        <w:spacing w:after="120"/>
        <w:jc w:val="both"/>
      </w:pPr>
      <w:r w:rsidRPr="00681CF5">
        <w:t xml:space="preserve">Une attention particulière doit être apportée aux subventions et aides spécifiques accordées par la Région dans le cadre de politiques ou de situations particulières. Il y a lieu en effet lieu de garantir leurs moyens et effets </w:t>
      </w:r>
      <w:r w:rsidR="006A11AF" w:rsidRPr="00681CF5">
        <w:t xml:space="preserve">au sein du CPAS </w:t>
      </w:r>
      <w:r w:rsidRPr="00681CF5">
        <w:t>sauf à réduire à néant les objectifs de la Région.</w:t>
      </w:r>
    </w:p>
    <w:p w14:paraId="514C7EC4" w14:textId="77777777" w:rsidR="009874FD" w:rsidRDefault="009874FD" w:rsidP="00256E9F">
      <w:pPr>
        <w:jc w:val="both"/>
      </w:pPr>
    </w:p>
    <w:p w14:paraId="578356B0" w14:textId="485F4415" w:rsidR="004A2669" w:rsidRPr="001E1353" w:rsidRDefault="00CB7ADD" w:rsidP="00256E9F">
      <w:pPr>
        <w:pStyle w:val="Sam3"/>
      </w:pPr>
      <w:bookmarkStart w:id="2104" w:name="_Toc74557600"/>
      <w:r>
        <w:t xml:space="preserve">IV.3.2 </w:t>
      </w:r>
      <w:bookmarkStart w:id="2105" w:name="_Toc516838550"/>
      <w:bookmarkStart w:id="2106" w:name="_Toc516839110"/>
      <w:bookmarkStart w:id="2107" w:name="_Toc517173206"/>
      <w:bookmarkStart w:id="2108" w:name="_Toc517174880"/>
      <w:bookmarkStart w:id="2109" w:name="_Toc517175467"/>
      <w:bookmarkStart w:id="2110" w:name="_Toc517176055"/>
      <w:bookmarkStart w:id="2111" w:name="_Toc517337377"/>
      <w:bookmarkStart w:id="2112" w:name="_Toc517360172"/>
      <w:bookmarkStart w:id="2113" w:name="_Toc516837433"/>
      <w:bookmarkStart w:id="2114" w:name="_Toc516837992"/>
      <w:bookmarkStart w:id="2115" w:name="_Toc516838551"/>
      <w:bookmarkStart w:id="2116" w:name="_Toc516839111"/>
      <w:bookmarkStart w:id="2117" w:name="_Toc517173207"/>
      <w:bookmarkStart w:id="2118" w:name="_Toc517174881"/>
      <w:bookmarkStart w:id="2119" w:name="_Toc517175468"/>
      <w:bookmarkStart w:id="2120" w:name="_Toc517176056"/>
      <w:bookmarkStart w:id="2121" w:name="_Toc517337378"/>
      <w:bookmarkStart w:id="2122" w:name="_Toc517360173"/>
      <w:bookmarkStart w:id="2123" w:name="_Toc516825556"/>
      <w:bookmarkStart w:id="2124" w:name="_Toc516826114"/>
      <w:bookmarkStart w:id="2125" w:name="_Toc516837434"/>
      <w:bookmarkStart w:id="2126" w:name="_Toc516837993"/>
      <w:bookmarkStart w:id="2127" w:name="_Toc516838552"/>
      <w:bookmarkStart w:id="2128" w:name="_Toc516839112"/>
      <w:bookmarkStart w:id="2129" w:name="_Toc517173208"/>
      <w:bookmarkStart w:id="2130" w:name="_Toc517174882"/>
      <w:bookmarkStart w:id="2131" w:name="_Toc517175469"/>
      <w:bookmarkStart w:id="2132" w:name="_Toc517176057"/>
      <w:bookmarkStart w:id="2133" w:name="_Toc517337379"/>
      <w:bookmarkStart w:id="2134" w:name="_Toc517360174"/>
      <w:bookmarkStart w:id="2135" w:name="_Toc516838553"/>
      <w:bookmarkStart w:id="2136" w:name="_Toc516839113"/>
      <w:bookmarkStart w:id="2137" w:name="_Toc517173209"/>
      <w:bookmarkStart w:id="2138" w:name="_Toc517174883"/>
      <w:bookmarkStart w:id="2139" w:name="_Toc517175470"/>
      <w:bookmarkStart w:id="2140" w:name="_Toc517176058"/>
      <w:bookmarkStart w:id="2141" w:name="_Toc517337380"/>
      <w:bookmarkStart w:id="2142" w:name="_Toc517360175"/>
      <w:bookmarkStart w:id="2143" w:name="_Toc516825558"/>
      <w:bookmarkStart w:id="2144" w:name="_Toc516826116"/>
      <w:bookmarkStart w:id="2145" w:name="_Toc516837436"/>
      <w:bookmarkStart w:id="2146" w:name="_Toc516837995"/>
      <w:bookmarkStart w:id="2147" w:name="_Toc516838554"/>
      <w:bookmarkStart w:id="2148" w:name="_Toc516839114"/>
      <w:bookmarkStart w:id="2149" w:name="_Toc517173210"/>
      <w:bookmarkStart w:id="2150" w:name="_Toc517174884"/>
      <w:bookmarkStart w:id="2151" w:name="_Toc517175471"/>
      <w:bookmarkStart w:id="2152" w:name="_Toc517176059"/>
      <w:bookmarkStart w:id="2153" w:name="_Toc517337381"/>
      <w:bookmarkStart w:id="2154" w:name="_Toc517360176"/>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004A2669" w:rsidRPr="001E1353">
        <w:t>Hôpitaux publics, Maisons de repos et MRS</w:t>
      </w:r>
      <w:bookmarkEnd w:id="2104"/>
    </w:p>
    <w:p w14:paraId="64A17BE5" w14:textId="59774092" w:rsidR="004A2669" w:rsidRDefault="004A2669" w:rsidP="004A2669">
      <w:pPr>
        <w:jc w:val="both"/>
      </w:pPr>
      <w:r w:rsidRPr="001E1353">
        <w:t xml:space="preserve">Au vu </w:t>
      </w:r>
      <w:r w:rsidR="00C7677A" w:rsidRPr="00ED2CF5">
        <w:t>de</w:t>
      </w:r>
      <w:r w:rsidRPr="001E1353">
        <w:t xml:space="preserve"> l'évolution du financement des soins de santé et du transfert de compétences, une attention particulière doit être apportée à la situation financière des institutions hospitalières et assuran</w:t>
      </w:r>
      <w:r w:rsidR="00C7677A" w:rsidRPr="00ED2CF5">
        <w:t>t</w:t>
      </w:r>
      <w:r w:rsidRPr="001E1353">
        <w:t xml:space="preserve"> l'accueil e</w:t>
      </w:r>
      <w:r w:rsidR="00C7677A" w:rsidRPr="00ED2CF5">
        <w:t>t</w:t>
      </w:r>
      <w:r w:rsidRPr="001E1353">
        <w:t xml:space="preserve"> l'hébergement des personnes âgées, en particulier en ce qui concerne le respect de l’équilibre budgétaire et des charges liées aux investissements.</w:t>
      </w:r>
    </w:p>
    <w:p w14:paraId="2B3DCEB8" w14:textId="77777777" w:rsidR="00A62E25" w:rsidRPr="001E1353" w:rsidRDefault="00A62E25" w:rsidP="004A2669">
      <w:pPr>
        <w:jc w:val="both"/>
      </w:pPr>
    </w:p>
    <w:p w14:paraId="221AF7DB" w14:textId="43066294" w:rsidR="004A2669" w:rsidRPr="001E1353" w:rsidRDefault="00CB7ADD" w:rsidP="00256E9F">
      <w:pPr>
        <w:pStyle w:val="Sam3"/>
      </w:pPr>
      <w:bookmarkStart w:id="2155" w:name="_Toc74557601"/>
      <w:r>
        <w:t xml:space="preserve">IV.3.3 </w:t>
      </w:r>
      <w:r w:rsidR="004A2669" w:rsidRPr="001E1353">
        <w:t>Zones de police</w:t>
      </w:r>
      <w:bookmarkEnd w:id="2155"/>
    </w:p>
    <w:p w14:paraId="7FA3431A" w14:textId="77777777" w:rsidR="003B03FE" w:rsidRPr="001E1353" w:rsidRDefault="004A2669" w:rsidP="008D7EB7">
      <w:pPr>
        <w:spacing w:after="120"/>
        <w:jc w:val="both"/>
      </w:pPr>
      <w:r w:rsidRPr="001E1353">
        <w:t>Au regard de la loi du 7 décembre 1998 organisant un service de police intégré, structuré à deux niveaux, les zones ne peuvent être mises en déficit global, les dotations communales doivent y suppléer. Ce qui implique que les problèmes financiers des zones sont indirectement reportés sur les dotations communales et donc sur les finances des communes qui les composent.</w:t>
      </w:r>
      <w:r w:rsidR="003B03FE">
        <w:t xml:space="preserve"> </w:t>
      </w:r>
    </w:p>
    <w:p w14:paraId="30466E89" w14:textId="50C6CA4E" w:rsidR="004A2669" w:rsidRPr="001E1353" w:rsidRDefault="004A2669" w:rsidP="008D7EB7">
      <w:pPr>
        <w:spacing w:after="120"/>
        <w:jc w:val="both"/>
      </w:pPr>
      <w:r w:rsidRPr="001E1353">
        <w:t>Ainsi, je tiens à insister sur l'importance de prendre une délibération propre à la dotation communale à destination de votre zone de police.</w:t>
      </w:r>
    </w:p>
    <w:p w14:paraId="4E2C38E8" w14:textId="07DE67C6" w:rsidR="007F02CC" w:rsidRDefault="002E1116" w:rsidP="008D7EB7">
      <w:pPr>
        <w:spacing w:after="120"/>
        <w:jc w:val="both"/>
      </w:pPr>
      <w:bookmarkStart w:id="2156" w:name="_Hlk41560525"/>
      <w:r>
        <w:t>Je rappelle aussi que</w:t>
      </w:r>
      <w:r w:rsidR="004A2669" w:rsidRPr="001E1353">
        <w:t xml:space="preserve"> l'affectation des bonis éventuels apparaissant aux comptes des zones de police</w:t>
      </w:r>
      <w:r>
        <w:t xml:space="preserve"> </w:t>
      </w:r>
      <w:r w:rsidR="004A2669" w:rsidRPr="001E1353">
        <w:t>doivent être affectés prioritairement, soit à la diminution des dotations communales, soit à la création de réserves destinées à des projets spécifiques et permettant de faire face à des dépenses ultérieures</w:t>
      </w:r>
      <w:r w:rsidR="007F02CC">
        <w:t>.</w:t>
      </w:r>
      <w:bookmarkEnd w:id="2156"/>
    </w:p>
    <w:p w14:paraId="746C36D3" w14:textId="02518498" w:rsidR="002A1B92" w:rsidRDefault="004A2669" w:rsidP="0018039E">
      <w:pPr>
        <w:jc w:val="both"/>
      </w:pPr>
      <w:r w:rsidRPr="001E1353">
        <w:t xml:space="preserve">Je vous recommande </w:t>
      </w:r>
      <w:r w:rsidR="004340EA">
        <w:t>en outre</w:t>
      </w:r>
      <w:r w:rsidR="004340EA" w:rsidRPr="001E1353">
        <w:t xml:space="preserve"> </w:t>
      </w:r>
      <w:r w:rsidRPr="001E1353">
        <w:t xml:space="preserve">de mettre à l'ordre du jour du Conseil communal durant lequel la dotation sera votée, un point relatif à la politique de sécurité afin de débattre des problèmes sécuritaires propres à votre commune notamment dans la perspective du plan zonal de sécurité. </w:t>
      </w:r>
    </w:p>
    <w:p w14:paraId="0C586B07" w14:textId="370E9AAD" w:rsidR="006843B9" w:rsidRPr="0018039E" w:rsidRDefault="006843B9" w:rsidP="0018039E">
      <w:pPr>
        <w:jc w:val="both"/>
        <w:rPr>
          <w:sz w:val="10"/>
          <w:szCs w:val="10"/>
        </w:rPr>
      </w:pPr>
    </w:p>
    <w:p w14:paraId="4650B2FC" w14:textId="4AAE95E5" w:rsidR="006843B9" w:rsidRPr="0018039E" w:rsidRDefault="006843B9" w:rsidP="0018039E">
      <w:pPr>
        <w:jc w:val="both"/>
        <w:rPr>
          <w:sz w:val="10"/>
          <w:szCs w:val="10"/>
        </w:rPr>
      </w:pPr>
    </w:p>
    <w:p w14:paraId="26B93D59" w14:textId="77777777" w:rsidR="006843B9" w:rsidRPr="0018039E" w:rsidRDefault="006843B9" w:rsidP="008D7EB7">
      <w:pPr>
        <w:spacing w:after="120"/>
        <w:jc w:val="both"/>
        <w:rPr>
          <w:sz w:val="10"/>
          <w:szCs w:val="10"/>
        </w:rPr>
      </w:pPr>
    </w:p>
    <w:p w14:paraId="2DD4301A" w14:textId="2890FE83" w:rsidR="00403D86" w:rsidRDefault="00CB7ADD" w:rsidP="00256E9F">
      <w:pPr>
        <w:pStyle w:val="Sam3"/>
      </w:pPr>
      <w:bookmarkStart w:id="2157" w:name="_Toc518562707"/>
      <w:bookmarkStart w:id="2158" w:name="_Toc74557602"/>
      <w:bookmarkEnd w:id="2157"/>
      <w:r>
        <w:t xml:space="preserve">IV.3.4 </w:t>
      </w:r>
      <w:r w:rsidR="00403D86">
        <w:t>Zones de secours</w:t>
      </w:r>
      <w:bookmarkEnd w:id="2158"/>
    </w:p>
    <w:p w14:paraId="40461D4D" w14:textId="4DF57950" w:rsidR="00403D86" w:rsidRDefault="00403D86" w:rsidP="008D7EB7">
      <w:pPr>
        <w:spacing w:after="120"/>
        <w:jc w:val="both"/>
      </w:pPr>
      <w:r w:rsidRPr="001E1353">
        <w:t xml:space="preserve">La réforme de la sécurité civile est entrée pleinement en vigueur au </w:t>
      </w:r>
      <w:r w:rsidR="00972873">
        <w:t>1</w:t>
      </w:r>
      <w:r w:rsidR="00972873" w:rsidRPr="008D7EB7">
        <w:rPr>
          <w:vertAlign w:val="superscript"/>
        </w:rPr>
        <w:t>er</w:t>
      </w:r>
      <w:r w:rsidR="00972873">
        <w:t xml:space="preserve"> </w:t>
      </w:r>
      <w:r w:rsidRPr="001E1353">
        <w:t xml:space="preserve">janvier 2016. </w:t>
      </w:r>
    </w:p>
    <w:p w14:paraId="44074EE7" w14:textId="7CB2EB8C" w:rsidR="004E4E8D" w:rsidRPr="001E1353" w:rsidRDefault="004E4E8D" w:rsidP="008D7EB7">
      <w:pPr>
        <w:spacing w:after="120"/>
        <w:jc w:val="both"/>
      </w:pPr>
      <w:r w:rsidRPr="00ED2CF5">
        <w:t xml:space="preserve">Pour rappel, il convient de ne rien supprimer de l’historique de la fonction Pompiers dans le budget communal, en ce qui concerne les crédits prévus </w:t>
      </w:r>
      <w:r w:rsidR="009324D4" w:rsidRPr="00ED2CF5">
        <w:t>antérieurement ou réalisés au</w:t>
      </w:r>
      <w:r w:rsidR="00972873">
        <w:t>x</w:t>
      </w:r>
      <w:r w:rsidR="009324D4" w:rsidRPr="00ED2CF5">
        <w:t xml:space="preserve"> comptes de la commune, ce</w:t>
      </w:r>
      <w:r w:rsidR="00B570C7" w:rsidRPr="008D7EB7">
        <w:t>ci</w:t>
      </w:r>
      <w:r w:rsidR="009324D4" w:rsidRPr="00ED2CF5">
        <w:t xml:space="preserve"> tant pour des motifs d’historique/de comparaisons que pour permettre l’inscription future d’arriérés ou autres crédits nécessités par les circonstances (même si </w:t>
      </w:r>
      <w:r w:rsidR="00BD766A" w:rsidRPr="008D7EB7">
        <w:t xml:space="preserve">l’essentiel </w:t>
      </w:r>
      <w:r w:rsidR="009324D4" w:rsidRPr="00ED2CF5">
        <w:t>des crédits sera concentré dans la dotation annuelle, comme pour les zones de police).</w:t>
      </w:r>
    </w:p>
    <w:p w14:paraId="704C4C6E" w14:textId="77CE2D99" w:rsidR="00403D86" w:rsidRDefault="00403D86" w:rsidP="008D7EB7">
      <w:pPr>
        <w:spacing w:after="120"/>
        <w:jc w:val="both"/>
      </w:pPr>
      <w:r w:rsidRPr="001E1353">
        <w:t xml:space="preserve">Il conviendra que </w:t>
      </w:r>
      <w:r w:rsidRPr="000700AE">
        <w:t xml:space="preserve">les </w:t>
      </w:r>
      <w:r w:rsidRPr="008D7EB7">
        <w:t xml:space="preserve">communes protégées </w:t>
      </w:r>
      <w:r w:rsidRPr="001E1353">
        <w:t xml:space="preserve">prévoient les montants qu'elles seront amenées à verser dès que les arrêtés de répartition des frais admissibles auront été pris (avances et solde). A défaut d'information, la prévision à inscrire au budget </w:t>
      </w:r>
      <w:r w:rsidR="003F0063">
        <w:t xml:space="preserve">2022 </w:t>
      </w:r>
      <w:r w:rsidRPr="001E1353">
        <w:t>correspondra aux derniers montants versés, tout en tenant compte de la date de création de la Zone.</w:t>
      </w:r>
    </w:p>
    <w:p w14:paraId="057D5FBE" w14:textId="77777777" w:rsidR="00403D86" w:rsidRPr="001E1353" w:rsidRDefault="00403D86" w:rsidP="008D7EB7">
      <w:pPr>
        <w:spacing w:after="120"/>
        <w:jc w:val="both"/>
      </w:pPr>
      <w:r w:rsidRPr="001E1353">
        <w:t xml:space="preserve">De même, les </w:t>
      </w:r>
      <w:r w:rsidRPr="008D7EB7">
        <w:t xml:space="preserve">communes-centre </w:t>
      </w:r>
      <w:r w:rsidRPr="001E1353">
        <w:t>pourront prévoir l'inscription des montants restant dus en tenant compte de la méthode d'inscription des recettes lors des exercices précédents et des arrêtés restant à prendre pour la fixation des quotes-parts définitives.</w:t>
      </w:r>
    </w:p>
    <w:p w14:paraId="5291D14E" w14:textId="4ECF4007" w:rsidR="00403D86" w:rsidRDefault="00403D86" w:rsidP="008D7EB7">
      <w:pPr>
        <w:spacing w:after="120"/>
        <w:jc w:val="both"/>
      </w:pPr>
      <w:r w:rsidRPr="001E1353">
        <w:t xml:space="preserve">Une attention particulière doit être apportée à la situation financière et à la maitrise des dépenses des zones de secours. </w:t>
      </w:r>
    </w:p>
    <w:p w14:paraId="7FD83464" w14:textId="75CD5A34" w:rsidR="009F639A" w:rsidRPr="001E1353" w:rsidRDefault="009F639A" w:rsidP="008D7EB7">
      <w:pPr>
        <w:spacing w:after="120"/>
        <w:jc w:val="both"/>
      </w:pPr>
      <w:r w:rsidRPr="00FA20D6">
        <w:t xml:space="preserve">Je rappelle aussi que l'affectation des bonis éventuels apparaissant aux comptes des zones de secours doivent être affectés prioritairement, soit à la diminution des dotations communales, soit à la création de réserves destinées à des projets spécifiques et permettant de faire face à des dépenses ultérieures. </w:t>
      </w:r>
    </w:p>
    <w:p w14:paraId="4ACDF473" w14:textId="0D5D1559" w:rsidR="00A4094E" w:rsidRDefault="00403D86" w:rsidP="008D7EB7">
      <w:pPr>
        <w:spacing w:after="120"/>
        <w:jc w:val="both"/>
      </w:pPr>
      <w:r w:rsidRPr="001E1353">
        <w:t>Dans le cadre du Partenariat Provinces-Communes pour les Zones de secours,</w:t>
      </w:r>
      <w:r w:rsidRPr="008D7EB7">
        <w:t xml:space="preserve"> </w:t>
      </w:r>
      <w:r w:rsidRPr="001E1353">
        <w:t>les Communes inscriront à l’exercice propre le montant versé par la Province sur un article budgétaire 35155/465-48</w:t>
      </w:r>
      <w:r w:rsidR="003F0063">
        <w:t xml:space="preserve"> </w:t>
      </w:r>
      <w:r w:rsidRPr="001E1353">
        <w:t>en tant que recette ordinaire de transfert.</w:t>
      </w:r>
      <w:r w:rsidR="00AB64A9">
        <w:t xml:space="preserve"> </w:t>
      </w:r>
    </w:p>
    <w:p w14:paraId="025DA9DC" w14:textId="4257831E" w:rsidR="00403D86" w:rsidRDefault="00AB64A9" w:rsidP="008D7EB7">
      <w:pPr>
        <w:spacing w:after="120"/>
        <w:jc w:val="both"/>
      </w:pPr>
      <w:r w:rsidRPr="00ED2CF5">
        <w:t>La dépense sera inscrite sur l’article 35155/435-01.</w:t>
      </w:r>
      <w:r>
        <w:t xml:space="preserve"> </w:t>
      </w:r>
    </w:p>
    <w:p w14:paraId="2B051DE1" w14:textId="4E5C16DC" w:rsidR="008C5E39" w:rsidRDefault="004E4E41" w:rsidP="008D7EB7">
      <w:pPr>
        <w:spacing w:after="120"/>
        <w:jc w:val="both"/>
      </w:pPr>
      <w:bookmarkStart w:id="2159" w:name="_Hlk75958700"/>
      <w:bookmarkStart w:id="2160" w:name="_Hlk38542399"/>
      <w:r>
        <w:lastRenderedPageBreak/>
        <w:t>V</w:t>
      </w:r>
      <w:r w:rsidR="007B26ED" w:rsidRPr="00C11B18">
        <w:t xml:space="preserve">otre participation aux zones de secours est </w:t>
      </w:r>
      <w:r w:rsidR="007B26ED" w:rsidRPr="008B09B0">
        <w:t>réduite d</w:t>
      </w:r>
      <w:r w:rsidR="00F81BD2">
        <w:t>’un montant</w:t>
      </w:r>
      <w:r w:rsidR="007B26ED" w:rsidRPr="008B09B0">
        <w:t xml:space="preserve"> pris en charge par les provinces</w:t>
      </w:r>
      <w:r w:rsidR="00F81BD2">
        <w:t>, conformément aux décisions du Gouvernement</w:t>
      </w:r>
      <w:r w:rsidR="007B26ED" w:rsidRPr="008B09B0">
        <w:t xml:space="preserve">. </w:t>
      </w:r>
      <w:r w:rsidR="00DD7B5C">
        <w:t xml:space="preserve">Je vous renvoie à ce sujet à la circulaire du 3 septembre 2021 </w:t>
      </w:r>
      <w:r w:rsidR="00DD7B5C" w:rsidRPr="00DD7B5C">
        <w:t>à destination des Provinces et des Zones de secours dans le cadre de la reprise du financement communal des zones de secours – Trajectoires budgétaires 2021-2024</w:t>
      </w:r>
      <w:r w:rsidR="00DD7B5C">
        <w:t>.</w:t>
      </w:r>
    </w:p>
    <w:bookmarkEnd w:id="2159"/>
    <w:p w14:paraId="6F0CC936" w14:textId="77777777" w:rsidR="005F3DAC" w:rsidRDefault="005F3DAC" w:rsidP="00256E9F">
      <w:pPr>
        <w:jc w:val="both"/>
      </w:pPr>
    </w:p>
    <w:p w14:paraId="5E4A1138" w14:textId="009C7460" w:rsidR="004A2669" w:rsidRPr="00FC0BC1" w:rsidRDefault="00CB7ADD" w:rsidP="00256E9F">
      <w:pPr>
        <w:pStyle w:val="Sam3"/>
      </w:pPr>
      <w:bookmarkStart w:id="2161" w:name="_Toc74557603"/>
      <w:bookmarkEnd w:id="2160"/>
      <w:r w:rsidRPr="00FC0BC1">
        <w:t xml:space="preserve">IV.3.5 </w:t>
      </w:r>
      <w:bookmarkStart w:id="2162" w:name="_Toc512606804"/>
      <w:bookmarkStart w:id="2163" w:name="_Toc512606939"/>
      <w:bookmarkStart w:id="2164" w:name="_Toc512607074"/>
      <w:bookmarkStart w:id="2165" w:name="_Toc515355872"/>
      <w:bookmarkStart w:id="2166" w:name="_Toc515356009"/>
      <w:bookmarkStart w:id="2167" w:name="_Toc515360419"/>
      <w:bookmarkStart w:id="2168" w:name="_Toc515975015"/>
      <w:bookmarkStart w:id="2169" w:name="_Toc515978523"/>
      <w:bookmarkStart w:id="2170" w:name="_Toc516058907"/>
      <w:bookmarkStart w:id="2171" w:name="_Toc516059049"/>
      <w:bookmarkStart w:id="2172" w:name="_Toc516227773"/>
      <w:bookmarkStart w:id="2173" w:name="_Toc516229586"/>
      <w:bookmarkStart w:id="2174" w:name="_Toc516229881"/>
      <w:bookmarkStart w:id="2175" w:name="_Toc516230176"/>
      <w:bookmarkStart w:id="2176" w:name="_Toc516230471"/>
      <w:bookmarkStart w:id="2177" w:name="_Toc516230765"/>
      <w:bookmarkStart w:id="2178" w:name="_Toc516231059"/>
      <w:bookmarkStart w:id="2179" w:name="_Toc516231354"/>
      <w:bookmarkStart w:id="2180" w:name="_Toc516231650"/>
      <w:bookmarkStart w:id="2181" w:name="_Toc516242743"/>
      <w:bookmarkStart w:id="2182" w:name="_Toc516243046"/>
      <w:bookmarkStart w:id="2183" w:name="_Toc516244979"/>
      <w:bookmarkStart w:id="2184" w:name="_Toc516473551"/>
      <w:bookmarkStart w:id="2185" w:name="_Toc516473861"/>
      <w:bookmarkStart w:id="2186" w:name="_Toc516474171"/>
      <w:bookmarkStart w:id="2187" w:name="_Toc516474479"/>
      <w:bookmarkStart w:id="2188" w:name="_Toc516474810"/>
      <w:bookmarkStart w:id="2189" w:name="_Toc516478841"/>
      <w:bookmarkStart w:id="2190" w:name="_Toc516479304"/>
      <w:bookmarkStart w:id="2191" w:name="_Toc516479621"/>
      <w:bookmarkStart w:id="2192" w:name="_Toc516479944"/>
      <w:bookmarkStart w:id="2193" w:name="_Toc516480259"/>
      <w:bookmarkStart w:id="2194" w:name="_Toc516480573"/>
      <w:bookmarkStart w:id="2195" w:name="_Toc516480887"/>
      <w:bookmarkStart w:id="2196" w:name="_Toc516481201"/>
      <w:bookmarkStart w:id="2197" w:name="_Toc516481515"/>
      <w:bookmarkStart w:id="2198" w:name="_Toc516481829"/>
      <w:bookmarkStart w:id="2199" w:name="_Toc516482143"/>
      <w:bookmarkStart w:id="2200" w:name="_Toc516482457"/>
      <w:bookmarkStart w:id="2201" w:name="_Toc516739579"/>
      <w:bookmarkStart w:id="2202" w:name="_Toc516751492"/>
      <w:bookmarkStart w:id="2203" w:name="_Toc516825562"/>
      <w:bookmarkStart w:id="2204" w:name="_Toc516826120"/>
      <w:bookmarkStart w:id="2205" w:name="_Toc516837440"/>
      <w:bookmarkStart w:id="2206" w:name="_Toc516837999"/>
      <w:bookmarkStart w:id="2207" w:name="_Toc516838558"/>
      <w:bookmarkStart w:id="2208" w:name="_Toc516839118"/>
      <w:bookmarkStart w:id="2209" w:name="_Toc517173214"/>
      <w:bookmarkStart w:id="2210" w:name="_Toc517174888"/>
      <w:bookmarkStart w:id="2211" w:name="_Toc517175475"/>
      <w:bookmarkStart w:id="2212" w:name="_Toc517176063"/>
      <w:bookmarkStart w:id="2213" w:name="_Toc517337385"/>
      <w:bookmarkStart w:id="2214" w:name="_Toc517360180"/>
      <w:bookmarkStart w:id="2215" w:name="_Toc512520218"/>
      <w:bookmarkStart w:id="2216" w:name="_Toc512520349"/>
      <w:bookmarkStart w:id="2217" w:name="_Toc512520481"/>
      <w:bookmarkStart w:id="2218" w:name="_Toc512520612"/>
      <w:bookmarkStart w:id="2219" w:name="_Toc512520743"/>
      <w:bookmarkStart w:id="2220" w:name="_Toc512520874"/>
      <w:bookmarkStart w:id="2221" w:name="_Toc512521005"/>
      <w:bookmarkStart w:id="2222" w:name="_Toc512606805"/>
      <w:bookmarkStart w:id="2223" w:name="_Toc512606940"/>
      <w:bookmarkStart w:id="2224" w:name="_Toc512607075"/>
      <w:bookmarkStart w:id="2225" w:name="_Toc515355873"/>
      <w:bookmarkStart w:id="2226" w:name="_Toc515356010"/>
      <w:bookmarkStart w:id="2227" w:name="_Toc515360420"/>
      <w:bookmarkStart w:id="2228" w:name="_Toc515975016"/>
      <w:bookmarkStart w:id="2229" w:name="_Toc515978524"/>
      <w:bookmarkStart w:id="2230" w:name="_Toc516058908"/>
      <w:bookmarkStart w:id="2231" w:name="_Toc516059050"/>
      <w:bookmarkStart w:id="2232" w:name="_Toc516227774"/>
      <w:bookmarkStart w:id="2233" w:name="_Toc516229587"/>
      <w:bookmarkStart w:id="2234" w:name="_Toc516229882"/>
      <w:bookmarkStart w:id="2235" w:name="_Toc516230177"/>
      <w:bookmarkStart w:id="2236" w:name="_Toc516230472"/>
      <w:bookmarkStart w:id="2237" w:name="_Toc516230766"/>
      <w:bookmarkStart w:id="2238" w:name="_Toc516231060"/>
      <w:bookmarkStart w:id="2239" w:name="_Toc516231355"/>
      <w:bookmarkStart w:id="2240" w:name="_Toc516231651"/>
      <w:bookmarkStart w:id="2241" w:name="_Toc516242744"/>
      <w:bookmarkStart w:id="2242" w:name="_Toc516243047"/>
      <w:bookmarkStart w:id="2243" w:name="_Toc516244980"/>
      <w:bookmarkStart w:id="2244" w:name="_Toc516473552"/>
      <w:bookmarkStart w:id="2245" w:name="_Toc516473862"/>
      <w:bookmarkStart w:id="2246" w:name="_Toc516474172"/>
      <w:bookmarkStart w:id="2247" w:name="_Toc516474480"/>
      <w:bookmarkStart w:id="2248" w:name="_Toc516474811"/>
      <w:bookmarkStart w:id="2249" w:name="_Toc516478842"/>
      <w:bookmarkStart w:id="2250" w:name="_Toc516479305"/>
      <w:bookmarkStart w:id="2251" w:name="_Toc516479622"/>
      <w:bookmarkStart w:id="2252" w:name="_Toc516479945"/>
      <w:bookmarkStart w:id="2253" w:name="_Toc516480260"/>
      <w:bookmarkStart w:id="2254" w:name="_Toc516480574"/>
      <w:bookmarkStart w:id="2255" w:name="_Toc516480888"/>
      <w:bookmarkStart w:id="2256" w:name="_Toc516481202"/>
      <w:bookmarkStart w:id="2257" w:name="_Toc516481516"/>
      <w:bookmarkStart w:id="2258" w:name="_Toc516481830"/>
      <w:bookmarkStart w:id="2259" w:name="_Toc516482144"/>
      <w:bookmarkStart w:id="2260" w:name="_Toc516482458"/>
      <w:bookmarkStart w:id="2261" w:name="_Toc516739580"/>
      <w:bookmarkStart w:id="2262" w:name="_Toc516751493"/>
      <w:bookmarkStart w:id="2263" w:name="_Toc516825563"/>
      <w:bookmarkStart w:id="2264" w:name="_Toc516826121"/>
      <w:bookmarkStart w:id="2265" w:name="_Toc516837441"/>
      <w:bookmarkStart w:id="2266" w:name="_Toc516838000"/>
      <w:bookmarkStart w:id="2267" w:name="_Toc516838559"/>
      <w:bookmarkStart w:id="2268" w:name="_Toc516839119"/>
      <w:bookmarkStart w:id="2269" w:name="_Toc517173215"/>
      <w:bookmarkStart w:id="2270" w:name="_Toc517174889"/>
      <w:bookmarkStart w:id="2271" w:name="_Toc517175476"/>
      <w:bookmarkStart w:id="2272" w:name="_Toc517176064"/>
      <w:bookmarkStart w:id="2273" w:name="_Toc517337386"/>
      <w:bookmarkStart w:id="2274" w:name="_Toc51736018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sidR="004A2669" w:rsidRPr="00FC0BC1">
        <w:t xml:space="preserve">Régies et </w:t>
      </w:r>
      <w:r w:rsidR="001E1353" w:rsidRPr="00FC0BC1">
        <w:t>ASBL</w:t>
      </w:r>
      <w:r w:rsidR="004A2669" w:rsidRPr="00FC0BC1">
        <w:t xml:space="preserve"> communales</w:t>
      </w:r>
      <w:bookmarkEnd w:id="2161"/>
    </w:p>
    <w:p w14:paraId="5A83894E" w14:textId="77777777" w:rsidR="004A2669" w:rsidRDefault="004A2669" w:rsidP="008D7EB7">
      <w:pPr>
        <w:spacing w:after="120"/>
        <w:jc w:val="both"/>
      </w:pPr>
      <w:r w:rsidRPr="001E1353">
        <w:t>Une attention part</w:t>
      </w:r>
      <w:r w:rsidR="001E1353">
        <w:t xml:space="preserve">iculière </w:t>
      </w:r>
      <w:r w:rsidRPr="001E1353">
        <w:t xml:space="preserve">doit être apportée à la situation financière et à la maitrise des dépenses des régies et </w:t>
      </w:r>
      <w:r w:rsidR="003B03FE">
        <w:t>ASBL</w:t>
      </w:r>
      <w:r w:rsidR="003B03FE" w:rsidRPr="001E1353">
        <w:t xml:space="preserve"> </w:t>
      </w:r>
      <w:r w:rsidRPr="001E1353">
        <w:t>communales.</w:t>
      </w:r>
    </w:p>
    <w:p w14:paraId="7E3B281E" w14:textId="7E2E2465" w:rsidR="004A2669" w:rsidRDefault="004A2669" w:rsidP="008D7EB7">
      <w:pPr>
        <w:spacing w:after="120"/>
        <w:jc w:val="both"/>
      </w:pPr>
      <w:r w:rsidRPr="001E1353">
        <w:t xml:space="preserve">Les communes s’assureront également du respect des dispositions légales et contractuelles en vigueur concernant les règles budgétaires et comptables applicables aux régies et aux </w:t>
      </w:r>
      <w:r w:rsidR="003B03FE">
        <w:t>ASBL</w:t>
      </w:r>
      <w:r w:rsidR="003B03FE" w:rsidRPr="001E1353">
        <w:t xml:space="preserve"> </w:t>
      </w:r>
      <w:r w:rsidRPr="001E1353">
        <w:t>communales.</w:t>
      </w:r>
    </w:p>
    <w:p w14:paraId="51064FB3" w14:textId="173E1706" w:rsidR="004D6B92" w:rsidRDefault="004D6B92" w:rsidP="008D7EB7">
      <w:pPr>
        <w:spacing w:after="120"/>
        <w:jc w:val="both"/>
      </w:pPr>
      <w:r>
        <w:t xml:space="preserve">J’attire votre attention sur les </w:t>
      </w:r>
      <w:r w:rsidR="005F7FC1">
        <w:t>importants</w:t>
      </w:r>
      <w:r>
        <w:t xml:space="preserve"> risques financiers pris par la commune en cas de pertes reportées conséquentes d’une régie.</w:t>
      </w:r>
    </w:p>
    <w:p w14:paraId="3CEF38DD" w14:textId="77777777" w:rsidR="006843B9" w:rsidRDefault="006843B9" w:rsidP="00256E9F">
      <w:pPr>
        <w:jc w:val="both"/>
      </w:pPr>
    </w:p>
    <w:p w14:paraId="3E7EF977" w14:textId="0D293F00" w:rsidR="004A2669" w:rsidRPr="001E1353" w:rsidRDefault="00CB7ADD" w:rsidP="00256E9F">
      <w:pPr>
        <w:pStyle w:val="Sam3"/>
      </w:pPr>
      <w:bookmarkStart w:id="2275" w:name="_Toc74557604"/>
      <w:r>
        <w:t xml:space="preserve">IV.3.6 </w:t>
      </w:r>
      <w:bookmarkStart w:id="2276" w:name="_Toc512520220"/>
      <w:bookmarkStart w:id="2277" w:name="_Toc512520351"/>
      <w:bookmarkStart w:id="2278" w:name="_Toc512520483"/>
      <w:bookmarkStart w:id="2279" w:name="_Toc512520614"/>
      <w:bookmarkStart w:id="2280" w:name="_Toc512520745"/>
      <w:bookmarkStart w:id="2281" w:name="_Toc512520876"/>
      <w:bookmarkStart w:id="2282" w:name="_Toc512521007"/>
      <w:bookmarkStart w:id="2283" w:name="_Toc512606807"/>
      <w:bookmarkStart w:id="2284" w:name="_Toc512606942"/>
      <w:bookmarkStart w:id="2285" w:name="_Toc512607077"/>
      <w:bookmarkStart w:id="2286" w:name="_Toc515355875"/>
      <w:bookmarkStart w:id="2287" w:name="_Toc515356012"/>
      <w:bookmarkStart w:id="2288" w:name="_Toc515360422"/>
      <w:bookmarkStart w:id="2289" w:name="_Toc515975018"/>
      <w:bookmarkStart w:id="2290" w:name="_Toc515978526"/>
      <w:bookmarkStart w:id="2291" w:name="_Toc516058910"/>
      <w:bookmarkStart w:id="2292" w:name="_Toc516059052"/>
      <w:bookmarkStart w:id="2293" w:name="_Toc516227776"/>
      <w:bookmarkStart w:id="2294" w:name="_Toc516229589"/>
      <w:bookmarkStart w:id="2295" w:name="_Toc516229884"/>
      <w:bookmarkStart w:id="2296" w:name="_Toc516230179"/>
      <w:bookmarkStart w:id="2297" w:name="_Toc516230474"/>
      <w:bookmarkStart w:id="2298" w:name="_Toc516230768"/>
      <w:bookmarkStart w:id="2299" w:name="_Toc516231062"/>
      <w:bookmarkStart w:id="2300" w:name="_Toc516231357"/>
      <w:bookmarkStart w:id="2301" w:name="_Toc516231653"/>
      <w:bookmarkStart w:id="2302" w:name="_Toc516242746"/>
      <w:bookmarkStart w:id="2303" w:name="_Toc516243049"/>
      <w:bookmarkStart w:id="2304" w:name="_Toc516244982"/>
      <w:bookmarkStart w:id="2305" w:name="_Toc516473554"/>
      <w:bookmarkStart w:id="2306" w:name="_Toc516473864"/>
      <w:bookmarkStart w:id="2307" w:name="_Toc516474174"/>
      <w:bookmarkStart w:id="2308" w:name="_Toc516474482"/>
      <w:bookmarkStart w:id="2309" w:name="_Toc516474813"/>
      <w:bookmarkStart w:id="2310" w:name="_Toc516478844"/>
      <w:bookmarkStart w:id="2311" w:name="_Toc516479307"/>
      <w:bookmarkStart w:id="2312" w:name="_Toc516479624"/>
      <w:bookmarkStart w:id="2313" w:name="_Toc516479947"/>
      <w:bookmarkStart w:id="2314" w:name="_Toc516480262"/>
      <w:bookmarkStart w:id="2315" w:name="_Toc516480576"/>
      <w:bookmarkStart w:id="2316" w:name="_Toc516480890"/>
      <w:bookmarkStart w:id="2317" w:name="_Toc516481204"/>
      <w:bookmarkStart w:id="2318" w:name="_Toc516481518"/>
      <w:bookmarkStart w:id="2319" w:name="_Toc516481832"/>
      <w:bookmarkStart w:id="2320" w:name="_Toc516482146"/>
      <w:bookmarkStart w:id="2321" w:name="_Toc516482460"/>
      <w:bookmarkStart w:id="2322" w:name="_Toc516739582"/>
      <w:bookmarkStart w:id="2323" w:name="_Toc516751495"/>
      <w:bookmarkStart w:id="2324" w:name="_Toc516825565"/>
      <w:bookmarkStart w:id="2325" w:name="_Toc516826123"/>
      <w:bookmarkStart w:id="2326" w:name="_Toc516837443"/>
      <w:bookmarkStart w:id="2327" w:name="_Toc516838002"/>
      <w:bookmarkStart w:id="2328" w:name="_Toc516838561"/>
      <w:bookmarkStart w:id="2329" w:name="_Toc516839121"/>
      <w:bookmarkStart w:id="2330" w:name="_Toc517173217"/>
      <w:bookmarkStart w:id="2331" w:name="_Toc517174891"/>
      <w:bookmarkStart w:id="2332" w:name="_Toc517175478"/>
      <w:bookmarkStart w:id="2333" w:name="_Toc517176066"/>
      <w:bookmarkStart w:id="2334" w:name="_Toc517337388"/>
      <w:bookmarkStart w:id="2335" w:name="_Toc517360183"/>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sidR="004A2669" w:rsidRPr="001E1353">
        <w:t>Fabriques d'église</w:t>
      </w:r>
      <w:bookmarkEnd w:id="2275"/>
    </w:p>
    <w:p w14:paraId="283530A9" w14:textId="77777777" w:rsidR="004A2669" w:rsidRDefault="004A2669" w:rsidP="008D7EB7">
      <w:pPr>
        <w:spacing w:after="120"/>
        <w:jc w:val="both"/>
      </w:pPr>
      <w:r w:rsidRPr="001E1353">
        <w:t>Une attention particulière doit être apportée à la situation financière et à la maitrise des dépenses des fabriques d’église et communautés philosophiques non confessionnelles reconnues.</w:t>
      </w:r>
    </w:p>
    <w:p w14:paraId="44D2A6A3" w14:textId="77777777" w:rsidR="004A2669" w:rsidRDefault="004A2669" w:rsidP="008D7EB7">
      <w:pPr>
        <w:spacing w:after="120"/>
        <w:jc w:val="both"/>
      </w:pPr>
      <w:r w:rsidRPr="001E1353">
        <w:t>Dans le souci de promouvoir une juste égalité entre les convictions philosophiques confessionnelles et non confessionnelles, les communes peuvent, dans les limites de leurs moyens budgétaires, soutenir les actions menées par les établissements cultuels ou les communautés philosophiques non confessionnelles reconnues financés au niveau provincial. Par souci d'uniformité, il convient d'inscrire de telles subventions à la laïcité sous l'article budgétaire 79090/332-01.</w:t>
      </w:r>
    </w:p>
    <w:p w14:paraId="6A075562" w14:textId="77777777" w:rsidR="004A2669" w:rsidRPr="001E1353" w:rsidRDefault="004A2669" w:rsidP="008D7EB7">
      <w:pPr>
        <w:spacing w:after="120"/>
        <w:jc w:val="both"/>
      </w:pPr>
      <w:r w:rsidRPr="001E1353">
        <w:t>J'insiste pour que les communes et les fabriques d'église financées en premier ordre par celles-ci développent un maximum de synergies telles que la gestion du portefeuille d'assurances (bâtiments et biens, parc automobile) via des renégociations de contrats ou encore les achats groupés en combustibles, carburants, fournitures et services divers.</w:t>
      </w:r>
    </w:p>
    <w:p w14:paraId="214A47F4" w14:textId="26135E67" w:rsidR="001E1353" w:rsidRDefault="004A2669" w:rsidP="008D7EB7">
      <w:pPr>
        <w:spacing w:after="120"/>
        <w:jc w:val="both"/>
      </w:pPr>
      <w:r w:rsidRPr="001E1353">
        <w:t xml:space="preserve">Enfin, je vous demande d’utiliser un article budgétaire spécifique pour chaque dotation ou subvention octroyée à une communauté cultuelle locale ou une communauté philosophique non confessionnelle reconnue. Pour rappel, l’article de base à individualiser est le 790/435-01. </w:t>
      </w:r>
    </w:p>
    <w:p w14:paraId="499F13C8" w14:textId="77777777" w:rsidR="00541AFA" w:rsidRDefault="00541AFA" w:rsidP="00256E9F">
      <w:pPr>
        <w:jc w:val="both"/>
      </w:pPr>
    </w:p>
    <w:p w14:paraId="39B72BF7" w14:textId="77777777" w:rsidR="004A2669" w:rsidRPr="001E1353" w:rsidRDefault="004A2669" w:rsidP="00A65F14">
      <w:pPr>
        <w:pStyle w:val="Sam2"/>
        <w:spacing w:before="0"/>
      </w:pPr>
      <w:bookmarkStart w:id="2336" w:name="_Toc40185319"/>
      <w:bookmarkStart w:id="2337" w:name="_Toc40186054"/>
      <w:bookmarkStart w:id="2338" w:name="_Toc512606809"/>
      <w:bookmarkStart w:id="2339" w:name="_Toc512606944"/>
      <w:bookmarkStart w:id="2340" w:name="_Toc512607079"/>
      <w:bookmarkStart w:id="2341" w:name="_Toc515355877"/>
      <w:bookmarkStart w:id="2342" w:name="_Toc515356014"/>
      <w:bookmarkStart w:id="2343" w:name="_Toc515360424"/>
      <w:bookmarkStart w:id="2344" w:name="_Toc515975020"/>
      <w:bookmarkStart w:id="2345" w:name="_Toc515978528"/>
      <w:bookmarkStart w:id="2346" w:name="_Toc516058912"/>
      <w:bookmarkStart w:id="2347" w:name="_Toc516059054"/>
      <w:bookmarkStart w:id="2348" w:name="_Toc516227778"/>
      <w:bookmarkStart w:id="2349" w:name="_Toc516229591"/>
      <w:bookmarkStart w:id="2350" w:name="_Toc516229886"/>
      <w:bookmarkStart w:id="2351" w:name="_Toc516230181"/>
      <w:bookmarkStart w:id="2352" w:name="_Toc516230476"/>
      <w:bookmarkStart w:id="2353" w:name="_Toc516230770"/>
      <w:bookmarkStart w:id="2354" w:name="_Toc516231064"/>
      <w:bookmarkStart w:id="2355" w:name="_Toc516231359"/>
      <w:bookmarkStart w:id="2356" w:name="_Toc516231655"/>
      <w:bookmarkStart w:id="2357" w:name="_Toc516242748"/>
      <w:bookmarkStart w:id="2358" w:name="_Toc516243051"/>
      <w:bookmarkStart w:id="2359" w:name="_Toc516244984"/>
      <w:bookmarkStart w:id="2360" w:name="_Toc516473556"/>
      <w:bookmarkStart w:id="2361" w:name="_Toc516473866"/>
      <w:bookmarkStart w:id="2362" w:name="_Toc516474176"/>
      <w:bookmarkStart w:id="2363" w:name="_Toc516474484"/>
      <w:bookmarkStart w:id="2364" w:name="_Toc516474815"/>
      <w:bookmarkStart w:id="2365" w:name="_Toc516478846"/>
      <w:bookmarkStart w:id="2366" w:name="_Toc516479309"/>
      <w:bookmarkStart w:id="2367" w:name="_Toc516479626"/>
      <w:bookmarkStart w:id="2368" w:name="_Toc516479949"/>
      <w:bookmarkStart w:id="2369" w:name="_Toc516480264"/>
      <w:bookmarkStart w:id="2370" w:name="_Toc516480578"/>
      <w:bookmarkStart w:id="2371" w:name="_Toc516480892"/>
      <w:bookmarkStart w:id="2372" w:name="_Toc516481206"/>
      <w:bookmarkStart w:id="2373" w:name="_Toc516481520"/>
      <w:bookmarkStart w:id="2374" w:name="_Toc516481834"/>
      <w:bookmarkStart w:id="2375" w:name="_Toc516482148"/>
      <w:bookmarkStart w:id="2376" w:name="_Toc516482462"/>
      <w:bookmarkStart w:id="2377" w:name="_Toc516739584"/>
      <w:bookmarkStart w:id="2378" w:name="_Toc516751497"/>
      <w:bookmarkStart w:id="2379" w:name="_Toc516825567"/>
      <w:bookmarkStart w:id="2380" w:name="_Toc516826125"/>
      <w:bookmarkStart w:id="2381" w:name="_Toc516837445"/>
      <w:bookmarkStart w:id="2382" w:name="_Toc516838004"/>
      <w:bookmarkStart w:id="2383" w:name="_Toc516838563"/>
      <w:bookmarkStart w:id="2384" w:name="_Toc516839123"/>
      <w:bookmarkStart w:id="2385" w:name="_Toc517173219"/>
      <w:bookmarkStart w:id="2386" w:name="_Toc517174893"/>
      <w:bookmarkStart w:id="2387" w:name="_Toc517175480"/>
      <w:bookmarkStart w:id="2388" w:name="_Toc517176068"/>
      <w:bookmarkStart w:id="2389" w:name="_Toc517337390"/>
      <w:bookmarkStart w:id="2390" w:name="_Toc517360185"/>
      <w:bookmarkStart w:id="2391" w:name="_Toc512606810"/>
      <w:bookmarkStart w:id="2392" w:name="_Toc512606945"/>
      <w:bookmarkStart w:id="2393" w:name="_Toc512607080"/>
      <w:bookmarkStart w:id="2394" w:name="_Toc515355878"/>
      <w:bookmarkStart w:id="2395" w:name="_Toc515356015"/>
      <w:bookmarkStart w:id="2396" w:name="_Toc515360425"/>
      <w:bookmarkStart w:id="2397" w:name="_Toc515975021"/>
      <w:bookmarkStart w:id="2398" w:name="_Toc515978529"/>
      <w:bookmarkStart w:id="2399" w:name="_Toc516058913"/>
      <w:bookmarkStart w:id="2400" w:name="_Toc516059055"/>
      <w:bookmarkStart w:id="2401" w:name="_Toc516227779"/>
      <w:bookmarkStart w:id="2402" w:name="_Toc516229592"/>
      <w:bookmarkStart w:id="2403" w:name="_Toc516229887"/>
      <w:bookmarkStart w:id="2404" w:name="_Toc516230182"/>
      <w:bookmarkStart w:id="2405" w:name="_Toc516230477"/>
      <w:bookmarkStart w:id="2406" w:name="_Toc516230771"/>
      <w:bookmarkStart w:id="2407" w:name="_Toc516231065"/>
      <w:bookmarkStart w:id="2408" w:name="_Toc516231360"/>
      <w:bookmarkStart w:id="2409" w:name="_Toc516231656"/>
      <w:bookmarkStart w:id="2410" w:name="_Toc516242749"/>
      <w:bookmarkStart w:id="2411" w:name="_Toc516243052"/>
      <w:bookmarkStart w:id="2412" w:name="_Toc516244985"/>
      <w:bookmarkStart w:id="2413" w:name="_Toc516473557"/>
      <w:bookmarkStart w:id="2414" w:name="_Toc516473867"/>
      <w:bookmarkStart w:id="2415" w:name="_Toc516474177"/>
      <w:bookmarkStart w:id="2416" w:name="_Toc516474485"/>
      <w:bookmarkStart w:id="2417" w:name="_Toc516474816"/>
      <w:bookmarkStart w:id="2418" w:name="_Toc516478847"/>
      <w:bookmarkStart w:id="2419" w:name="_Toc516479310"/>
      <w:bookmarkStart w:id="2420" w:name="_Toc516479627"/>
      <w:bookmarkStart w:id="2421" w:name="_Toc516479950"/>
      <w:bookmarkStart w:id="2422" w:name="_Toc516480265"/>
      <w:bookmarkStart w:id="2423" w:name="_Toc516480579"/>
      <w:bookmarkStart w:id="2424" w:name="_Toc516480893"/>
      <w:bookmarkStart w:id="2425" w:name="_Toc516481207"/>
      <w:bookmarkStart w:id="2426" w:name="_Toc516481521"/>
      <w:bookmarkStart w:id="2427" w:name="_Toc516481835"/>
      <w:bookmarkStart w:id="2428" w:name="_Toc516482149"/>
      <w:bookmarkStart w:id="2429" w:name="_Toc516482463"/>
      <w:bookmarkStart w:id="2430" w:name="_Toc516739585"/>
      <w:bookmarkStart w:id="2431" w:name="_Toc516751498"/>
      <w:bookmarkStart w:id="2432" w:name="_Toc516825568"/>
      <w:bookmarkStart w:id="2433" w:name="_Toc516826126"/>
      <w:bookmarkStart w:id="2434" w:name="_Toc516837446"/>
      <w:bookmarkStart w:id="2435" w:name="_Toc516838005"/>
      <w:bookmarkStart w:id="2436" w:name="_Toc516838564"/>
      <w:bookmarkStart w:id="2437" w:name="_Toc516839124"/>
      <w:bookmarkStart w:id="2438" w:name="_Toc517173220"/>
      <w:bookmarkStart w:id="2439" w:name="_Toc517174894"/>
      <w:bookmarkStart w:id="2440" w:name="_Toc517175481"/>
      <w:bookmarkStart w:id="2441" w:name="_Toc517176069"/>
      <w:bookmarkStart w:id="2442" w:name="_Toc517337391"/>
      <w:bookmarkStart w:id="2443" w:name="_Toc517360186"/>
      <w:bookmarkStart w:id="2444" w:name="_Toc512606811"/>
      <w:bookmarkStart w:id="2445" w:name="_Toc512606946"/>
      <w:bookmarkStart w:id="2446" w:name="_Toc512607081"/>
      <w:bookmarkStart w:id="2447" w:name="_Toc515355879"/>
      <w:bookmarkStart w:id="2448" w:name="_Toc515356016"/>
      <w:bookmarkStart w:id="2449" w:name="_Toc515360426"/>
      <w:bookmarkStart w:id="2450" w:name="_Toc515975022"/>
      <w:bookmarkStart w:id="2451" w:name="_Toc515978530"/>
      <w:bookmarkStart w:id="2452" w:name="_Toc516058914"/>
      <w:bookmarkStart w:id="2453" w:name="_Toc516059056"/>
      <w:bookmarkStart w:id="2454" w:name="_Toc516227780"/>
      <w:bookmarkStart w:id="2455" w:name="_Toc516229593"/>
      <w:bookmarkStart w:id="2456" w:name="_Toc516229888"/>
      <w:bookmarkStart w:id="2457" w:name="_Toc516230183"/>
      <w:bookmarkStart w:id="2458" w:name="_Toc516230478"/>
      <w:bookmarkStart w:id="2459" w:name="_Toc516230772"/>
      <w:bookmarkStart w:id="2460" w:name="_Toc516231066"/>
      <w:bookmarkStart w:id="2461" w:name="_Toc516231361"/>
      <w:bookmarkStart w:id="2462" w:name="_Toc516231657"/>
      <w:bookmarkStart w:id="2463" w:name="_Toc516242750"/>
      <w:bookmarkStart w:id="2464" w:name="_Toc516243053"/>
      <w:bookmarkStart w:id="2465" w:name="_Toc516244986"/>
      <w:bookmarkStart w:id="2466" w:name="_Toc516473558"/>
      <w:bookmarkStart w:id="2467" w:name="_Toc516473868"/>
      <w:bookmarkStart w:id="2468" w:name="_Toc516474178"/>
      <w:bookmarkStart w:id="2469" w:name="_Toc516474486"/>
      <w:bookmarkStart w:id="2470" w:name="_Toc516474817"/>
      <w:bookmarkStart w:id="2471" w:name="_Toc516478848"/>
      <w:bookmarkStart w:id="2472" w:name="_Toc516479311"/>
      <w:bookmarkStart w:id="2473" w:name="_Toc516479628"/>
      <w:bookmarkStart w:id="2474" w:name="_Toc516479951"/>
      <w:bookmarkStart w:id="2475" w:name="_Toc516480266"/>
      <w:bookmarkStart w:id="2476" w:name="_Toc516480580"/>
      <w:bookmarkStart w:id="2477" w:name="_Toc516480894"/>
      <w:bookmarkStart w:id="2478" w:name="_Toc516481208"/>
      <w:bookmarkStart w:id="2479" w:name="_Toc516481522"/>
      <w:bookmarkStart w:id="2480" w:name="_Toc516481836"/>
      <w:bookmarkStart w:id="2481" w:name="_Toc516482150"/>
      <w:bookmarkStart w:id="2482" w:name="_Toc516482464"/>
      <w:bookmarkStart w:id="2483" w:name="_Toc516739586"/>
      <w:bookmarkStart w:id="2484" w:name="_Toc516751499"/>
      <w:bookmarkStart w:id="2485" w:name="_Toc516825569"/>
      <w:bookmarkStart w:id="2486" w:name="_Toc516826127"/>
      <w:bookmarkStart w:id="2487" w:name="_Toc516837447"/>
      <w:bookmarkStart w:id="2488" w:name="_Toc516838006"/>
      <w:bookmarkStart w:id="2489" w:name="_Toc516838565"/>
      <w:bookmarkStart w:id="2490" w:name="_Toc516839125"/>
      <w:bookmarkStart w:id="2491" w:name="_Toc517173221"/>
      <w:bookmarkStart w:id="2492" w:name="_Toc517174895"/>
      <w:bookmarkStart w:id="2493" w:name="_Toc517175482"/>
      <w:bookmarkStart w:id="2494" w:name="_Toc517176070"/>
      <w:bookmarkStart w:id="2495" w:name="_Toc517337392"/>
      <w:bookmarkStart w:id="2496" w:name="_Toc517360187"/>
      <w:bookmarkStart w:id="2497" w:name="_Toc512606812"/>
      <w:bookmarkStart w:id="2498" w:name="_Toc512606947"/>
      <w:bookmarkStart w:id="2499" w:name="_Toc512607082"/>
      <w:bookmarkStart w:id="2500" w:name="_Toc515355880"/>
      <w:bookmarkStart w:id="2501" w:name="_Toc515356017"/>
      <w:bookmarkStart w:id="2502" w:name="_Toc515360427"/>
      <w:bookmarkStart w:id="2503" w:name="_Toc515975023"/>
      <w:bookmarkStart w:id="2504" w:name="_Toc515978531"/>
      <w:bookmarkStart w:id="2505" w:name="_Toc516058915"/>
      <w:bookmarkStart w:id="2506" w:name="_Toc516059057"/>
      <w:bookmarkStart w:id="2507" w:name="_Toc516227781"/>
      <w:bookmarkStart w:id="2508" w:name="_Toc516229594"/>
      <w:bookmarkStart w:id="2509" w:name="_Toc516229889"/>
      <w:bookmarkStart w:id="2510" w:name="_Toc516230184"/>
      <w:bookmarkStart w:id="2511" w:name="_Toc516230479"/>
      <w:bookmarkStart w:id="2512" w:name="_Toc516230773"/>
      <w:bookmarkStart w:id="2513" w:name="_Toc516231067"/>
      <w:bookmarkStart w:id="2514" w:name="_Toc516231362"/>
      <w:bookmarkStart w:id="2515" w:name="_Toc516231658"/>
      <w:bookmarkStart w:id="2516" w:name="_Toc516242751"/>
      <w:bookmarkStart w:id="2517" w:name="_Toc516243054"/>
      <w:bookmarkStart w:id="2518" w:name="_Toc516244987"/>
      <w:bookmarkStart w:id="2519" w:name="_Toc516473559"/>
      <w:bookmarkStart w:id="2520" w:name="_Toc516473869"/>
      <w:bookmarkStart w:id="2521" w:name="_Toc516474179"/>
      <w:bookmarkStart w:id="2522" w:name="_Toc516474487"/>
      <w:bookmarkStart w:id="2523" w:name="_Toc516474818"/>
      <w:bookmarkStart w:id="2524" w:name="_Toc516478849"/>
      <w:bookmarkStart w:id="2525" w:name="_Toc516479312"/>
      <w:bookmarkStart w:id="2526" w:name="_Toc516479629"/>
      <w:bookmarkStart w:id="2527" w:name="_Toc516479952"/>
      <w:bookmarkStart w:id="2528" w:name="_Toc516480267"/>
      <w:bookmarkStart w:id="2529" w:name="_Toc516480581"/>
      <w:bookmarkStart w:id="2530" w:name="_Toc516480895"/>
      <w:bookmarkStart w:id="2531" w:name="_Toc516481209"/>
      <w:bookmarkStart w:id="2532" w:name="_Toc516481523"/>
      <w:bookmarkStart w:id="2533" w:name="_Toc516481837"/>
      <w:bookmarkStart w:id="2534" w:name="_Toc516482151"/>
      <w:bookmarkStart w:id="2535" w:name="_Toc516482465"/>
      <w:bookmarkStart w:id="2536" w:name="_Toc516739587"/>
      <w:bookmarkStart w:id="2537" w:name="_Toc516751500"/>
      <w:bookmarkStart w:id="2538" w:name="_Toc516825570"/>
      <w:bookmarkStart w:id="2539" w:name="_Toc516826128"/>
      <w:bookmarkStart w:id="2540" w:name="_Toc516837448"/>
      <w:bookmarkStart w:id="2541" w:name="_Toc516838007"/>
      <w:bookmarkStart w:id="2542" w:name="_Toc516838566"/>
      <w:bookmarkStart w:id="2543" w:name="_Toc516839126"/>
      <w:bookmarkStart w:id="2544" w:name="_Toc517173222"/>
      <w:bookmarkStart w:id="2545" w:name="_Toc517174896"/>
      <w:bookmarkStart w:id="2546" w:name="_Toc517175483"/>
      <w:bookmarkStart w:id="2547" w:name="_Toc517176071"/>
      <w:bookmarkStart w:id="2548" w:name="_Toc517337393"/>
      <w:bookmarkStart w:id="2549" w:name="_Toc517360188"/>
      <w:bookmarkStart w:id="2550" w:name="_Toc512606813"/>
      <w:bookmarkStart w:id="2551" w:name="_Toc512606948"/>
      <w:bookmarkStart w:id="2552" w:name="_Toc512607083"/>
      <w:bookmarkStart w:id="2553" w:name="_Toc515355881"/>
      <w:bookmarkStart w:id="2554" w:name="_Toc515356018"/>
      <w:bookmarkStart w:id="2555" w:name="_Toc515360428"/>
      <w:bookmarkStart w:id="2556" w:name="_Toc515975024"/>
      <w:bookmarkStart w:id="2557" w:name="_Toc515978532"/>
      <w:bookmarkStart w:id="2558" w:name="_Toc516058916"/>
      <w:bookmarkStart w:id="2559" w:name="_Toc516059058"/>
      <w:bookmarkStart w:id="2560" w:name="_Toc516227782"/>
      <w:bookmarkStart w:id="2561" w:name="_Toc516229595"/>
      <w:bookmarkStart w:id="2562" w:name="_Toc516229890"/>
      <w:bookmarkStart w:id="2563" w:name="_Toc516230185"/>
      <w:bookmarkStart w:id="2564" w:name="_Toc516230480"/>
      <w:bookmarkStart w:id="2565" w:name="_Toc516230774"/>
      <w:bookmarkStart w:id="2566" w:name="_Toc516231068"/>
      <w:bookmarkStart w:id="2567" w:name="_Toc516231363"/>
      <w:bookmarkStart w:id="2568" w:name="_Toc516231659"/>
      <w:bookmarkStart w:id="2569" w:name="_Toc516242752"/>
      <w:bookmarkStart w:id="2570" w:name="_Toc516243055"/>
      <w:bookmarkStart w:id="2571" w:name="_Toc516244988"/>
      <w:bookmarkStart w:id="2572" w:name="_Toc516473560"/>
      <w:bookmarkStart w:id="2573" w:name="_Toc516473870"/>
      <w:bookmarkStart w:id="2574" w:name="_Toc516474180"/>
      <w:bookmarkStart w:id="2575" w:name="_Toc516474488"/>
      <w:bookmarkStart w:id="2576" w:name="_Toc516474819"/>
      <w:bookmarkStart w:id="2577" w:name="_Toc516478850"/>
      <w:bookmarkStart w:id="2578" w:name="_Toc516479313"/>
      <w:bookmarkStart w:id="2579" w:name="_Toc516479630"/>
      <w:bookmarkStart w:id="2580" w:name="_Toc516479953"/>
      <w:bookmarkStart w:id="2581" w:name="_Toc516480268"/>
      <w:bookmarkStart w:id="2582" w:name="_Toc516480582"/>
      <w:bookmarkStart w:id="2583" w:name="_Toc516480896"/>
      <w:bookmarkStart w:id="2584" w:name="_Toc516481210"/>
      <w:bookmarkStart w:id="2585" w:name="_Toc516481524"/>
      <w:bookmarkStart w:id="2586" w:name="_Toc516481838"/>
      <w:bookmarkStart w:id="2587" w:name="_Toc516482152"/>
      <w:bookmarkStart w:id="2588" w:name="_Toc516482466"/>
      <w:bookmarkStart w:id="2589" w:name="_Toc516739588"/>
      <w:bookmarkStart w:id="2590" w:name="_Toc516751501"/>
      <w:bookmarkStart w:id="2591" w:name="_Toc516825571"/>
      <w:bookmarkStart w:id="2592" w:name="_Toc516826129"/>
      <w:bookmarkStart w:id="2593" w:name="_Toc516837449"/>
      <w:bookmarkStart w:id="2594" w:name="_Toc516838008"/>
      <w:bookmarkStart w:id="2595" w:name="_Toc516838567"/>
      <w:bookmarkStart w:id="2596" w:name="_Toc516839127"/>
      <w:bookmarkStart w:id="2597" w:name="_Toc517173223"/>
      <w:bookmarkStart w:id="2598" w:name="_Toc517174897"/>
      <w:bookmarkStart w:id="2599" w:name="_Toc517175484"/>
      <w:bookmarkStart w:id="2600" w:name="_Toc517176072"/>
      <w:bookmarkStart w:id="2601" w:name="_Toc517337394"/>
      <w:bookmarkStart w:id="2602" w:name="_Toc517360189"/>
      <w:bookmarkStart w:id="2603" w:name="_Toc512606814"/>
      <w:bookmarkStart w:id="2604" w:name="_Toc512606949"/>
      <w:bookmarkStart w:id="2605" w:name="_Toc512607084"/>
      <w:bookmarkStart w:id="2606" w:name="_Toc515355882"/>
      <w:bookmarkStart w:id="2607" w:name="_Toc515356019"/>
      <w:bookmarkStart w:id="2608" w:name="_Toc515360429"/>
      <w:bookmarkStart w:id="2609" w:name="_Toc515975025"/>
      <w:bookmarkStart w:id="2610" w:name="_Toc515978533"/>
      <w:bookmarkStart w:id="2611" w:name="_Toc516058917"/>
      <w:bookmarkStart w:id="2612" w:name="_Toc516059059"/>
      <w:bookmarkStart w:id="2613" w:name="_Toc516227783"/>
      <w:bookmarkStart w:id="2614" w:name="_Toc516229596"/>
      <w:bookmarkStart w:id="2615" w:name="_Toc516229891"/>
      <w:bookmarkStart w:id="2616" w:name="_Toc516230186"/>
      <w:bookmarkStart w:id="2617" w:name="_Toc516230481"/>
      <w:bookmarkStart w:id="2618" w:name="_Toc516230775"/>
      <w:bookmarkStart w:id="2619" w:name="_Toc516231069"/>
      <w:bookmarkStart w:id="2620" w:name="_Toc516231364"/>
      <w:bookmarkStart w:id="2621" w:name="_Toc516231660"/>
      <w:bookmarkStart w:id="2622" w:name="_Toc516242753"/>
      <w:bookmarkStart w:id="2623" w:name="_Toc516243056"/>
      <w:bookmarkStart w:id="2624" w:name="_Toc516244989"/>
      <w:bookmarkStart w:id="2625" w:name="_Toc516473561"/>
      <w:bookmarkStart w:id="2626" w:name="_Toc516473871"/>
      <w:bookmarkStart w:id="2627" w:name="_Toc516474181"/>
      <w:bookmarkStart w:id="2628" w:name="_Toc516474489"/>
      <w:bookmarkStart w:id="2629" w:name="_Toc516474820"/>
      <w:bookmarkStart w:id="2630" w:name="_Toc516478851"/>
      <w:bookmarkStart w:id="2631" w:name="_Toc516479314"/>
      <w:bookmarkStart w:id="2632" w:name="_Toc516479631"/>
      <w:bookmarkStart w:id="2633" w:name="_Toc516479954"/>
      <w:bookmarkStart w:id="2634" w:name="_Toc516480269"/>
      <w:bookmarkStart w:id="2635" w:name="_Toc516480583"/>
      <w:bookmarkStart w:id="2636" w:name="_Toc516480897"/>
      <w:bookmarkStart w:id="2637" w:name="_Toc516481211"/>
      <w:bookmarkStart w:id="2638" w:name="_Toc516481525"/>
      <w:bookmarkStart w:id="2639" w:name="_Toc516481839"/>
      <w:bookmarkStart w:id="2640" w:name="_Toc516482153"/>
      <w:bookmarkStart w:id="2641" w:name="_Toc516482467"/>
      <w:bookmarkStart w:id="2642" w:name="_Toc516739589"/>
      <w:bookmarkStart w:id="2643" w:name="_Toc516751502"/>
      <w:bookmarkStart w:id="2644" w:name="_Toc516825572"/>
      <w:bookmarkStart w:id="2645" w:name="_Toc516826130"/>
      <w:bookmarkStart w:id="2646" w:name="_Toc516837450"/>
      <w:bookmarkStart w:id="2647" w:name="_Toc516838009"/>
      <w:bookmarkStart w:id="2648" w:name="_Toc516838568"/>
      <w:bookmarkStart w:id="2649" w:name="_Toc516839128"/>
      <w:bookmarkStart w:id="2650" w:name="_Toc517173224"/>
      <w:bookmarkStart w:id="2651" w:name="_Toc517174898"/>
      <w:bookmarkStart w:id="2652" w:name="_Toc517175485"/>
      <w:bookmarkStart w:id="2653" w:name="_Toc517176073"/>
      <w:bookmarkStart w:id="2654" w:name="_Toc517337395"/>
      <w:bookmarkStart w:id="2655" w:name="_Toc517360190"/>
      <w:bookmarkStart w:id="2656" w:name="_Toc512606815"/>
      <w:bookmarkStart w:id="2657" w:name="_Toc512606950"/>
      <w:bookmarkStart w:id="2658" w:name="_Toc512607085"/>
      <w:bookmarkStart w:id="2659" w:name="_Toc515355883"/>
      <w:bookmarkStart w:id="2660" w:name="_Toc515356020"/>
      <w:bookmarkStart w:id="2661" w:name="_Toc515360430"/>
      <w:bookmarkStart w:id="2662" w:name="_Toc515975026"/>
      <w:bookmarkStart w:id="2663" w:name="_Toc515978534"/>
      <w:bookmarkStart w:id="2664" w:name="_Toc516058918"/>
      <w:bookmarkStart w:id="2665" w:name="_Toc516059060"/>
      <w:bookmarkStart w:id="2666" w:name="_Toc516227784"/>
      <w:bookmarkStart w:id="2667" w:name="_Toc516229597"/>
      <w:bookmarkStart w:id="2668" w:name="_Toc516229892"/>
      <w:bookmarkStart w:id="2669" w:name="_Toc516230187"/>
      <w:bookmarkStart w:id="2670" w:name="_Toc516230482"/>
      <w:bookmarkStart w:id="2671" w:name="_Toc516230776"/>
      <w:bookmarkStart w:id="2672" w:name="_Toc516231070"/>
      <w:bookmarkStart w:id="2673" w:name="_Toc516231365"/>
      <w:bookmarkStart w:id="2674" w:name="_Toc516231661"/>
      <w:bookmarkStart w:id="2675" w:name="_Toc516242754"/>
      <w:bookmarkStart w:id="2676" w:name="_Toc516243057"/>
      <w:bookmarkStart w:id="2677" w:name="_Toc516244990"/>
      <w:bookmarkStart w:id="2678" w:name="_Toc516473562"/>
      <w:bookmarkStart w:id="2679" w:name="_Toc516473872"/>
      <w:bookmarkStart w:id="2680" w:name="_Toc516474182"/>
      <w:bookmarkStart w:id="2681" w:name="_Toc516474490"/>
      <w:bookmarkStart w:id="2682" w:name="_Toc516474821"/>
      <w:bookmarkStart w:id="2683" w:name="_Toc516478852"/>
      <w:bookmarkStart w:id="2684" w:name="_Toc516479315"/>
      <w:bookmarkStart w:id="2685" w:name="_Toc516479632"/>
      <w:bookmarkStart w:id="2686" w:name="_Toc516479955"/>
      <w:bookmarkStart w:id="2687" w:name="_Toc516480270"/>
      <w:bookmarkStart w:id="2688" w:name="_Toc516480584"/>
      <w:bookmarkStart w:id="2689" w:name="_Toc516480898"/>
      <w:bookmarkStart w:id="2690" w:name="_Toc516481212"/>
      <w:bookmarkStart w:id="2691" w:name="_Toc516481526"/>
      <w:bookmarkStart w:id="2692" w:name="_Toc516481840"/>
      <w:bookmarkStart w:id="2693" w:name="_Toc516482154"/>
      <w:bookmarkStart w:id="2694" w:name="_Toc516482468"/>
      <w:bookmarkStart w:id="2695" w:name="_Toc516739590"/>
      <w:bookmarkStart w:id="2696" w:name="_Toc516751503"/>
      <w:bookmarkStart w:id="2697" w:name="_Toc516825573"/>
      <w:bookmarkStart w:id="2698" w:name="_Toc516826131"/>
      <w:bookmarkStart w:id="2699" w:name="_Toc516837451"/>
      <w:bookmarkStart w:id="2700" w:name="_Toc516838010"/>
      <w:bookmarkStart w:id="2701" w:name="_Toc516838569"/>
      <w:bookmarkStart w:id="2702" w:name="_Toc516839129"/>
      <w:bookmarkStart w:id="2703" w:name="_Toc517173225"/>
      <w:bookmarkStart w:id="2704" w:name="_Toc517174899"/>
      <w:bookmarkStart w:id="2705" w:name="_Toc517175486"/>
      <w:bookmarkStart w:id="2706" w:name="_Toc517176074"/>
      <w:bookmarkStart w:id="2707" w:name="_Toc517337396"/>
      <w:bookmarkStart w:id="2708" w:name="_Toc517360191"/>
      <w:bookmarkStart w:id="2709" w:name="_Toc512606816"/>
      <w:bookmarkStart w:id="2710" w:name="_Toc512606951"/>
      <w:bookmarkStart w:id="2711" w:name="_Toc512607086"/>
      <w:bookmarkStart w:id="2712" w:name="_Toc515355884"/>
      <w:bookmarkStart w:id="2713" w:name="_Toc515356021"/>
      <w:bookmarkStart w:id="2714" w:name="_Toc515360431"/>
      <w:bookmarkStart w:id="2715" w:name="_Toc515975027"/>
      <w:bookmarkStart w:id="2716" w:name="_Toc515978535"/>
      <w:bookmarkStart w:id="2717" w:name="_Toc516058919"/>
      <w:bookmarkStart w:id="2718" w:name="_Toc516059061"/>
      <w:bookmarkStart w:id="2719" w:name="_Toc516227785"/>
      <w:bookmarkStart w:id="2720" w:name="_Toc516229598"/>
      <w:bookmarkStart w:id="2721" w:name="_Toc516229893"/>
      <w:bookmarkStart w:id="2722" w:name="_Toc516230188"/>
      <w:bookmarkStart w:id="2723" w:name="_Toc516230483"/>
      <w:bookmarkStart w:id="2724" w:name="_Toc516230777"/>
      <w:bookmarkStart w:id="2725" w:name="_Toc516231071"/>
      <w:bookmarkStart w:id="2726" w:name="_Toc516231366"/>
      <w:bookmarkStart w:id="2727" w:name="_Toc516231662"/>
      <w:bookmarkStart w:id="2728" w:name="_Toc516242755"/>
      <w:bookmarkStart w:id="2729" w:name="_Toc516243058"/>
      <w:bookmarkStart w:id="2730" w:name="_Toc516244991"/>
      <w:bookmarkStart w:id="2731" w:name="_Toc516473563"/>
      <w:bookmarkStart w:id="2732" w:name="_Toc516473873"/>
      <w:bookmarkStart w:id="2733" w:name="_Toc516474183"/>
      <w:bookmarkStart w:id="2734" w:name="_Toc516474491"/>
      <w:bookmarkStart w:id="2735" w:name="_Toc516474822"/>
      <w:bookmarkStart w:id="2736" w:name="_Toc516478853"/>
      <w:bookmarkStart w:id="2737" w:name="_Toc516479316"/>
      <w:bookmarkStart w:id="2738" w:name="_Toc516479633"/>
      <w:bookmarkStart w:id="2739" w:name="_Toc516479956"/>
      <w:bookmarkStart w:id="2740" w:name="_Toc516480271"/>
      <w:bookmarkStart w:id="2741" w:name="_Toc516480585"/>
      <w:bookmarkStart w:id="2742" w:name="_Toc516480899"/>
      <w:bookmarkStart w:id="2743" w:name="_Toc516481213"/>
      <w:bookmarkStart w:id="2744" w:name="_Toc516481527"/>
      <w:bookmarkStart w:id="2745" w:name="_Toc516481841"/>
      <w:bookmarkStart w:id="2746" w:name="_Toc516482155"/>
      <w:bookmarkStart w:id="2747" w:name="_Toc516482469"/>
      <w:bookmarkStart w:id="2748" w:name="_Toc516739591"/>
      <w:bookmarkStart w:id="2749" w:name="_Toc516751504"/>
      <w:bookmarkStart w:id="2750" w:name="_Toc516825574"/>
      <w:bookmarkStart w:id="2751" w:name="_Toc516826132"/>
      <w:bookmarkStart w:id="2752" w:name="_Toc516837452"/>
      <w:bookmarkStart w:id="2753" w:name="_Toc516838011"/>
      <w:bookmarkStart w:id="2754" w:name="_Toc516838570"/>
      <w:bookmarkStart w:id="2755" w:name="_Toc516839130"/>
      <w:bookmarkStart w:id="2756" w:name="_Toc517173226"/>
      <w:bookmarkStart w:id="2757" w:name="_Toc517174900"/>
      <w:bookmarkStart w:id="2758" w:name="_Toc517175487"/>
      <w:bookmarkStart w:id="2759" w:name="_Toc517176075"/>
      <w:bookmarkStart w:id="2760" w:name="_Toc517337397"/>
      <w:bookmarkStart w:id="2761" w:name="_Toc517360192"/>
      <w:bookmarkStart w:id="2762" w:name="_Toc512606817"/>
      <w:bookmarkStart w:id="2763" w:name="_Toc512606952"/>
      <w:bookmarkStart w:id="2764" w:name="_Toc512607087"/>
      <w:bookmarkStart w:id="2765" w:name="_Toc515355885"/>
      <w:bookmarkStart w:id="2766" w:name="_Toc515356022"/>
      <w:bookmarkStart w:id="2767" w:name="_Toc515360432"/>
      <w:bookmarkStart w:id="2768" w:name="_Toc515975028"/>
      <w:bookmarkStart w:id="2769" w:name="_Toc515978536"/>
      <w:bookmarkStart w:id="2770" w:name="_Toc516058920"/>
      <w:bookmarkStart w:id="2771" w:name="_Toc516059062"/>
      <w:bookmarkStart w:id="2772" w:name="_Toc516227786"/>
      <w:bookmarkStart w:id="2773" w:name="_Toc516229599"/>
      <w:bookmarkStart w:id="2774" w:name="_Toc516229894"/>
      <w:bookmarkStart w:id="2775" w:name="_Toc516230189"/>
      <w:bookmarkStart w:id="2776" w:name="_Toc516230484"/>
      <w:bookmarkStart w:id="2777" w:name="_Toc516230778"/>
      <w:bookmarkStart w:id="2778" w:name="_Toc516231072"/>
      <w:bookmarkStart w:id="2779" w:name="_Toc516231367"/>
      <w:bookmarkStart w:id="2780" w:name="_Toc516231663"/>
      <w:bookmarkStart w:id="2781" w:name="_Toc516242756"/>
      <w:bookmarkStart w:id="2782" w:name="_Toc516243059"/>
      <w:bookmarkStart w:id="2783" w:name="_Toc516244992"/>
      <w:bookmarkStart w:id="2784" w:name="_Toc516473564"/>
      <w:bookmarkStart w:id="2785" w:name="_Toc516473874"/>
      <w:bookmarkStart w:id="2786" w:name="_Toc516474184"/>
      <w:bookmarkStart w:id="2787" w:name="_Toc516474492"/>
      <w:bookmarkStart w:id="2788" w:name="_Toc516474823"/>
      <w:bookmarkStart w:id="2789" w:name="_Toc516478854"/>
      <w:bookmarkStart w:id="2790" w:name="_Toc516479317"/>
      <w:bookmarkStart w:id="2791" w:name="_Toc516479634"/>
      <w:bookmarkStart w:id="2792" w:name="_Toc516479957"/>
      <w:bookmarkStart w:id="2793" w:name="_Toc516480272"/>
      <w:bookmarkStart w:id="2794" w:name="_Toc516480586"/>
      <w:bookmarkStart w:id="2795" w:name="_Toc516480900"/>
      <w:bookmarkStart w:id="2796" w:name="_Toc516481214"/>
      <w:bookmarkStart w:id="2797" w:name="_Toc516481528"/>
      <w:bookmarkStart w:id="2798" w:name="_Toc516481842"/>
      <w:bookmarkStart w:id="2799" w:name="_Toc516482156"/>
      <w:bookmarkStart w:id="2800" w:name="_Toc516482470"/>
      <w:bookmarkStart w:id="2801" w:name="_Toc516739592"/>
      <w:bookmarkStart w:id="2802" w:name="_Toc516751505"/>
      <w:bookmarkStart w:id="2803" w:name="_Toc516825575"/>
      <w:bookmarkStart w:id="2804" w:name="_Toc516826133"/>
      <w:bookmarkStart w:id="2805" w:name="_Toc516837453"/>
      <w:bookmarkStart w:id="2806" w:name="_Toc516838012"/>
      <w:bookmarkStart w:id="2807" w:name="_Toc516838571"/>
      <w:bookmarkStart w:id="2808" w:name="_Toc516839131"/>
      <w:bookmarkStart w:id="2809" w:name="_Toc517173227"/>
      <w:bookmarkStart w:id="2810" w:name="_Toc517174901"/>
      <w:bookmarkStart w:id="2811" w:name="_Toc517175488"/>
      <w:bookmarkStart w:id="2812" w:name="_Toc517176076"/>
      <w:bookmarkStart w:id="2813" w:name="_Toc517337398"/>
      <w:bookmarkStart w:id="2814" w:name="_Toc517360193"/>
      <w:bookmarkStart w:id="2815" w:name="_Toc512606818"/>
      <w:bookmarkStart w:id="2816" w:name="_Toc512606953"/>
      <w:bookmarkStart w:id="2817" w:name="_Toc512607088"/>
      <w:bookmarkStart w:id="2818" w:name="_Toc515355886"/>
      <w:bookmarkStart w:id="2819" w:name="_Toc515356023"/>
      <w:bookmarkStart w:id="2820" w:name="_Toc515360433"/>
      <w:bookmarkStart w:id="2821" w:name="_Toc515975029"/>
      <w:bookmarkStart w:id="2822" w:name="_Toc515978537"/>
      <w:bookmarkStart w:id="2823" w:name="_Toc516058921"/>
      <w:bookmarkStart w:id="2824" w:name="_Toc516059063"/>
      <w:bookmarkStart w:id="2825" w:name="_Toc516227787"/>
      <w:bookmarkStart w:id="2826" w:name="_Toc516229600"/>
      <w:bookmarkStart w:id="2827" w:name="_Toc516229895"/>
      <w:bookmarkStart w:id="2828" w:name="_Toc516230190"/>
      <w:bookmarkStart w:id="2829" w:name="_Toc516230485"/>
      <w:bookmarkStart w:id="2830" w:name="_Toc516230779"/>
      <w:bookmarkStart w:id="2831" w:name="_Toc516231073"/>
      <w:bookmarkStart w:id="2832" w:name="_Toc516231368"/>
      <w:bookmarkStart w:id="2833" w:name="_Toc516231664"/>
      <w:bookmarkStart w:id="2834" w:name="_Toc516242757"/>
      <w:bookmarkStart w:id="2835" w:name="_Toc516243060"/>
      <w:bookmarkStart w:id="2836" w:name="_Toc516244993"/>
      <w:bookmarkStart w:id="2837" w:name="_Toc516473565"/>
      <w:bookmarkStart w:id="2838" w:name="_Toc516473875"/>
      <w:bookmarkStart w:id="2839" w:name="_Toc516474185"/>
      <w:bookmarkStart w:id="2840" w:name="_Toc516474493"/>
      <w:bookmarkStart w:id="2841" w:name="_Toc516474824"/>
      <w:bookmarkStart w:id="2842" w:name="_Toc516478855"/>
      <w:bookmarkStart w:id="2843" w:name="_Toc516479318"/>
      <w:bookmarkStart w:id="2844" w:name="_Toc516479635"/>
      <w:bookmarkStart w:id="2845" w:name="_Toc516479958"/>
      <w:bookmarkStart w:id="2846" w:name="_Toc516480273"/>
      <w:bookmarkStart w:id="2847" w:name="_Toc516480587"/>
      <w:bookmarkStart w:id="2848" w:name="_Toc516480901"/>
      <w:bookmarkStart w:id="2849" w:name="_Toc516481215"/>
      <w:bookmarkStart w:id="2850" w:name="_Toc516481529"/>
      <w:bookmarkStart w:id="2851" w:name="_Toc516481843"/>
      <w:bookmarkStart w:id="2852" w:name="_Toc516482157"/>
      <w:bookmarkStart w:id="2853" w:name="_Toc516482471"/>
      <w:bookmarkStart w:id="2854" w:name="_Toc516739593"/>
      <w:bookmarkStart w:id="2855" w:name="_Toc516751506"/>
      <w:bookmarkStart w:id="2856" w:name="_Toc516825576"/>
      <w:bookmarkStart w:id="2857" w:name="_Toc516826134"/>
      <w:bookmarkStart w:id="2858" w:name="_Toc516837454"/>
      <w:bookmarkStart w:id="2859" w:name="_Toc516838013"/>
      <w:bookmarkStart w:id="2860" w:name="_Toc516838572"/>
      <w:bookmarkStart w:id="2861" w:name="_Toc516839132"/>
      <w:bookmarkStart w:id="2862" w:name="_Toc517173228"/>
      <w:bookmarkStart w:id="2863" w:name="_Toc517174902"/>
      <w:bookmarkStart w:id="2864" w:name="_Toc517175489"/>
      <w:bookmarkStart w:id="2865" w:name="_Toc517176077"/>
      <w:bookmarkStart w:id="2866" w:name="_Toc517337399"/>
      <w:bookmarkStart w:id="2867" w:name="_Toc517360194"/>
      <w:bookmarkStart w:id="2868" w:name="_Toc512520223"/>
      <w:bookmarkStart w:id="2869" w:name="_Toc512520354"/>
      <w:bookmarkStart w:id="2870" w:name="_Toc512520486"/>
      <w:bookmarkStart w:id="2871" w:name="_Toc512520617"/>
      <w:bookmarkStart w:id="2872" w:name="_Toc512520748"/>
      <w:bookmarkStart w:id="2873" w:name="_Toc512520879"/>
      <w:bookmarkStart w:id="2874" w:name="_Toc512521010"/>
      <w:bookmarkStart w:id="2875" w:name="_Toc512606819"/>
      <w:bookmarkStart w:id="2876" w:name="_Toc512606954"/>
      <w:bookmarkStart w:id="2877" w:name="_Toc512607089"/>
      <w:bookmarkStart w:id="2878" w:name="_Toc515355887"/>
      <w:bookmarkStart w:id="2879" w:name="_Toc515356024"/>
      <w:bookmarkStart w:id="2880" w:name="_Toc515360434"/>
      <w:bookmarkStart w:id="2881" w:name="_Toc515975030"/>
      <w:bookmarkStart w:id="2882" w:name="_Toc515978538"/>
      <w:bookmarkStart w:id="2883" w:name="_Toc516058922"/>
      <w:bookmarkStart w:id="2884" w:name="_Toc516059064"/>
      <w:bookmarkStart w:id="2885" w:name="_Toc516227788"/>
      <w:bookmarkStart w:id="2886" w:name="_Toc516229601"/>
      <w:bookmarkStart w:id="2887" w:name="_Toc516229896"/>
      <w:bookmarkStart w:id="2888" w:name="_Toc516230191"/>
      <w:bookmarkStart w:id="2889" w:name="_Toc516230486"/>
      <w:bookmarkStart w:id="2890" w:name="_Toc516230780"/>
      <w:bookmarkStart w:id="2891" w:name="_Toc516231074"/>
      <w:bookmarkStart w:id="2892" w:name="_Toc516231369"/>
      <w:bookmarkStart w:id="2893" w:name="_Toc516231665"/>
      <w:bookmarkStart w:id="2894" w:name="_Toc516242758"/>
      <w:bookmarkStart w:id="2895" w:name="_Toc516243061"/>
      <w:bookmarkStart w:id="2896" w:name="_Toc516244994"/>
      <w:bookmarkStart w:id="2897" w:name="_Toc516473566"/>
      <w:bookmarkStart w:id="2898" w:name="_Toc516473876"/>
      <w:bookmarkStart w:id="2899" w:name="_Toc516474186"/>
      <w:bookmarkStart w:id="2900" w:name="_Toc516474494"/>
      <w:bookmarkStart w:id="2901" w:name="_Toc516474825"/>
      <w:bookmarkStart w:id="2902" w:name="_Toc516478856"/>
      <w:bookmarkStart w:id="2903" w:name="_Toc516479319"/>
      <w:bookmarkStart w:id="2904" w:name="_Toc516479636"/>
      <w:bookmarkStart w:id="2905" w:name="_Toc516479959"/>
      <w:bookmarkStart w:id="2906" w:name="_Toc516480274"/>
      <w:bookmarkStart w:id="2907" w:name="_Toc516480588"/>
      <w:bookmarkStart w:id="2908" w:name="_Toc516480902"/>
      <w:bookmarkStart w:id="2909" w:name="_Toc516481216"/>
      <w:bookmarkStart w:id="2910" w:name="_Toc516481530"/>
      <w:bookmarkStart w:id="2911" w:name="_Toc516481844"/>
      <w:bookmarkStart w:id="2912" w:name="_Toc516482158"/>
      <w:bookmarkStart w:id="2913" w:name="_Toc516482472"/>
      <w:bookmarkStart w:id="2914" w:name="_Toc516739594"/>
      <w:bookmarkStart w:id="2915" w:name="_Toc516751507"/>
      <w:bookmarkStart w:id="2916" w:name="_Toc516825577"/>
      <w:bookmarkStart w:id="2917" w:name="_Toc516826135"/>
      <w:bookmarkStart w:id="2918" w:name="_Toc516837455"/>
      <w:bookmarkStart w:id="2919" w:name="_Toc516838014"/>
      <w:bookmarkStart w:id="2920" w:name="_Toc516838573"/>
      <w:bookmarkStart w:id="2921" w:name="_Toc516839133"/>
      <w:bookmarkStart w:id="2922" w:name="_Toc517173229"/>
      <w:bookmarkStart w:id="2923" w:name="_Toc517174903"/>
      <w:bookmarkStart w:id="2924" w:name="_Toc517175490"/>
      <w:bookmarkStart w:id="2925" w:name="_Toc517176078"/>
      <w:bookmarkStart w:id="2926" w:name="_Toc517337400"/>
      <w:bookmarkStart w:id="2927" w:name="_Toc517360195"/>
      <w:bookmarkStart w:id="2928" w:name="_Toc7455760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rsidRPr="001E1353">
        <w:t>Dépenses de dette</w:t>
      </w:r>
      <w:bookmarkEnd w:id="2928"/>
      <w:r w:rsidRPr="001E1353">
        <w:t xml:space="preserve"> </w:t>
      </w:r>
    </w:p>
    <w:p w14:paraId="431E71C8" w14:textId="77777777" w:rsidR="004A2669" w:rsidRPr="001E1353" w:rsidRDefault="004A2669" w:rsidP="008D7EB7">
      <w:pPr>
        <w:spacing w:after="120"/>
        <w:jc w:val="both"/>
      </w:pPr>
      <w:r w:rsidRPr="001E1353">
        <w:t>Le tableau annexé au budget et relatif à l'évolution de la dette doit être le plus fiable et le plus complet possible. Dans ce but, il convient d'y intégrer les données les plus récentes possibles par rapport à la date de vote du budget</w:t>
      </w:r>
      <w:r w:rsidR="003B03FE">
        <w:t>,</w:t>
      </w:r>
      <w:r w:rsidRPr="001E1353">
        <w:t xml:space="preserve"> y compris les données relatives aux produits structurés, en provenance de tous les organismes financiers auprès desquels des emprunts ont été contractés. Il convient également de ne pas oublier d'y faire figurer </w:t>
      </w:r>
      <w:r w:rsidRPr="00E063FD">
        <w:t>tous</w:t>
      </w:r>
      <w:r w:rsidRPr="001E1353">
        <w:t xml:space="preserve"> les emprunts à contracter découlant des programmes antérieurs. </w:t>
      </w:r>
    </w:p>
    <w:p w14:paraId="4E0E9540" w14:textId="6229B1FC" w:rsidR="004A2669" w:rsidRDefault="004A2669" w:rsidP="008D7EB7">
      <w:pPr>
        <w:spacing w:after="120"/>
        <w:jc w:val="both"/>
      </w:pPr>
      <w:r w:rsidRPr="001E1353">
        <w:t xml:space="preserve">Il </w:t>
      </w:r>
      <w:r w:rsidR="00E86815">
        <w:t>convient d’éviter</w:t>
      </w:r>
      <w:r w:rsidR="009F639A">
        <w:t>, d’une part,</w:t>
      </w:r>
      <w:r w:rsidR="00E86815">
        <w:t xml:space="preserve"> </w:t>
      </w:r>
      <w:r w:rsidRPr="001E1353">
        <w:t xml:space="preserve">de conserver des queues d'emprunts inactives et de veiller à leur utilisation, soit pour du remboursement anticipé, soit pour un autofinancement (après </w:t>
      </w:r>
      <w:r w:rsidRPr="001E1353">
        <w:lastRenderedPageBreak/>
        <w:t>désaffection et réaffectation des soldes)</w:t>
      </w:r>
      <w:r w:rsidR="009F639A">
        <w:t xml:space="preserve"> </w:t>
      </w:r>
      <w:r w:rsidR="009F639A" w:rsidRPr="00FA20D6">
        <w:t xml:space="preserve">et, d’autre part, de recourir à l’émission de billets de trésorerie dont les échéances ne </w:t>
      </w:r>
      <w:r w:rsidR="00890407" w:rsidRPr="00FA20D6">
        <w:t>conviendraient pas au type de dépenses qu’ils financent</w:t>
      </w:r>
      <w:r w:rsidRPr="00FA20D6">
        <w:t>.</w:t>
      </w:r>
    </w:p>
    <w:p w14:paraId="749E0B80" w14:textId="77777777" w:rsidR="00965C36" w:rsidRDefault="00965C36" w:rsidP="008D7EB7">
      <w:pPr>
        <w:spacing w:after="120"/>
        <w:jc w:val="both"/>
      </w:pPr>
    </w:p>
    <w:p w14:paraId="20809D42" w14:textId="0262985B" w:rsidR="004A2669" w:rsidRPr="00965C36" w:rsidRDefault="00CB7ADD" w:rsidP="00256E9F">
      <w:pPr>
        <w:pStyle w:val="Sam3"/>
      </w:pPr>
      <w:bookmarkStart w:id="2929" w:name="_Toc74557606"/>
      <w:r w:rsidRPr="00965C36">
        <w:t xml:space="preserve">IV.4.1 </w:t>
      </w:r>
      <w:r w:rsidR="004A2669" w:rsidRPr="00965C36">
        <w:t>Stabilisation de la charge de la dette</w:t>
      </w:r>
      <w:bookmarkEnd w:id="2929"/>
    </w:p>
    <w:p w14:paraId="011DB1C4" w14:textId="320CE9F0" w:rsidR="004A2669" w:rsidRDefault="004A2669" w:rsidP="008D7EB7">
      <w:pPr>
        <w:spacing w:after="120"/>
        <w:jc w:val="both"/>
      </w:pPr>
      <w:r w:rsidRPr="001E1353">
        <w:t xml:space="preserve">Je précise qu'il n'y a stabilisation de la charge de la dette que pour autant que les charges complètes d'intérêts et d'amortissement des emprunts contractés en </w:t>
      </w:r>
      <w:r w:rsidR="005F3DAC">
        <w:t>2023</w:t>
      </w:r>
      <w:r w:rsidRPr="001E1353">
        <w:t xml:space="preserve">n'excèdent pas la moyenne arithmétique des charges complètes d'intérêts et d'amortissement des emprunts venus à échéance au cours des 5 années précédentes tout en considérant l'inflation (soit de </w:t>
      </w:r>
      <w:r w:rsidR="005F3DAC">
        <w:t>2018</w:t>
      </w:r>
      <w:r w:rsidR="005F3DAC" w:rsidRPr="00ED2CF5">
        <w:t xml:space="preserve"> </w:t>
      </w:r>
      <w:r w:rsidRPr="00ED2CF5">
        <w:t xml:space="preserve">inclus à </w:t>
      </w:r>
      <w:r w:rsidR="005F3DAC">
        <w:t>2022</w:t>
      </w:r>
      <w:r w:rsidR="005F3DAC" w:rsidRPr="00ED2CF5">
        <w:t xml:space="preserve"> </w:t>
      </w:r>
      <w:r w:rsidRPr="00ED2CF5">
        <w:t>inclus</w:t>
      </w:r>
      <w:r w:rsidRPr="001E1353">
        <w:t>)</w:t>
      </w:r>
      <w:r w:rsidR="00E86815">
        <w:t xml:space="preserve">, </w:t>
      </w:r>
      <w:r w:rsidRPr="001E1353">
        <w:t>charges relatives aux opérations de leasing</w:t>
      </w:r>
      <w:r w:rsidR="00E86815">
        <w:t xml:space="preserve"> y compris</w:t>
      </w:r>
      <w:r w:rsidRPr="001E1353">
        <w:t>.</w:t>
      </w:r>
    </w:p>
    <w:p w14:paraId="362BA392" w14:textId="798F918A" w:rsidR="00C55377" w:rsidRPr="00A65F14" w:rsidRDefault="00C55377" w:rsidP="008D7EB7">
      <w:pPr>
        <w:spacing w:after="120"/>
        <w:jc w:val="both"/>
        <w:rPr>
          <w:b/>
          <w:bCs/>
        </w:rPr>
      </w:pPr>
      <w:r w:rsidRPr="00A65F14">
        <w:rPr>
          <w:b/>
          <w:bCs/>
        </w:rPr>
        <w:t xml:space="preserve">En ce qui concerne les ouvertures de crédit n’ayant pas encore fait l’objet d’une consolidation, il est impératif d’en </w:t>
      </w:r>
      <w:r w:rsidR="00B416C4">
        <w:rPr>
          <w:b/>
          <w:bCs/>
        </w:rPr>
        <w:t>intégrer</w:t>
      </w:r>
      <w:r w:rsidRPr="00A65F14">
        <w:rPr>
          <w:b/>
          <w:bCs/>
        </w:rPr>
        <w:t xml:space="preserve"> les charges complètes</w:t>
      </w:r>
      <w:r w:rsidR="00B416C4">
        <w:rPr>
          <w:b/>
          <w:bCs/>
        </w:rPr>
        <w:t>,</w:t>
      </w:r>
      <w:r w:rsidRPr="00A65F14">
        <w:rPr>
          <w:b/>
          <w:bCs/>
        </w:rPr>
        <w:t xml:space="preserve"> intérêts et amortissement</w:t>
      </w:r>
      <w:r w:rsidR="00B416C4">
        <w:rPr>
          <w:b/>
          <w:bCs/>
        </w:rPr>
        <w:t>s,</w:t>
      </w:r>
      <w:r w:rsidRPr="00A65F14">
        <w:rPr>
          <w:b/>
          <w:bCs/>
        </w:rPr>
        <w:t xml:space="preserve"> comme si la consolidation était réalisée.</w:t>
      </w:r>
    </w:p>
    <w:p w14:paraId="11A2B8B3" w14:textId="77777777" w:rsidR="004A2669" w:rsidRPr="001E1353" w:rsidRDefault="004A2669" w:rsidP="008D7EB7">
      <w:pPr>
        <w:spacing w:after="120"/>
        <w:jc w:val="both"/>
      </w:pPr>
      <w:r w:rsidRPr="001E1353">
        <w:t>Afin d'éviter de juger de la stabilité de la charge de la dette au travers de cette seule règle mathématique, il conviendra de tenir à jour un tableau reprenant, par exercice, les montants qui ont servi à l'autofinancement du service extraordinaire ainsi que les montants affectés à des remboursements anticipés d'emprunts (soit sur boni extraordinaire, soit par transfert direct de service, soit par prélèvement via un fonds de réserve).</w:t>
      </w:r>
    </w:p>
    <w:p w14:paraId="1A6FFBBA" w14:textId="3B5F389E" w:rsidR="00611BC4" w:rsidRDefault="004A2669" w:rsidP="008D7EB7">
      <w:pPr>
        <w:spacing w:after="120"/>
        <w:jc w:val="both"/>
      </w:pPr>
      <w:r w:rsidRPr="001E1353">
        <w:t xml:space="preserve">Par ailleurs, j'attire tout particulièrement l'attention sur le danger de comprendre le principe de stabilisation de la charge de la dette de façon trop restrictive. Une comparaison qui se ferait strictement au niveau des charges nominales pourrait, à terme, aboutir à une augmentation importante de la dette réelle de la commune qui pourrait </w:t>
      </w:r>
      <w:proofErr w:type="gramStart"/>
      <w:r w:rsidRPr="001E1353">
        <w:t>avoir</w:t>
      </w:r>
      <w:proofErr w:type="gramEnd"/>
      <w:r w:rsidRPr="001E1353">
        <w:t xml:space="preserve"> des conséquences néfastes en cas de hausse de taux.</w:t>
      </w:r>
    </w:p>
    <w:p w14:paraId="738903FF" w14:textId="77777777" w:rsidR="005F7FC1" w:rsidRDefault="005F7FC1" w:rsidP="00256E9F">
      <w:pPr>
        <w:pStyle w:val="Sam3"/>
      </w:pPr>
    </w:p>
    <w:p w14:paraId="5518C2F2" w14:textId="7DE19C14" w:rsidR="004A2669" w:rsidRPr="001E1353" w:rsidRDefault="00CB7ADD" w:rsidP="00256E9F">
      <w:pPr>
        <w:pStyle w:val="Sam3"/>
      </w:pPr>
      <w:bookmarkStart w:id="2930" w:name="_Toc74557607"/>
      <w:r>
        <w:t xml:space="preserve">IV.4.2 </w:t>
      </w:r>
      <w:bookmarkStart w:id="2931" w:name="_Toc516825580"/>
      <w:bookmarkStart w:id="2932" w:name="_Toc516826138"/>
      <w:bookmarkStart w:id="2933" w:name="_Toc516837458"/>
      <w:bookmarkStart w:id="2934" w:name="_Toc516838017"/>
      <w:bookmarkStart w:id="2935" w:name="_Toc516838576"/>
      <w:bookmarkStart w:id="2936" w:name="_Toc516839136"/>
      <w:bookmarkStart w:id="2937" w:name="_Toc517173232"/>
      <w:bookmarkStart w:id="2938" w:name="_Toc517174906"/>
      <w:bookmarkStart w:id="2939" w:name="_Toc517175493"/>
      <w:bookmarkStart w:id="2940" w:name="_Toc517176081"/>
      <w:bookmarkStart w:id="2941" w:name="_Toc517337403"/>
      <w:bookmarkStart w:id="2942" w:name="_Toc517360198"/>
      <w:bookmarkEnd w:id="2931"/>
      <w:bookmarkEnd w:id="2932"/>
      <w:bookmarkEnd w:id="2933"/>
      <w:bookmarkEnd w:id="2934"/>
      <w:bookmarkEnd w:id="2935"/>
      <w:bookmarkEnd w:id="2936"/>
      <w:bookmarkEnd w:id="2937"/>
      <w:bookmarkEnd w:id="2938"/>
      <w:bookmarkEnd w:id="2939"/>
      <w:bookmarkEnd w:id="2940"/>
      <w:bookmarkEnd w:id="2941"/>
      <w:bookmarkEnd w:id="2942"/>
      <w:r w:rsidR="004A2669" w:rsidRPr="001E1353">
        <w:t>Leasing</w:t>
      </w:r>
      <w:r w:rsidR="008E76F2">
        <w:t xml:space="preserve"> financier</w:t>
      </w:r>
      <w:bookmarkEnd w:id="2930"/>
    </w:p>
    <w:p w14:paraId="7FB4BD3A" w14:textId="77777777" w:rsidR="008E76F2" w:rsidRPr="00B32BFC" w:rsidRDefault="008E76F2" w:rsidP="008D7EB7">
      <w:pPr>
        <w:spacing w:after="120"/>
        <w:jc w:val="both"/>
      </w:pPr>
      <w:r w:rsidRPr="00B32BFC">
        <w:t>Il y a lieu de distinguer le leasing opérationnel (</w:t>
      </w:r>
      <w:r>
        <w:t>« </w:t>
      </w:r>
      <w:proofErr w:type="spellStart"/>
      <w:r w:rsidRPr="00B32BFC">
        <w:t>renting</w:t>
      </w:r>
      <w:proofErr w:type="spellEnd"/>
      <w:r>
        <w:t> »</w:t>
      </w:r>
      <w:r w:rsidRPr="00B32BFC">
        <w:t xml:space="preserve"> ou location) et le leasing financier.</w:t>
      </w:r>
    </w:p>
    <w:p w14:paraId="31FB967B" w14:textId="30B65F91" w:rsidR="004A2669" w:rsidRDefault="004A2669" w:rsidP="008D7EB7">
      <w:pPr>
        <w:spacing w:after="120"/>
        <w:jc w:val="both"/>
      </w:pPr>
      <w:r w:rsidRPr="001E1353">
        <w:t xml:space="preserve">Le leasing </w:t>
      </w:r>
      <w:r w:rsidR="008E76F2">
        <w:t xml:space="preserve">financier </w:t>
      </w:r>
      <w:r w:rsidRPr="001E1353">
        <w:t>est défini comme une opération financière à moyen ou long terme visant l'acquisition de biens d'équipement, dans laquelle un organisme financier se porte acheteur du bien dont une entreprise a besoin et le lui loue pendant la durée normale d'amortissement.</w:t>
      </w:r>
    </w:p>
    <w:p w14:paraId="03DCABAB" w14:textId="77777777" w:rsidR="008E76F2" w:rsidRDefault="008E76F2" w:rsidP="008D7EB7">
      <w:pPr>
        <w:spacing w:after="120"/>
        <w:jc w:val="both"/>
      </w:pPr>
      <w:r w:rsidRPr="00B32BFC">
        <w:t xml:space="preserve">La limite entre le « </w:t>
      </w:r>
      <w:proofErr w:type="spellStart"/>
      <w:r w:rsidRPr="00B32BFC">
        <w:t>renting</w:t>
      </w:r>
      <w:proofErr w:type="spellEnd"/>
      <w:r w:rsidRPr="00B32BFC">
        <w:t xml:space="preserve"> » et le « leasing » est définie de manière assez complexe par la législation comptable. Un paramètre important est l’option d’achat. Un des éléments indiquant qu’il s’agit d’un « </w:t>
      </w:r>
      <w:proofErr w:type="spellStart"/>
      <w:r w:rsidRPr="00B32BFC">
        <w:t>renting</w:t>
      </w:r>
      <w:proofErr w:type="spellEnd"/>
      <w:r w:rsidRPr="00B32BFC">
        <w:t xml:space="preserve"> » est une option d’achat supérieure à 15 % de la valeur d’acquisition. </w:t>
      </w:r>
    </w:p>
    <w:p w14:paraId="7EBA2844" w14:textId="77777777" w:rsidR="004A2669" w:rsidRPr="001E1353" w:rsidRDefault="004A2669" w:rsidP="008D7EB7">
      <w:pPr>
        <w:spacing w:after="120"/>
        <w:jc w:val="both"/>
      </w:pPr>
      <w:r w:rsidRPr="001E1353">
        <w:t>Les charges périodiques de leasing doivent être imputées aux fonctions concernées, en dépenses ordinaires de dette, sous un code économique 911-03 pour le remboursement du capital et sous un code économique 211-03 pour les intérêts.</w:t>
      </w:r>
    </w:p>
    <w:p w14:paraId="28BB8D11" w14:textId="77777777" w:rsidR="004A2669" w:rsidRDefault="004A2669" w:rsidP="008D7EB7">
      <w:pPr>
        <w:spacing w:after="120"/>
        <w:jc w:val="both"/>
      </w:pPr>
      <w:r w:rsidRPr="001E1353">
        <w:t>En outre, la décision de souscription d'un leasing doit être prévue au service extraordinaire (voir infra).</w:t>
      </w:r>
    </w:p>
    <w:p w14:paraId="682A03BF" w14:textId="216B3493" w:rsidR="00D93BAD" w:rsidRDefault="004A2669" w:rsidP="00A65F14">
      <w:pPr>
        <w:jc w:val="both"/>
      </w:pPr>
      <w:r w:rsidRPr="001E1353">
        <w:t>Par ailleurs, les charges du leasing devront être prises en considération dans le cadre de la stabilisation de la charge de la dette.</w:t>
      </w:r>
    </w:p>
    <w:p w14:paraId="2DC78E9F" w14:textId="77777777" w:rsidR="005F7FC1" w:rsidRDefault="005F7FC1" w:rsidP="00256E9F">
      <w:pPr>
        <w:pStyle w:val="Sam3"/>
      </w:pPr>
    </w:p>
    <w:p w14:paraId="2DEAB4BD" w14:textId="142F3A68" w:rsidR="004A2669" w:rsidRPr="001E1353" w:rsidRDefault="00CB7ADD" w:rsidP="00256E9F">
      <w:pPr>
        <w:pStyle w:val="Sam3"/>
      </w:pPr>
      <w:bookmarkStart w:id="2943" w:name="_Toc74557608"/>
      <w:r>
        <w:t xml:space="preserve">IV.4.3 </w:t>
      </w:r>
      <w:bookmarkStart w:id="2944" w:name="_Toc6415645"/>
      <w:bookmarkStart w:id="2945" w:name="_Toc6415954"/>
      <w:bookmarkStart w:id="2946" w:name="_Toc6995562"/>
      <w:bookmarkStart w:id="2947" w:name="_Toc6995866"/>
      <w:bookmarkStart w:id="2948" w:name="_Toc6996170"/>
      <w:bookmarkStart w:id="2949" w:name="_Toc6997661"/>
      <w:bookmarkStart w:id="2950" w:name="_Toc7016436"/>
      <w:bookmarkStart w:id="2951" w:name="_Toc7020604"/>
      <w:bookmarkStart w:id="2952" w:name="_Toc7094665"/>
      <w:bookmarkStart w:id="2953" w:name="_Toc8121694"/>
      <w:bookmarkStart w:id="2954" w:name="_Toc8129635"/>
      <w:bookmarkEnd w:id="2944"/>
      <w:bookmarkEnd w:id="2945"/>
      <w:bookmarkEnd w:id="2946"/>
      <w:bookmarkEnd w:id="2947"/>
      <w:bookmarkEnd w:id="2948"/>
      <w:bookmarkEnd w:id="2949"/>
      <w:bookmarkEnd w:id="2950"/>
      <w:bookmarkEnd w:id="2951"/>
      <w:bookmarkEnd w:id="2952"/>
      <w:bookmarkEnd w:id="2953"/>
      <w:bookmarkEnd w:id="2954"/>
      <w:r w:rsidR="004A2669" w:rsidRPr="001E1353">
        <w:t>Emprunts à contracter prévus au cours des exercices antérieurs</w:t>
      </w:r>
      <w:bookmarkEnd w:id="2943"/>
    </w:p>
    <w:p w14:paraId="2024930D" w14:textId="77A4E694" w:rsidR="004A2669" w:rsidRDefault="004A2669" w:rsidP="004A2669">
      <w:pPr>
        <w:jc w:val="both"/>
      </w:pPr>
      <w:r w:rsidRPr="001E1353">
        <w:t xml:space="preserve">L'article 42, §2, 3°, du RGCC prévoit que le droit à recette est constaté lors de la mise à disposition de l'emprunt par l'organisme de crédit. De nouveaux crédits budgétaires de </w:t>
      </w:r>
      <w:r w:rsidRPr="001E1353">
        <w:lastRenderedPageBreak/>
        <w:t xml:space="preserve">recettes doivent être votés par le </w:t>
      </w:r>
      <w:r w:rsidR="002F0F80">
        <w:t>C</w:t>
      </w:r>
      <w:r w:rsidRPr="001E1353">
        <w:t>onseil pour constater les droits relatifs aux emprunts non contractés en temps voulu (et "annulés" en conséquence au 31 décembre).</w:t>
      </w:r>
    </w:p>
    <w:p w14:paraId="08675161" w14:textId="77777777" w:rsidR="007B26ED" w:rsidRPr="001E1353" w:rsidRDefault="007B26ED" w:rsidP="004A2669">
      <w:pPr>
        <w:jc w:val="both"/>
      </w:pPr>
    </w:p>
    <w:p w14:paraId="362A0BC7" w14:textId="5BB92D99" w:rsidR="004A2669" w:rsidRPr="001E1353" w:rsidRDefault="00FE1832" w:rsidP="00256E9F">
      <w:pPr>
        <w:pStyle w:val="Sam3"/>
      </w:pPr>
      <w:bookmarkStart w:id="2955" w:name="_Toc74557609"/>
      <w:r>
        <w:t xml:space="preserve">IV.4.4 </w:t>
      </w:r>
      <w:r w:rsidR="004A2669" w:rsidRPr="001E1353">
        <w:t>Garanties d'emprunts</w:t>
      </w:r>
      <w:bookmarkEnd w:id="2955"/>
    </w:p>
    <w:p w14:paraId="061291A9" w14:textId="0821E0DD" w:rsidR="004A2669" w:rsidRPr="001E1353" w:rsidRDefault="004A2669" w:rsidP="008D7EB7">
      <w:pPr>
        <w:spacing w:after="120"/>
        <w:jc w:val="both"/>
      </w:pPr>
      <w:r w:rsidRPr="001E1353">
        <w:t xml:space="preserve">Les communes annexeront à leur budget </w:t>
      </w:r>
      <w:r w:rsidR="008C6E7C" w:rsidRPr="008E76F2">
        <w:t>la</w:t>
      </w:r>
      <w:r w:rsidR="008C6E7C" w:rsidRPr="001E1353">
        <w:t xml:space="preserve"> </w:t>
      </w:r>
      <w:r w:rsidRPr="001E1353">
        <w:t>liste complète des garanties qu'ils ont accordées (bénéficiaire, organisme prêteur, montant, durée de validité, totalisation des garanties, etc.).</w:t>
      </w:r>
    </w:p>
    <w:p w14:paraId="45AE61BE" w14:textId="3262AE9D" w:rsidR="00D93BAD" w:rsidRDefault="004A2669" w:rsidP="008D7EB7">
      <w:pPr>
        <w:spacing w:after="120"/>
        <w:jc w:val="both"/>
      </w:pPr>
      <w:r w:rsidRPr="001E1353">
        <w:t>L'octroi d'une garantie d'emprunt n'est pas sans risque. En effet, s'il y a défaillance du débiteur principal, la commune peut se voir obligée de suppléer cette carence</w:t>
      </w:r>
      <w:r w:rsidR="002B1D5F">
        <w:t>. E</w:t>
      </w:r>
      <w:r w:rsidRPr="001E1353">
        <w:t>n cas d'activation d'une garantie, le remboursement par la commune de l'emprunt garanti par elle se fait via un article du service ordinaire xxx/918-01</w:t>
      </w:r>
      <w:r w:rsidR="002B1D5F">
        <w:t xml:space="preserve"> et est reprise dans la balise communale d’emprunt</w:t>
      </w:r>
      <w:r w:rsidR="00C00B38">
        <w:t xml:space="preserve"> et ses ratios de charge de dette et d’endettement</w:t>
      </w:r>
      <w:r w:rsidR="002B1D5F">
        <w:t xml:space="preserve">. </w:t>
      </w:r>
    </w:p>
    <w:p w14:paraId="7D9C7F4A" w14:textId="073D50D0" w:rsidR="00D93BAD" w:rsidRPr="001E1353" w:rsidRDefault="00D93BAD" w:rsidP="008D7EB7">
      <w:pPr>
        <w:spacing w:after="120"/>
        <w:jc w:val="both"/>
      </w:pPr>
      <w:r>
        <w:t>Dès lors</w:t>
      </w:r>
      <w:r w:rsidR="004A2669" w:rsidRPr="001E1353">
        <w:t xml:space="preserve">, je recommande la plus grande prudence dans l'octroi de telles garanties. </w:t>
      </w:r>
    </w:p>
    <w:p w14:paraId="1E2D9546" w14:textId="3D4F74CE" w:rsidR="004A2669" w:rsidRDefault="004A2669" w:rsidP="00A65F14">
      <w:pPr>
        <w:jc w:val="both"/>
      </w:pPr>
      <w:r w:rsidRPr="001E1353">
        <w:t>Par ailleurs, j'attire votre attention sur le suivi réalisé par Eurostat</w:t>
      </w:r>
      <w:r w:rsidRPr="00900C39">
        <w:rPr>
          <w:vertAlign w:val="superscript"/>
        </w:rPr>
        <w:footnoteReference w:id="28"/>
      </w:r>
      <w:r w:rsidRPr="001E1353">
        <w:t xml:space="preserve"> - pour compte de la Commission européenne - en ce qui concerne lesdites garanties</w:t>
      </w:r>
      <w:r w:rsidR="002B1D5F">
        <w:t xml:space="preserve"> qui</w:t>
      </w:r>
      <w:r w:rsidRPr="001E1353">
        <w:t xml:space="preserve"> font l'objet d'analyses tendant à vérifier si elles constituent ou non des éléments à intégrer dans la dette consolidée des pays membres. Pour permettre ces analyses réalisées au niveau européen, un certain nombre de données doivent être fournies par chacun des </w:t>
      </w:r>
      <w:r w:rsidR="008C6E7C" w:rsidRPr="008E76F2">
        <w:t>Pays M</w:t>
      </w:r>
      <w:r w:rsidRPr="001E1353">
        <w:t xml:space="preserve">embres à Eurostat. </w:t>
      </w:r>
    </w:p>
    <w:p w14:paraId="2C40D6D5" w14:textId="77777777" w:rsidR="005F7FC1" w:rsidRDefault="005F7FC1" w:rsidP="00A65F14">
      <w:pPr>
        <w:jc w:val="both"/>
      </w:pPr>
    </w:p>
    <w:p w14:paraId="55C46CE1" w14:textId="1D05D5FC" w:rsidR="004A2669" w:rsidRPr="001E1353" w:rsidRDefault="00FE1832" w:rsidP="00256E9F">
      <w:pPr>
        <w:pStyle w:val="Sam3"/>
      </w:pPr>
      <w:bookmarkStart w:id="2956" w:name="_Toc74557610"/>
      <w:r>
        <w:t xml:space="preserve">IV.4.5 </w:t>
      </w:r>
      <w:r w:rsidR="004A2669" w:rsidRPr="001E1353">
        <w:t>Rééchelonnements d'emprunts</w:t>
      </w:r>
      <w:bookmarkEnd w:id="2956"/>
    </w:p>
    <w:p w14:paraId="6B91D465" w14:textId="682675B3" w:rsidR="004A2669" w:rsidRPr="001E1353" w:rsidRDefault="004A2669" w:rsidP="008D7EB7">
      <w:pPr>
        <w:spacing w:after="120"/>
        <w:jc w:val="both"/>
      </w:pPr>
      <w:r w:rsidRPr="001E1353">
        <w:t>La notion de rééchelonnement vise l'étalement de charges sur une période plus longue</w:t>
      </w:r>
      <w:r w:rsidR="00E0460B">
        <w:t>.</w:t>
      </w:r>
      <w:r w:rsidRPr="001E1353">
        <w:t xml:space="preserve"> Tout rééchelonnement doit respecter bien évidemment la durée de vie économique du bien concerné</w:t>
      </w:r>
      <w:r w:rsidR="00D90EB6">
        <w:t xml:space="preserve"> (c’est-à-dire la durée d’amortissement)</w:t>
      </w:r>
      <w:r w:rsidRPr="001E1353">
        <w:t>, conformément à l’article 22 du RGCC et à son annexe</w:t>
      </w:r>
      <w:r w:rsidR="00D93BAD">
        <w:t>.</w:t>
      </w:r>
    </w:p>
    <w:p w14:paraId="7BF3340E" w14:textId="3A38789C" w:rsidR="008E76F2" w:rsidRDefault="004A2669" w:rsidP="00A65F14">
      <w:pPr>
        <w:jc w:val="both"/>
      </w:pPr>
      <w:r w:rsidRPr="001E1353">
        <w:t xml:space="preserve">Les délibérations communales concernées sont soumises à la tutelle spéciale </w:t>
      </w:r>
      <w:r w:rsidR="00C117C8">
        <w:t xml:space="preserve">d’approbation </w:t>
      </w:r>
      <w:r w:rsidRPr="001E1353">
        <w:t>du Gouvernement wallon.</w:t>
      </w:r>
    </w:p>
    <w:p w14:paraId="2377C194" w14:textId="77777777" w:rsidR="005F7FC1" w:rsidRDefault="005F7FC1" w:rsidP="00A65F14">
      <w:pPr>
        <w:jc w:val="both"/>
      </w:pPr>
    </w:p>
    <w:p w14:paraId="65C141D0" w14:textId="1577B496" w:rsidR="004A2669" w:rsidRPr="001E1353" w:rsidRDefault="00FE1832" w:rsidP="00256E9F">
      <w:pPr>
        <w:pStyle w:val="Sam3"/>
      </w:pPr>
      <w:bookmarkStart w:id="2957" w:name="_Toc74557611"/>
      <w:r>
        <w:t xml:space="preserve">IV.4.6 </w:t>
      </w:r>
      <w:r w:rsidR="004A2669" w:rsidRPr="001E1353">
        <w:t>Charge des nouveaux emprunts</w:t>
      </w:r>
      <w:bookmarkEnd w:id="2957"/>
    </w:p>
    <w:p w14:paraId="4206A8FF" w14:textId="53A8B7F2" w:rsidR="004A2669" w:rsidRDefault="004A2669" w:rsidP="004A2669">
      <w:pPr>
        <w:jc w:val="both"/>
      </w:pPr>
      <w:r w:rsidRPr="001E1353">
        <w:t>Les communes inscriront au budget une prévision correcte en fonction de l'évolution des taux de charges d'intérêts (il n'y a généralement pas d'amortissement à prévoir la 1</w:t>
      </w:r>
      <w:r w:rsidRPr="001E1353">
        <w:rPr>
          <w:vertAlign w:val="superscript"/>
        </w:rPr>
        <w:t>ère</w:t>
      </w:r>
      <w:r w:rsidRPr="001E1353">
        <w:t xml:space="preserve"> année) équivalente :</w:t>
      </w:r>
    </w:p>
    <w:p w14:paraId="148E0FB6" w14:textId="77777777" w:rsidR="004A2669" w:rsidRPr="00E82604" w:rsidRDefault="004A2669" w:rsidP="008D7EB7">
      <w:pPr>
        <w:pStyle w:val="Paragraphedeliste"/>
        <w:numPr>
          <w:ilvl w:val="0"/>
          <w:numId w:val="291"/>
        </w:numPr>
        <w:ind w:hanging="414"/>
        <w:jc w:val="both"/>
      </w:pPr>
      <w:proofErr w:type="gramStart"/>
      <w:r w:rsidRPr="00E82604">
        <w:t>à</w:t>
      </w:r>
      <w:proofErr w:type="gramEnd"/>
      <w:r w:rsidRPr="00E82604">
        <w:t xml:space="preserve"> </w:t>
      </w:r>
      <w:r w:rsidRPr="00E063FD">
        <w:rPr>
          <w:u w:val="single"/>
        </w:rPr>
        <w:t>six mois</w:t>
      </w:r>
      <w:r w:rsidRPr="00E82604">
        <w:t xml:space="preserve"> pour les nouveaux emprunts à contracter au cours de l'exercice pour des investissements </w:t>
      </w:r>
      <w:r w:rsidRPr="00E063FD">
        <w:rPr>
          <w:u w:val="single"/>
        </w:rPr>
        <w:t>non subsidiés</w:t>
      </w:r>
      <w:r w:rsidRPr="00E82604">
        <w:t xml:space="preserve"> ;</w:t>
      </w:r>
    </w:p>
    <w:p w14:paraId="28FD8120" w14:textId="77777777" w:rsidR="004A2669" w:rsidRPr="001E1353" w:rsidRDefault="004A2669" w:rsidP="008D7EB7">
      <w:pPr>
        <w:numPr>
          <w:ilvl w:val="0"/>
          <w:numId w:val="291"/>
        </w:numPr>
        <w:ind w:hanging="414"/>
        <w:jc w:val="both"/>
      </w:pPr>
      <w:proofErr w:type="gramStart"/>
      <w:r w:rsidRPr="001E1353">
        <w:t>à</w:t>
      </w:r>
      <w:proofErr w:type="gramEnd"/>
      <w:r w:rsidRPr="001E1353">
        <w:t xml:space="preserve"> </w:t>
      </w:r>
      <w:r w:rsidRPr="00E063FD">
        <w:rPr>
          <w:u w:val="single"/>
        </w:rPr>
        <w:t>trois mois</w:t>
      </w:r>
      <w:r w:rsidRPr="001E1353">
        <w:t xml:space="preserve"> pour les </w:t>
      </w:r>
      <w:r w:rsidRPr="00E063FD">
        <w:t>nouveaux emprunts</w:t>
      </w:r>
      <w:r w:rsidRPr="001E1353">
        <w:t xml:space="preserve"> à contracter au cours de l'exercice pour les investissements </w:t>
      </w:r>
      <w:r w:rsidRPr="00E063FD">
        <w:rPr>
          <w:u w:val="single"/>
        </w:rPr>
        <w:t>subsidiés</w:t>
      </w:r>
      <w:r w:rsidRPr="001E1353">
        <w:t>.</w:t>
      </w:r>
    </w:p>
    <w:p w14:paraId="204F7175" w14:textId="77777777" w:rsidR="00E82604" w:rsidRDefault="00E82604" w:rsidP="004A2669">
      <w:pPr>
        <w:jc w:val="both"/>
      </w:pPr>
    </w:p>
    <w:p w14:paraId="22C05E43" w14:textId="77777777" w:rsidR="004A2669" w:rsidRDefault="004A2669" w:rsidP="008D7EB7">
      <w:pPr>
        <w:spacing w:after="120"/>
        <w:jc w:val="both"/>
      </w:pPr>
      <w:r w:rsidRPr="001E1353">
        <w:t xml:space="preserve">Cette « règle » des 3 ou 6 mois d'intérêts concerne </w:t>
      </w:r>
      <w:r w:rsidRPr="00E063FD">
        <w:t>exclusivement</w:t>
      </w:r>
      <w:r w:rsidRPr="001E1353">
        <w:t xml:space="preserve"> les nouveaux emprunts de l'exercice, à l'exclusion des emprunts antérieurs réinscrits. Dans l'hypothèse de réinscriptions d'emprunts prévus aux exercices antérieurs, mais non concrétisés (sur dépenses engagées), il convient de prévoir une année complète d'intérêts, la constatation des droits pouvant survenir n'importe quand</w:t>
      </w:r>
      <w:r w:rsidR="005D3CCC">
        <w:t>.</w:t>
      </w:r>
    </w:p>
    <w:p w14:paraId="4511A1E5" w14:textId="48E02C23" w:rsidR="004A2669" w:rsidRDefault="004A2669" w:rsidP="008D7EB7">
      <w:pPr>
        <w:spacing w:after="120"/>
        <w:jc w:val="both"/>
      </w:pPr>
      <w:r w:rsidRPr="001E1353">
        <w:t xml:space="preserve">Par ailleurs, il est toléré qu'un emprunt seulement inscrit en modification budgétaire de fin d'exercice ne soit accompagné que de la partie « réaliste » des charges d'intérêts potentielles </w:t>
      </w:r>
      <w:r w:rsidRPr="001E1353">
        <w:lastRenderedPageBreak/>
        <w:t>correspondant à la partie de l'année subsistante (si inscrit en novembre, il va de soi « qu'au pire » il ne devra supporter que 2 mois d'intérêts).</w:t>
      </w:r>
    </w:p>
    <w:p w14:paraId="5B0A05B7" w14:textId="77777777" w:rsidR="006843B9" w:rsidRPr="00F843EF" w:rsidRDefault="006843B9" w:rsidP="008D7EB7">
      <w:pPr>
        <w:spacing w:after="120"/>
        <w:jc w:val="both"/>
        <w:rPr>
          <w:sz w:val="10"/>
          <w:szCs w:val="10"/>
        </w:rPr>
      </w:pPr>
    </w:p>
    <w:p w14:paraId="507CBA16" w14:textId="77777777" w:rsidR="004A2669" w:rsidRPr="001E1353" w:rsidRDefault="004A2669" w:rsidP="001E1353">
      <w:pPr>
        <w:pStyle w:val="Sam2"/>
      </w:pPr>
      <w:bookmarkStart w:id="2958" w:name="_Toc74557612"/>
      <w:r w:rsidRPr="001E1353">
        <w:t>Prélèvements et provisions pour risques et charges</w:t>
      </w:r>
      <w:bookmarkEnd w:id="2958"/>
    </w:p>
    <w:p w14:paraId="5BFBCD69" w14:textId="2A8C3203" w:rsidR="004A2669" w:rsidRPr="001E1353" w:rsidRDefault="00FE1832" w:rsidP="00256E9F">
      <w:pPr>
        <w:pStyle w:val="Sam3"/>
      </w:pPr>
      <w:bookmarkStart w:id="2959" w:name="_Toc74557613"/>
      <w:r>
        <w:t xml:space="preserve">IV.5.1 </w:t>
      </w:r>
      <w:r w:rsidR="004A2669" w:rsidRPr="001E1353">
        <w:t>Prélèvements</w:t>
      </w:r>
      <w:bookmarkEnd w:id="2959"/>
    </w:p>
    <w:p w14:paraId="660412CE" w14:textId="77777777" w:rsidR="004A2669" w:rsidRPr="001E1353" w:rsidRDefault="004A2669" w:rsidP="008D7EB7">
      <w:pPr>
        <w:spacing w:after="120"/>
        <w:jc w:val="both"/>
      </w:pPr>
      <w:r w:rsidRPr="001E1353">
        <w:t xml:space="preserve">La constitution des fonds de réserve — qui ne peut se pratiquer que sur un boni (article 9 du RGCC) </w:t>
      </w:r>
      <w:r w:rsidRPr="001E1353">
        <w:softHyphen/>
        <w:t xml:space="preserve">ne doit pas être affectée uniquement à la couverture du financement des dépenses extraordinaires. Le recours à des fonds de réserve ordinaire peut en effet contribuer à mieux répartir des charges et produits courants fortement fluctuants dans le moyen ou le long terme. </w:t>
      </w:r>
    </w:p>
    <w:p w14:paraId="001F7529" w14:textId="252F5D74" w:rsidR="004A2669" w:rsidRDefault="00D90EB6" w:rsidP="008D7EB7">
      <w:pPr>
        <w:spacing w:after="120"/>
        <w:jc w:val="both"/>
      </w:pPr>
      <w:r>
        <w:t>U</w:t>
      </w:r>
      <w:r w:rsidR="00972873" w:rsidRPr="00972873">
        <w:t xml:space="preserve">n </w:t>
      </w:r>
      <w:r w:rsidR="004A2669" w:rsidRPr="001E1353">
        <w:t>fonds de réserve ne peut jamais être rapatrié dans l'exercice proprement dit d'un budget mais toujours dans le résultat global par la fonction 060</w:t>
      </w:r>
      <w:r w:rsidR="00972873">
        <w:rPr>
          <w:rStyle w:val="Appelnotedebasdep"/>
        </w:rPr>
        <w:footnoteReference w:id="29"/>
      </w:r>
      <w:r w:rsidR="004A2669" w:rsidRPr="001E1353">
        <w:t>.</w:t>
      </w:r>
    </w:p>
    <w:p w14:paraId="41E769F2" w14:textId="6FE6CD17" w:rsidR="00496FC3" w:rsidRDefault="00496FC3" w:rsidP="008D7EB7">
      <w:pPr>
        <w:spacing w:after="120"/>
        <w:jc w:val="both"/>
      </w:pPr>
      <w:r w:rsidRPr="008E76F2">
        <w:t>Je rappelle que le fonds de réserve extraordinaire FRIC ne peut être utilisé que pour le financement de projets éligibles et que le fonds de réserve extraordinaire classique et le fonds de réserve FRIC ne peuvent en aucun cas être globalisés.</w:t>
      </w:r>
      <w:r>
        <w:t xml:space="preserve"> </w:t>
      </w:r>
    </w:p>
    <w:p w14:paraId="379B2031" w14:textId="06E451C9" w:rsidR="00972873" w:rsidRDefault="004A2669" w:rsidP="00A65F14">
      <w:pPr>
        <w:jc w:val="both"/>
      </w:pPr>
      <w:r w:rsidRPr="001E1353">
        <w:t>Je rappelle également que, dans le cadre de l'application des numéros de projet extraordinaire, l'utilisation du boni du service extraordinaire, à condition que celui-ci soit dûment justifié, doit faire l'objet d'un transfert préalable au fonds de réserve extraordinaire afin d'en permettre la comptabilisation. Il en va de même pour les transferts en provenance de l'ordinaire. Ceci ne modifiant en rien les règles classiques de la comptabilité concernant les prélèvements et les transferts, comme expliqué ci-dessus.</w:t>
      </w:r>
    </w:p>
    <w:p w14:paraId="16722354" w14:textId="77777777" w:rsidR="004A2669" w:rsidRDefault="004A2669" w:rsidP="00A65F14">
      <w:pPr>
        <w:jc w:val="both"/>
      </w:pPr>
    </w:p>
    <w:p w14:paraId="61C646EA" w14:textId="5D57B871" w:rsidR="004A2669" w:rsidRPr="001E1353" w:rsidRDefault="00FE1832" w:rsidP="00256E9F">
      <w:pPr>
        <w:pStyle w:val="Sam3"/>
      </w:pPr>
      <w:bookmarkStart w:id="2960" w:name="_Toc74557614"/>
      <w:r>
        <w:t xml:space="preserve">IV.5.2 </w:t>
      </w:r>
      <w:r w:rsidR="004A2669" w:rsidRPr="001E1353">
        <w:t>Provisions pour risques et charges</w:t>
      </w:r>
      <w:bookmarkEnd w:id="2960"/>
      <w:r w:rsidR="004A2669" w:rsidRPr="001E1353">
        <w:t xml:space="preserve"> </w:t>
      </w:r>
    </w:p>
    <w:p w14:paraId="4A6FBC8F" w14:textId="68393B7E" w:rsidR="008E76F2" w:rsidRDefault="008E76F2" w:rsidP="008D7EB7">
      <w:pPr>
        <w:spacing w:after="120"/>
        <w:jc w:val="both"/>
      </w:pPr>
      <w:r>
        <w:t>Les dispositions des articles 1</w:t>
      </w:r>
      <w:r w:rsidRPr="008D7EB7">
        <w:t>er</w:t>
      </w:r>
      <w:r>
        <w:t>, 15°, 3, 8 et 9 du règlement général de la comptabilité communale permettent l'utilisation des fonctions bénéficiaires pour la constitution et l'utilisation de provisions pour risques et charges.</w:t>
      </w:r>
    </w:p>
    <w:p w14:paraId="3BA18ACC" w14:textId="09B60957" w:rsidR="008E76F2" w:rsidRDefault="008E76F2" w:rsidP="008D7EB7">
      <w:pPr>
        <w:spacing w:after="120"/>
        <w:jc w:val="both"/>
      </w:pPr>
      <w:r>
        <w:t>Pour ce faire, il s'agira de créer au niveau de chaque fonction une nature « prélèvement pour provisions » avec le code économique 958-01 pour la dotation (code totalisateur 78), les codes économiques 998-01 pour l'utilisation et 998-02 pour la reprise (code totalisateur 68).</w:t>
      </w:r>
    </w:p>
    <w:p w14:paraId="3F568D93" w14:textId="1246FE0A" w:rsidR="008E76F2" w:rsidRDefault="008E76F2" w:rsidP="008D7EB7">
      <w:pPr>
        <w:spacing w:after="120"/>
        <w:jc w:val="both"/>
      </w:pPr>
      <w:r>
        <w:t>L’article 1, 15° du règlement général de la comptabilité communale précise ce qu’il y a lieu d’entendre p</w:t>
      </w:r>
      <w:r w:rsidRPr="006336D8">
        <w:t>our l'application du présent règlement</w:t>
      </w:r>
      <w:r>
        <w:t xml:space="preserve"> par </w:t>
      </w:r>
      <w:r w:rsidRPr="006336D8">
        <w:t>provision pour risques et charges</w:t>
      </w:r>
      <w:r>
        <w:t xml:space="preserve"> </w:t>
      </w:r>
      <w:r w:rsidRPr="006336D8">
        <w:t>: la constitution de provisions pour risques et charges vise à introduire une planification de certaines dépenses à venir dans la comptabilité communale. Il doit s'agir de dépenses afférentes à un exercice futur, certaines ou du moins très probables quant à leur principe, circonscrites quant à leur nature ou leur objet mais indéterminées quant à leur montant. Elle permet le rapatriement et l'inscription des recettes nécessaires à l'exercice propre d'un budget ultérieur, dans la fonction concernée</w:t>
      </w:r>
      <w:r>
        <w:t>.</w:t>
      </w:r>
    </w:p>
    <w:p w14:paraId="76821598" w14:textId="5139EB65" w:rsidR="008E76F2" w:rsidRDefault="008E76F2" w:rsidP="008D7EB7">
      <w:pPr>
        <w:spacing w:after="120"/>
        <w:jc w:val="both"/>
      </w:pPr>
      <w:r>
        <w:t xml:space="preserve">Par conséquent, </w:t>
      </w:r>
      <w:bookmarkStart w:id="2961" w:name="_Hlk105058457"/>
      <w:r>
        <w:t xml:space="preserve">la constitution d’une provision pour risque et charge représente une anticipation d’une charge ou d’un risque à venir. </w:t>
      </w:r>
    </w:p>
    <w:p w14:paraId="77835636" w14:textId="5FBE0028" w:rsidR="008E76F2" w:rsidRDefault="008E76F2" w:rsidP="008D7EB7">
      <w:pPr>
        <w:spacing w:after="120"/>
        <w:jc w:val="both"/>
      </w:pPr>
      <w:r>
        <w:t xml:space="preserve">L’usage du vocable « charge » ou « risque » a pour effet qu’une provision destinée à couvrir les dépenses relatives à l’acquisition d’une immobilisation ne tombe pas dans le champ d’application de l’article 1, 15° du règlement général de la comptabilité communale. En effet, </w:t>
      </w:r>
      <w:r>
        <w:lastRenderedPageBreak/>
        <w:t>le règlement n’envisage que deux grandes catégories de provisions, à savoir les provisions pour risques et les provisions pour charges. Autrement dit, les dépenses auxquelles la provision est destinée à faire face ne peuvent pas avoir pour contrepartie l</w:t>
      </w:r>
      <w:r w:rsidRPr="00710FAA">
        <w:t xml:space="preserve">a </w:t>
      </w:r>
      <w:r>
        <w:t>« </w:t>
      </w:r>
      <w:r w:rsidRPr="00710FAA">
        <w:t>valeur du patrimoine communal</w:t>
      </w:r>
      <w:r>
        <w:t> ».</w:t>
      </w:r>
    </w:p>
    <w:p w14:paraId="048F4856" w14:textId="5A2E55DA" w:rsidR="008E76F2" w:rsidRDefault="008E76F2" w:rsidP="00F843EF">
      <w:pPr>
        <w:jc w:val="both"/>
      </w:pPr>
      <w:r>
        <w:t>Les provisions ainsi constituées doivent être destinées à couvrir des risques ou des charges :</w:t>
      </w:r>
    </w:p>
    <w:p w14:paraId="07D6C251" w14:textId="713AD6D3" w:rsidR="008E76F2" w:rsidRDefault="008E76F2" w:rsidP="008E76F2">
      <w:pPr>
        <w:pStyle w:val="Paragraphedeliste"/>
        <w:numPr>
          <w:ilvl w:val="0"/>
          <w:numId w:val="145"/>
        </w:numPr>
        <w:spacing w:after="200" w:line="276" w:lineRule="auto"/>
        <w:contextualSpacing/>
        <w:jc w:val="both"/>
      </w:pPr>
      <w:proofErr w:type="gramStart"/>
      <w:r>
        <w:t>futurs</w:t>
      </w:r>
      <w:proofErr w:type="gramEnd"/>
      <w:r>
        <w:t xml:space="preserve"> </w:t>
      </w:r>
      <w:r w:rsidRPr="006336D8">
        <w:t>certains ou du moins très probables</w:t>
      </w:r>
      <w:r>
        <w:t xml:space="preserve"> ;</w:t>
      </w:r>
    </w:p>
    <w:p w14:paraId="54E9644F" w14:textId="5F33E3A7" w:rsidR="008E76F2" w:rsidRDefault="008E76F2" w:rsidP="008E76F2">
      <w:pPr>
        <w:pStyle w:val="Paragraphedeliste"/>
        <w:numPr>
          <w:ilvl w:val="0"/>
          <w:numId w:val="145"/>
        </w:numPr>
        <w:spacing w:after="200" w:line="276" w:lineRule="auto"/>
        <w:contextualSpacing/>
        <w:jc w:val="both"/>
      </w:pPr>
      <w:proofErr w:type="gramStart"/>
      <w:r w:rsidRPr="00926C3B">
        <w:t>nettement</w:t>
      </w:r>
      <w:proofErr w:type="gramEnd"/>
      <w:r w:rsidRPr="00926C3B">
        <w:t xml:space="preserve"> précisé</w:t>
      </w:r>
      <w:r>
        <w:t>s</w:t>
      </w:r>
      <w:r w:rsidRPr="00926C3B">
        <w:t xml:space="preserve"> quant à </w:t>
      </w:r>
      <w:r>
        <w:t>leur</w:t>
      </w:r>
      <w:r w:rsidRPr="00926C3B">
        <w:t xml:space="preserve"> nature</w:t>
      </w:r>
      <w:r>
        <w:t> ;</w:t>
      </w:r>
    </w:p>
    <w:p w14:paraId="18B9FE19" w14:textId="043FF357" w:rsidR="008E76F2" w:rsidRDefault="008E76F2" w:rsidP="008E76F2">
      <w:pPr>
        <w:pStyle w:val="Paragraphedeliste"/>
        <w:numPr>
          <w:ilvl w:val="0"/>
          <w:numId w:val="145"/>
        </w:numPr>
        <w:spacing w:after="200" w:line="276" w:lineRule="auto"/>
        <w:contextualSpacing/>
        <w:jc w:val="both"/>
      </w:pPr>
      <w:proofErr w:type="gramStart"/>
      <w:r>
        <w:t>indéterminés</w:t>
      </w:r>
      <w:proofErr w:type="gramEnd"/>
      <w:r>
        <w:t xml:space="preserve"> quant à leur montant. </w:t>
      </w:r>
    </w:p>
    <w:p w14:paraId="3255BEEE" w14:textId="28F32157" w:rsidR="008E76F2" w:rsidRDefault="008E76F2" w:rsidP="008D7EB7">
      <w:pPr>
        <w:spacing w:after="120"/>
        <w:jc w:val="both"/>
      </w:pPr>
      <w:r w:rsidRPr="00D55164">
        <w:t>Par conséquent, les provisions pour risques et charges n’ont pas vocation à financer par exemple l'augmentation future des charges annuelles récurrentes sans qu'il y ait un événement justifiant cette provision.</w:t>
      </w:r>
      <w:r>
        <w:t xml:space="preserve"> De même, il ne s'agit pas d'une provision, mais d'une dette lorsque le risque ou la charge est certain et que le montant est déterminé ou susceptible d'être estimé avec précision. </w:t>
      </w:r>
    </w:p>
    <w:p w14:paraId="491CA4DC" w14:textId="34775FA0" w:rsidR="002812F1" w:rsidRDefault="00CB47EE" w:rsidP="00256E9F">
      <w:pPr>
        <w:jc w:val="both"/>
      </w:pPr>
      <w:r w:rsidRPr="00256E9F">
        <w:rPr>
          <w:b/>
          <w:bCs/>
        </w:rPr>
        <w:t xml:space="preserve">TOUTEFOIS, compte tenu des effets des différentes crises intervenues depuis 2020, </w:t>
      </w:r>
      <w:r>
        <w:rPr>
          <w:b/>
          <w:bCs/>
        </w:rPr>
        <w:t>de l’extinction des mesures d’assouplissement</w:t>
      </w:r>
      <w:r w:rsidR="00D377C6">
        <w:rPr>
          <w:b/>
          <w:bCs/>
        </w:rPr>
        <w:t xml:space="preserve"> et de la multiplication des risques</w:t>
      </w:r>
      <w:r>
        <w:rPr>
          <w:b/>
          <w:bCs/>
        </w:rPr>
        <w:t xml:space="preserve">, </w:t>
      </w:r>
      <w:r w:rsidR="00D377C6">
        <w:rPr>
          <w:b/>
          <w:bCs/>
        </w:rPr>
        <w:t>cette notion</w:t>
      </w:r>
      <w:r w:rsidRPr="00256E9F">
        <w:rPr>
          <w:b/>
          <w:bCs/>
        </w:rPr>
        <w:t xml:space="preserve"> sera appréhendé</w:t>
      </w:r>
      <w:r w:rsidR="00D377C6">
        <w:rPr>
          <w:b/>
          <w:bCs/>
        </w:rPr>
        <w:t>e</w:t>
      </w:r>
      <w:r w:rsidRPr="00256E9F">
        <w:rPr>
          <w:b/>
          <w:bCs/>
        </w:rPr>
        <w:t xml:space="preserve"> </w:t>
      </w:r>
      <w:r w:rsidR="00D377C6">
        <w:rPr>
          <w:b/>
          <w:bCs/>
        </w:rPr>
        <w:t>de manière plus large et avec souplesse</w:t>
      </w:r>
      <w:r w:rsidRPr="00256E9F">
        <w:rPr>
          <w:b/>
          <w:bCs/>
        </w:rPr>
        <w:t>.</w:t>
      </w:r>
      <w:bookmarkStart w:id="2962" w:name="_Hlk105058659"/>
      <w:bookmarkEnd w:id="2961"/>
    </w:p>
    <w:p w14:paraId="1E8A6CA1" w14:textId="49A7E583" w:rsidR="008E76F2" w:rsidRDefault="008E76F2" w:rsidP="008D7EB7">
      <w:pPr>
        <w:spacing w:after="120"/>
        <w:jc w:val="both"/>
      </w:pPr>
      <w:r>
        <w:t>Les termes « </w:t>
      </w:r>
      <w:r w:rsidRPr="004C0AE3">
        <w:t>très probables quant à leur principe, circonscrites quant à leur nature ou leur objet mais indéterminées quant à leur montant</w:t>
      </w:r>
      <w:r>
        <w:t> » impliquent que pour être en face d’une provision pour risque et charge au sens de l’article 1, 15° du règlement :</w:t>
      </w:r>
    </w:p>
    <w:p w14:paraId="3F7630DC" w14:textId="1F56FBA0" w:rsidR="008E76F2" w:rsidRDefault="008E76F2" w:rsidP="008E76F2">
      <w:pPr>
        <w:pStyle w:val="Paragraphedeliste"/>
        <w:numPr>
          <w:ilvl w:val="0"/>
          <w:numId w:val="145"/>
        </w:numPr>
        <w:spacing w:after="200" w:line="276" w:lineRule="auto"/>
        <w:contextualSpacing/>
        <w:jc w:val="both"/>
      </w:pPr>
      <w:proofErr w:type="gramStart"/>
      <w:r>
        <w:t>il</w:t>
      </w:r>
      <w:proofErr w:type="gramEnd"/>
      <w:r>
        <w:t xml:space="preserve"> doit y avoir une individualisation précise de la nature de la charge ou du risque à prévoir ;</w:t>
      </w:r>
    </w:p>
    <w:p w14:paraId="343D2FA1" w14:textId="0522BF0E" w:rsidR="008E76F2" w:rsidRDefault="008E76F2" w:rsidP="008E76F2">
      <w:pPr>
        <w:pStyle w:val="Paragraphedeliste"/>
        <w:numPr>
          <w:ilvl w:val="0"/>
          <w:numId w:val="145"/>
        </w:numPr>
        <w:spacing w:after="200" w:line="276" w:lineRule="auto"/>
        <w:contextualSpacing/>
        <w:jc w:val="both"/>
      </w:pPr>
      <w:proofErr w:type="gramStart"/>
      <w:r>
        <w:t>le</w:t>
      </w:r>
      <w:proofErr w:type="gramEnd"/>
      <w:r>
        <w:t xml:space="preserve"> montant de la charge ou du risque soit susceptible d’être évalué avec une approximation suffisante (l’évaluation de la charge ne peut pas être arbitraire) ; </w:t>
      </w:r>
    </w:p>
    <w:p w14:paraId="2A5906CF" w14:textId="18E24FB4" w:rsidR="008E76F2" w:rsidRDefault="008E76F2" w:rsidP="008E76F2">
      <w:pPr>
        <w:pStyle w:val="Paragraphedeliste"/>
        <w:numPr>
          <w:ilvl w:val="0"/>
          <w:numId w:val="145"/>
        </w:numPr>
        <w:spacing w:after="200" w:line="276" w:lineRule="auto"/>
        <w:contextualSpacing/>
        <w:jc w:val="both"/>
      </w:pPr>
      <w:proofErr w:type="gramStart"/>
      <w:r>
        <w:t>l’individualisation</w:t>
      </w:r>
      <w:proofErr w:type="gramEnd"/>
      <w:r>
        <w:t xml:space="preserve"> de la charge ou du risque implique une évaluation séparée de son montant probable ;</w:t>
      </w:r>
    </w:p>
    <w:p w14:paraId="34670C71" w14:textId="5DF1E8F8" w:rsidR="008E76F2" w:rsidRDefault="008E76F2" w:rsidP="008E76F2">
      <w:pPr>
        <w:pStyle w:val="Paragraphedeliste"/>
        <w:numPr>
          <w:ilvl w:val="0"/>
          <w:numId w:val="145"/>
        </w:numPr>
        <w:spacing w:after="200" w:line="276" w:lineRule="auto"/>
        <w:contextualSpacing/>
        <w:jc w:val="both"/>
      </w:pPr>
      <w:proofErr w:type="gramStart"/>
      <w:r>
        <w:t>la</w:t>
      </w:r>
      <w:proofErr w:type="gramEnd"/>
      <w:r>
        <w:t xml:space="preserve"> charge ou le risque doit être probable (c’est-à-dire que le risque ou la charge doit avoir beaucoup de chances de se produire, (le terme probable est beaucoup plus précis que le terme possible qui signifie peut exister, se produire) et non fondée sur des risques ou évènements purement éventuels ;</w:t>
      </w:r>
    </w:p>
    <w:p w14:paraId="70550B56" w14:textId="60DEA9A0" w:rsidR="008E76F2" w:rsidRDefault="008E76F2" w:rsidP="008E76F2">
      <w:pPr>
        <w:pStyle w:val="Paragraphedeliste"/>
        <w:numPr>
          <w:ilvl w:val="0"/>
          <w:numId w:val="145"/>
        </w:numPr>
        <w:spacing w:after="200" w:line="276" w:lineRule="auto"/>
        <w:contextualSpacing/>
        <w:jc w:val="both"/>
      </w:pPr>
      <w:proofErr w:type="gramStart"/>
      <w:r>
        <w:t>la</w:t>
      </w:r>
      <w:proofErr w:type="gramEnd"/>
      <w:r>
        <w:t xml:space="preserve"> provision ne doit pas résulter d’un risque hypothétique ou d’ordre général.</w:t>
      </w:r>
    </w:p>
    <w:p w14:paraId="09A0DC9B" w14:textId="6E5F351E" w:rsidR="008E76F2" w:rsidRDefault="0036483B" w:rsidP="008D7EB7">
      <w:pPr>
        <w:spacing w:after="120"/>
        <w:jc w:val="both"/>
      </w:pPr>
      <w:r>
        <w:t>Étant</w:t>
      </w:r>
      <w:r w:rsidR="008E76F2">
        <w:t xml:space="preserve"> donné leur caractère provisoire, la provision ne sera maintenue qu’aussi longtemps que son caractère </w:t>
      </w:r>
      <w:r w:rsidR="008E76F2" w:rsidRPr="00233B66">
        <w:t>futur certain ou du moins très probable</w:t>
      </w:r>
      <w:r w:rsidR="008E76F2">
        <w:t xml:space="preserve"> est justifié.</w:t>
      </w:r>
      <w:r w:rsidR="008E76F2" w:rsidRPr="00233B66">
        <w:t xml:space="preserve"> </w:t>
      </w:r>
      <w:r w:rsidR="008E76F2">
        <w:t>Autrement dit, les provisions devenues sans objet à la suite de la réalisation ou de la disparition du risque ou de la charge, doivent être soldées (par leur reprise totale).</w:t>
      </w:r>
    </w:p>
    <w:bookmarkEnd w:id="2962"/>
    <w:p w14:paraId="7B3BCB3F" w14:textId="2FC9B563" w:rsidR="008E76F2" w:rsidRDefault="008E76F2" w:rsidP="008D7EB7">
      <w:pPr>
        <w:spacing w:after="120"/>
        <w:jc w:val="both"/>
      </w:pPr>
      <w:r>
        <w:t xml:space="preserve">L’article 3, </w:t>
      </w:r>
      <w:r w:rsidRPr="006336D8">
        <w:t>§2</w:t>
      </w:r>
      <w:r>
        <w:t xml:space="preserve"> du règlement précité interdit</w:t>
      </w:r>
      <w:r w:rsidRPr="006336D8">
        <w:t xml:space="preserve"> de constituer une provision et de l'utiliser au cours du même exercice. Il est également interdit de mélanger prélèvements et provisions. Ceci confond irrégulièrement les deux notions et change la nature des crédits concernés, en totale infraction avec les articles 7 et 8 du présent règlement.</w:t>
      </w:r>
    </w:p>
    <w:p w14:paraId="3FF11EC8" w14:textId="685F2FF5" w:rsidR="008E76F2" w:rsidRDefault="008E76F2" w:rsidP="008D7EB7">
      <w:pPr>
        <w:spacing w:after="120"/>
        <w:jc w:val="both"/>
      </w:pPr>
      <w:r>
        <w:t>L’article 9, 4°, a) dudit règlement prévoit que lo</w:t>
      </w:r>
      <w:r w:rsidRPr="006336D8">
        <w:t>rsque les disponibilités budgétaires sont suffisantes, le conseil communal peut inscrire à son budget des crédits en vue d'affecter ces disponibilités de provisions ou de fonds de réserves ordinaires et extraordinaires</w:t>
      </w:r>
      <w:r>
        <w:t>.</w:t>
      </w:r>
    </w:p>
    <w:p w14:paraId="2036B1E7" w14:textId="21551329" w:rsidR="008E76F2" w:rsidRPr="00256E9F" w:rsidRDefault="008E76F2" w:rsidP="008D7EB7">
      <w:pPr>
        <w:spacing w:after="120"/>
        <w:jc w:val="both"/>
        <w:rPr>
          <w:b/>
          <w:bCs/>
        </w:rPr>
      </w:pPr>
      <w:r w:rsidRPr="00256E9F">
        <w:rPr>
          <w:b/>
          <w:bCs/>
        </w:rPr>
        <w:lastRenderedPageBreak/>
        <w:t xml:space="preserve">La constitution d'une provision ne peut provoquer </w:t>
      </w:r>
      <w:proofErr w:type="gramStart"/>
      <w:r w:rsidRPr="00256E9F">
        <w:rPr>
          <w:b/>
          <w:bCs/>
        </w:rPr>
        <w:t>un mali</w:t>
      </w:r>
      <w:proofErr w:type="gramEnd"/>
      <w:r w:rsidRPr="00256E9F">
        <w:rPr>
          <w:b/>
          <w:bCs/>
        </w:rPr>
        <w:t xml:space="preserve"> à l'exercice propre.</w:t>
      </w:r>
    </w:p>
    <w:p w14:paraId="685B7C55" w14:textId="09728A3B" w:rsidR="004A2669" w:rsidRDefault="004A2669">
      <w:pPr>
        <w:spacing w:after="120"/>
        <w:jc w:val="both"/>
      </w:pPr>
      <w:r w:rsidRPr="001E1353">
        <w:t xml:space="preserve">Dans le cadre indiqué, </w:t>
      </w:r>
      <w:r w:rsidRPr="009C119E">
        <w:t xml:space="preserve">la constitution et l'utilisation de provisions pour risques et charges porteront donc sur l'exercice proprement dit de plusieurs budgets non nécessairement successifs </w:t>
      </w:r>
      <w:r w:rsidRPr="00E063FD">
        <w:t xml:space="preserve">(il est interdit, </w:t>
      </w:r>
      <w:r w:rsidRPr="009C119E">
        <w:t xml:space="preserve">et au surplus sans intérêt, </w:t>
      </w:r>
      <w:r w:rsidRPr="00E063FD">
        <w:t xml:space="preserve">de constituer une provision et de l'utiliser au cours du même exercice). </w:t>
      </w:r>
      <w:r w:rsidRPr="009C119E">
        <w:t>Il est illégal de mélanger prélèvements et provisions, en constituant par exemple un fonds par prélèvement</w:t>
      </w:r>
      <w:r w:rsidRPr="001E1353">
        <w:t xml:space="preserve"> (sur des crédits de provenance globale) et en le rapatriant comme une provision (à l'exercice proprement dit). Ceci confond irrégulièrement les deux notions et change la nature des crédits concernés, en totale infraction avec les articles 7 et 8 du RGCC.</w:t>
      </w:r>
    </w:p>
    <w:p w14:paraId="303DC5C3" w14:textId="77777777" w:rsidR="006843B9" w:rsidRPr="00F843EF" w:rsidRDefault="006843B9" w:rsidP="00DC4C8C">
      <w:pPr>
        <w:jc w:val="both"/>
        <w:rPr>
          <w:sz w:val="10"/>
          <w:szCs w:val="10"/>
        </w:rPr>
      </w:pPr>
    </w:p>
    <w:p w14:paraId="18BDAEC9" w14:textId="77777777" w:rsidR="005D0C86" w:rsidRPr="001E1353" w:rsidRDefault="001E1353" w:rsidP="00DC4C8C">
      <w:pPr>
        <w:pStyle w:val="Sam2"/>
        <w:spacing w:before="120"/>
      </w:pPr>
      <w:bookmarkStart w:id="2963" w:name="_Toc40185331"/>
      <w:bookmarkStart w:id="2964" w:name="_Toc40186066"/>
      <w:bookmarkStart w:id="2965" w:name="_Toc74557615"/>
      <w:bookmarkEnd w:id="2963"/>
      <w:bookmarkEnd w:id="2964"/>
      <w:r>
        <w:t>Délégation</w:t>
      </w:r>
      <w:bookmarkEnd w:id="2965"/>
    </w:p>
    <w:p w14:paraId="6877A10F" w14:textId="3D9C10D2" w:rsidR="00C32AF2" w:rsidRDefault="005D0C86" w:rsidP="00B82D19">
      <w:pPr>
        <w:jc w:val="both"/>
      </w:pPr>
      <w:r>
        <w:t xml:space="preserve">En ce qui concerne les possibilités de délégation à l’ordinaire, je vous renvoie </w:t>
      </w:r>
      <w:r w:rsidR="00494241">
        <w:t>aux</w:t>
      </w:r>
      <w:r>
        <w:t xml:space="preserve"> </w:t>
      </w:r>
      <w:r w:rsidR="00EC70D1">
        <w:t>article</w:t>
      </w:r>
      <w:r w:rsidR="00494241">
        <w:t>s</w:t>
      </w:r>
      <w:r w:rsidR="00EC70D1">
        <w:t xml:space="preserve"> L1222-3, §2</w:t>
      </w:r>
      <w:r>
        <w:t>,</w:t>
      </w:r>
      <w:r w:rsidR="00B82D19">
        <w:t xml:space="preserve"> L1222-6, §2, </w:t>
      </w:r>
      <w:r w:rsidR="00B82D19" w:rsidRPr="00B82D19">
        <w:t>L1222-7,</w:t>
      </w:r>
      <w:r w:rsidR="00B82D19">
        <w:t xml:space="preserve"> </w:t>
      </w:r>
      <w:r w:rsidR="00B82D19" w:rsidRPr="00B82D19">
        <w:t xml:space="preserve">§3 </w:t>
      </w:r>
      <w:r w:rsidR="00B82D19" w:rsidRPr="00671240">
        <w:t>et L1222-8,</w:t>
      </w:r>
      <w:r w:rsidR="00F46376">
        <w:t xml:space="preserve"> </w:t>
      </w:r>
      <w:r w:rsidR="00B82D19" w:rsidRPr="00671240">
        <w:t xml:space="preserve">§2 </w:t>
      </w:r>
      <w:r>
        <w:t>tel</w:t>
      </w:r>
      <w:r w:rsidR="00B82D19">
        <w:t>s</w:t>
      </w:r>
      <w:r>
        <w:t xml:space="preserve"> que modifié</w:t>
      </w:r>
      <w:r w:rsidR="00B82D19">
        <w:t>s</w:t>
      </w:r>
      <w:r>
        <w:t xml:space="preserve"> par le décret du 4 octobre 2018</w:t>
      </w:r>
      <w:r w:rsidR="00F46376">
        <w:rPr>
          <w:rStyle w:val="Appelnotedebasdep"/>
        </w:rPr>
        <w:footnoteReference w:id="30"/>
      </w:r>
      <w:r>
        <w:t>.</w:t>
      </w:r>
    </w:p>
    <w:p w14:paraId="106FD15A" w14:textId="77777777" w:rsidR="00F46376" w:rsidRPr="00F843EF" w:rsidRDefault="00F46376" w:rsidP="00B82D19">
      <w:pPr>
        <w:jc w:val="both"/>
        <w:rPr>
          <w:sz w:val="10"/>
          <w:szCs w:val="10"/>
        </w:rPr>
      </w:pPr>
    </w:p>
    <w:p w14:paraId="506AAA4B" w14:textId="77777777" w:rsidR="004A2669" w:rsidRPr="001E1353" w:rsidRDefault="004A2669" w:rsidP="001E1353">
      <w:pPr>
        <w:pStyle w:val="Sam1"/>
      </w:pPr>
      <w:bookmarkStart w:id="2966" w:name="_Toc8121703"/>
      <w:bookmarkStart w:id="2967" w:name="_Toc8129644"/>
      <w:bookmarkStart w:id="2968" w:name="_Toc74557616"/>
      <w:bookmarkEnd w:id="2966"/>
      <w:bookmarkEnd w:id="2967"/>
      <w:r w:rsidRPr="001E1353">
        <w:t>SERVICE EXTRAORDINAIRE</w:t>
      </w:r>
      <w:bookmarkEnd w:id="2968"/>
      <w:r w:rsidRPr="001E1353">
        <w:t xml:space="preserve"> </w:t>
      </w:r>
    </w:p>
    <w:p w14:paraId="2713E407" w14:textId="77777777" w:rsidR="004A2669" w:rsidRPr="001E1353" w:rsidRDefault="004A2669" w:rsidP="001E1353">
      <w:pPr>
        <w:pStyle w:val="Sam2"/>
      </w:pPr>
      <w:bookmarkStart w:id="2969" w:name="_Toc74557617"/>
      <w:r w:rsidRPr="001E1353">
        <w:t>Généralités</w:t>
      </w:r>
      <w:bookmarkEnd w:id="2969"/>
      <w:r w:rsidRPr="001E1353">
        <w:t xml:space="preserve"> </w:t>
      </w:r>
    </w:p>
    <w:p w14:paraId="411F9FC8" w14:textId="77777777" w:rsidR="004A2669" w:rsidRPr="001E1353" w:rsidRDefault="004A2669" w:rsidP="008D7EB7">
      <w:pPr>
        <w:spacing w:after="120"/>
        <w:jc w:val="both"/>
      </w:pPr>
      <w:r w:rsidRPr="001E1353">
        <w:t>Les investissements dans les énergies renouvelables sont encouragés, y compris en termes de partenariat public-privé.</w:t>
      </w:r>
    </w:p>
    <w:p w14:paraId="71D166A2" w14:textId="77777777" w:rsidR="004A2669" w:rsidRPr="001E1353" w:rsidRDefault="004A2669" w:rsidP="008D7EB7">
      <w:pPr>
        <w:spacing w:after="120"/>
        <w:jc w:val="both"/>
      </w:pPr>
      <w:r w:rsidRPr="001E1353">
        <w:t xml:space="preserve">Je rappelle que, par référence aux articles 7 et 15 du RGCC, il est illégal de ne voter qu'une modification budgétaire extraordinaire isolée (c'est-à-dire sans voter simultanément une modification budgétaire ordinaire), sauf si cette modification budgétaire extraordinaire n'a </w:t>
      </w:r>
      <w:r w:rsidRPr="00E063FD">
        <w:t>aucun</w:t>
      </w:r>
      <w:r w:rsidRPr="001E1353">
        <w:t xml:space="preserve"> impact sur le service ordinaire.</w:t>
      </w:r>
    </w:p>
    <w:p w14:paraId="0B73FE88" w14:textId="39CA1289" w:rsidR="004A2669" w:rsidRDefault="004A2669" w:rsidP="008D7EB7">
      <w:pPr>
        <w:spacing w:after="120"/>
        <w:jc w:val="both"/>
      </w:pPr>
      <w:r w:rsidRPr="001E1353">
        <w:t>Je vous recommande d'inscrire les subventions extraordinaires dans le budget de l'exercice correspondant à celui au cours duquel la dépense sera engagée, ce qui apporte l'adéquation parfaite entre la recette et la dépense et rejoint les préoccupations de l'article 7 du RGCC</w:t>
      </w:r>
      <w:r w:rsidR="001D33E9">
        <w:t>.</w:t>
      </w:r>
      <w:r w:rsidRPr="001E1353">
        <w:t xml:space="preserve"> Il conviendra donc de tenir compte de la promesse ferme sur adjudication, non de la promesse ferme sur projet.</w:t>
      </w:r>
    </w:p>
    <w:p w14:paraId="566DFEEC" w14:textId="77777777" w:rsidR="005A4B54" w:rsidRPr="00F843EF" w:rsidRDefault="005A4B54" w:rsidP="00F843EF">
      <w:pPr>
        <w:jc w:val="both"/>
        <w:rPr>
          <w:sz w:val="10"/>
          <w:szCs w:val="10"/>
        </w:rPr>
      </w:pPr>
    </w:p>
    <w:p w14:paraId="20F13EE2" w14:textId="7AF80B56" w:rsidR="004A2669" w:rsidRPr="001E1353" w:rsidRDefault="004A2669" w:rsidP="00F843EF">
      <w:pPr>
        <w:pStyle w:val="Sam2"/>
        <w:spacing w:before="120"/>
      </w:pPr>
      <w:bookmarkStart w:id="2970" w:name="_Toc40185335"/>
      <w:bookmarkStart w:id="2971" w:name="_Toc40186070"/>
      <w:bookmarkStart w:id="2972" w:name="_Toc40185336"/>
      <w:bookmarkStart w:id="2973" w:name="_Toc40186071"/>
      <w:bookmarkStart w:id="2974" w:name="_Toc517337415"/>
      <w:bookmarkStart w:id="2975" w:name="_Toc517360210"/>
      <w:bookmarkStart w:id="2976" w:name="_Toc512520237"/>
      <w:bookmarkStart w:id="2977" w:name="_Toc512520368"/>
      <w:bookmarkStart w:id="2978" w:name="_Toc512520500"/>
      <w:bookmarkStart w:id="2979" w:name="_Toc512520631"/>
      <w:bookmarkStart w:id="2980" w:name="_Toc512520762"/>
      <w:bookmarkStart w:id="2981" w:name="_Toc512520893"/>
      <w:bookmarkStart w:id="2982" w:name="_Toc512521024"/>
      <w:bookmarkStart w:id="2983" w:name="_Toc512606833"/>
      <w:bookmarkStart w:id="2984" w:name="_Toc512606968"/>
      <w:bookmarkStart w:id="2985" w:name="_Toc512607103"/>
      <w:bookmarkStart w:id="2986" w:name="_Toc515355901"/>
      <w:bookmarkStart w:id="2987" w:name="_Toc515356038"/>
      <w:bookmarkStart w:id="2988" w:name="_Toc515360448"/>
      <w:bookmarkStart w:id="2989" w:name="_Toc515975044"/>
      <w:bookmarkStart w:id="2990" w:name="_Toc515978552"/>
      <w:bookmarkStart w:id="2991" w:name="_Toc516058936"/>
      <w:bookmarkStart w:id="2992" w:name="_Toc516059078"/>
      <w:bookmarkStart w:id="2993" w:name="_Toc516227802"/>
      <w:bookmarkStart w:id="2994" w:name="_Toc516229615"/>
      <w:bookmarkStart w:id="2995" w:name="_Toc516229910"/>
      <w:bookmarkStart w:id="2996" w:name="_Toc516230205"/>
      <w:bookmarkStart w:id="2997" w:name="_Toc516230500"/>
      <w:bookmarkStart w:id="2998" w:name="_Toc516230794"/>
      <w:bookmarkStart w:id="2999" w:name="_Toc516231088"/>
      <w:bookmarkStart w:id="3000" w:name="_Toc516231383"/>
      <w:bookmarkStart w:id="3001" w:name="_Toc516231679"/>
      <w:bookmarkStart w:id="3002" w:name="_Toc516242772"/>
      <w:bookmarkStart w:id="3003" w:name="_Toc516243075"/>
      <w:bookmarkStart w:id="3004" w:name="_Toc516245008"/>
      <w:bookmarkStart w:id="3005" w:name="_Toc516473580"/>
      <w:bookmarkStart w:id="3006" w:name="_Toc516473890"/>
      <w:bookmarkStart w:id="3007" w:name="_Toc516474200"/>
      <w:bookmarkStart w:id="3008" w:name="_Toc516474508"/>
      <w:bookmarkStart w:id="3009" w:name="_Toc516474839"/>
      <w:bookmarkStart w:id="3010" w:name="_Toc516478870"/>
      <w:bookmarkStart w:id="3011" w:name="_Toc516479333"/>
      <w:bookmarkStart w:id="3012" w:name="_Toc516479650"/>
      <w:bookmarkStart w:id="3013" w:name="_Toc516479973"/>
      <w:bookmarkStart w:id="3014" w:name="_Toc516480288"/>
      <w:bookmarkStart w:id="3015" w:name="_Toc516480602"/>
      <w:bookmarkStart w:id="3016" w:name="_Toc516480916"/>
      <w:bookmarkStart w:id="3017" w:name="_Toc516481230"/>
      <w:bookmarkStart w:id="3018" w:name="_Toc516481544"/>
      <w:bookmarkStart w:id="3019" w:name="_Toc516481858"/>
      <w:bookmarkStart w:id="3020" w:name="_Toc516482172"/>
      <w:bookmarkStart w:id="3021" w:name="_Toc516482486"/>
      <w:bookmarkStart w:id="3022" w:name="_Toc516739608"/>
      <w:bookmarkStart w:id="3023" w:name="_Toc516751521"/>
      <w:bookmarkStart w:id="3024" w:name="_Toc516825592"/>
      <w:bookmarkStart w:id="3025" w:name="_Toc516826150"/>
      <w:bookmarkStart w:id="3026" w:name="_Toc516837470"/>
      <w:bookmarkStart w:id="3027" w:name="_Toc516838029"/>
      <w:bookmarkStart w:id="3028" w:name="_Toc516838588"/>
      <w:bookmarkStart w:id="3029" w:name="_Toc516839148"/>
      <w:bookmarkStart w:id="3030" w:name="_Toc517173244"/>
      <w:bookmarkStart w:id="3031" w:name="_Toc517174918"/>
      <w:bookmarkStart w:id="3032" w:name="_Toc517175505"/>
      <w:bookmarkStart w:id="3033" w:name="_Toc517176093"/>
      <w:bookmarkStart w:id="3034" w:name="_Toc517337416"/>
      <w:bookmarkStart w:id="3035" w:name="_Toc517360211"/>
      <w:bookmarkStart w:id="3036" w:name="_Toc74557618"/>
      <w:bookmarkStart w:id="3037" w:name="_Hlk105058803"/>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r w:rsidRPr="001E1353">
        <w:t>La balise d’emprunt</w:t>
      </w:r>
      <w:bookmarkEnd w:id="3036"/>
      <w:r w:rsidR="00971C74">
        <w:t xml:space="preserve"> </w:t>
      </w:r>
      <w:r w:rsidR="00055A8A">
        <w:t xml:space="preserve">et les </w:t>
      </w:r>
      <w:r w:rsidR="00971C74">
        <w:t xml:space="preserve">ratios </w:t>
      </w:r>
      <w:r w:rsidR="00055A8A">
        <w:t xml:space="preserve">de charge de dette et </w:t>
      </w:r>
      <w:r w:rsidR="00971C74">
        <w:t>d’endettement</w:t>
      </w:r>
    </w:p>
    <w:p w14:paraId="6C8F7846" w14:textId="77777777" w:rsidR="00055A8A" w:rsidRPr="009A66C7" w:rsidRDefault="00055A8A" w:rsidP="00256E9F">
      <w:pPr>
        <w:pStyle w:val="Sam3"/>
        <w:rPr>
          <w:b w:val="0"/>
          <w:bCs w:val="0"/>
        </w:rPr>
      </w:pPr>
      <w:bookmarkStart w:id="3038" w:name="_Hlk104908740"/>
      <w:bookmarkStart w:id="3039" w:name="_Toc74557619"/>
      <w:r w:rsidRPr="009A66C7">
        <w:rPr>
          <w:b w:val="0"/>
          <w:bCs w:val="0"/>
        </w:rPr>
        <w:t>La déclaration de Politique générale prévoit que les balises d’investissements seront assouplies et certains investissements mis hors balises afin de permettre aux pouvoirs locaux une gestion plus en phase avec leurs besoins et leur rythme d’investissements.</w:t>
      </w:r>
    </w:p>
    <w:p w14:paraId="5705F855" w14:textId="77777777" w:rsidR="00055A8A" w:rsidRPr="009A66C7" w:rsidRDefault="00055A8A" w:rsidP="00256E9F">
      <w:pPr>
        <w:pStyle w:val="Sam3"/>
        <w:rPr>
          <w:b w:val="0"/>
          <w:bCs w:val="0"/>
        </w:rPr>
      </w:pPr>
      <w:r w:rsidRPr="009A66C7">
        <w:rPr>
          <w:b w:val="0"/>
          <w:bCs w:val="0"/>
        </w:rPr>
        <w:t>Ainsi les investissements devront s’inscrire de façon large dans les priorités régionales répondant aux besoins des citoyens dans le cadre de la transition sociale, écologique et économique.</w:t>
      </w:r>
    </w:p>
    <w:p w14:paraId="1B14CC18" w14:textId="77777777" w:rsidR="00055A8A" w:rsidRPr="009A66C7" w:rsidRDefault="00055A8A" w:rsidP="00256E9F">
      <w:pPr>
        <w:pStyle w:val="Sam3"/>
        <w:rPr>
          <w:b w:val="0"/>
          <w:bCs w:val="0"/>
        </w:rPr>
      </w:pPr>
      <w:r w:rsidRPr="009A66C7">
        <w:rPr>
          <w:b w:val="0"/>
          <w:bCs w:val="0"/>
        </w:rPr>
        <w:t xml:space="preserve">Elle prévoit par ailleurs que le mécanisme actuel fondé sur un montant d’investissement par habitant sera revu afin de permettre une hausse du montant d’investissement qui devra tenir compte de la capacité financière de chacune des communes. </w:t>
      </w:r>
    </w:p>
    <w:p w14:paraId="07E667D3" w14:textId="77777777" w:rsidR="00055A8A" w:rsidRPr="009A66C7" w:rsidRDefault="00055A8A" w:rsidP="00256E9F">
      <w:pPr>
        <w:pStyle w:val="Sam3"/>
        <w:rPr>
          <w:b w:val="0"/>
          <w:bCs w:val="0"/>
        </w:rPr>
      </w:pPr>
      <w:r w:rsidRPr="009A66C7">
        <w:rPr>
          <w:b w:val="0"/>
          <w:bCs w:val="0"/>
        </w:rPr>
        <w:lastRenderedPageBreak/>
        <w:t xml:space="preserve">Enfin, elle prévoit que la liste des investissements comptabilisés hors balise comptable sera élargie, au-delà des travaux économiseurs d’énergie, aux investissements liés à la mobilité douce (aménagement des trottoirs, pistes cyclables, sécurité routière), à la </w:t>
      </w:r>
      <w:proofErr w:type="spellStart"/>
      <w:r w:rsidRPr="009A66C7">
        <w:rPr>
          <w:b w:val="0"/>
          <w:bCs w:val="0"/>
        </w:rPr>
        <w:t>verdurisation</w:t>
      </w:r>
      <w:proofErr w:type="spellEnd"/>
      <w:r w:rsidRPr="009A66C7">
        <w:rPr>
          <w:b w:val="0"/>
          <w:bCs w:val="0"/>
        </w:rPr>
        <w:t xml:space="preserve"> (espaces verts, agriculture urbaine, vergers urbains, </w:t>
      </w:r>
      <w:proofErr w:type="spellStart"/>
      <w:r w:rsidRPr="009A66C7">
        <w:rPr>
          <w:b w:val="0"/>
          <w:bCs w:val="0"/>
        </w:rPr>
        <w:t>verdurisation</w:t>
      </w:r>
      <w:proofErr w:type="spellEnd"/>
      <w:r w:rsidRPr="009A66C7">
        <w:rPr>
          <w:b w:val="0"/>
          <w:bCs w:val="0"/>
        </w:rPr>
        <w:t xml:space="preserve"> des cours d’école, etc.) et à la part prise en charge sur fonds propres dans la construction ou la rénovation des bâtiments scolaires.</w:t>
      </w:r>
    </w:p>
    <w:p w14:paraId="2D29B87C" w14:textId="77777777" w:rsidR="00055A8A" w:rsidRPr="009A66C7" w:rsidRDefault="00055A8A" w:rsidP="00256E9F">
      <w:pPr>
        <w:pStyle w:val="Sam3"/>
        <w:rPr>
          <w:b w:val="0"/>
          <w:bCs w:val="0"/>
        </w:rPr>
      </w:pPr>
      <w:r w:rsidRPr="009A66C7">
        <w:rPr>
          <w:b w:val="0"/>
          <w:bCs w:val="0"/>
        </w:rPr>
        <w:t>Toutefois, l’ensemble doit être contenu dans un périmètre d’endettement maîtrisé.</w:t>
      </w:r>
    </w:p>
    <w:p w14:paraId="349734AE" w14:textId="77777777" w:rsidR="00055A8A" w:rsidRPr="009A66C7" w:rsidRDefault="00055A8A" w:rsidP="00256E9F">
      <w:pPr>
        <w:pStyle w:val="Sam3"/>
        <w:rPr>
          <w:b w:val="0"/>
          <w:bCs w:val="0"/>
        </w:rPr>
      </w:pPr>
      <w:r w:rsidRPr="009A66C7">
        <w:rPr>
          <w:b w:val="0"/>
          <w:bCs w:val="0"/>
        </w:rPr>
        <w:t>Conformément à la DPR, la liste des investissements comptabilisés hors balise a été élargie.</w:t>
      </w:r>
    </w:p>
    <w:p w14:paraId="27CCC391" w14:textId="32FF0D17" w:rsidR="00055A8A" w:rsidRPr="009A66C7" w:rsidRDefault="00055A8A" w:rsidP="00256E9F">
      <w:pPr>
        <w:pStyle w:val="Sam3"/>
        <w:rPr>
          <w:b w:val="0"/>
          <w:bCs w:val="0"/>
        </w:rPr>
      </w:pPr>
      <w:r w:rsidRPr="009A66C7">
        <w:rPr>
          <w:b w:val="0"/>
          <w:bCs w:val="0"/>
        </w:rPr>
        <w:t xml:space="preserve">Conformément à la DPR, il vous est également demandé, dans le cadre d’une analyse plus globale et en vue d’éventuelles modifications futures, de porter une attention toute particulière à l’endettement et à la stabilisation de la charge de dette, et particulièrement au pourcentage des dépenses de dette en termes de proportion dans les recettes ordinaires, exercice qui permettra dès lors de garantir l’équilibre budgétaire. </w:t>
      </w:r>
    </w:p>
    <w:p w14:paraId="367FA1DF" w14:textId="004E07BA" w:rsidR="00971431" w:rsidRPr="00BB6C01" w:rsidRDefault="00055A8A" w:rsidP="00256E9F">
      <w:pPr>
        <w:pStyle w:val="Sam3"/>
      </w:pPr>
      <w:r w:rsidRPr="00055A8A">
        <w:t xml:space="preserve">Dans ce cadre, il vous est </w:t>
      </w:r>
      <w:r w:rsidR="00B60E92">
        <w:t xml:space="preserve">demandé </w:t>
      </w:r>
      <w:r w:rsidRPr="00055A8A">
        <w:t>d’accompagner vos budgets et modifications budgétaires d’une annexe supplémentaire relative aux ratios de charge de dette et d’endettement.</w:t>
      </w:r>
      <w:bookmarkStart w:id="3040" w:name="_Hlk106272964"/>
      <w:bookmarkStart w:id="3041" w:name="_Hlk106272661"/>
    </w:p>
    <w:bookmarkEnd w:id="3040"/>
    <w:bookmarkEnd w:id="3041"/>
    <w:p w14:paraId="5DA9668D" w14:textId="77777777" w:rsidR="00971431" w:rsidRPr="0063496E" w:rsidRDefault="00971431" w:rsidP="00256E9F">
      <w:pPr>
        <w:pStyle w:val="Sam3"/>
      </w:pPr>
    </w:p>
    <w:p w14:paraId="237B3801" w14:textId="5B5244D8" w:rsidR="00B060A9" w:rsidRPr="00426E14" w:rsidRDefault="00B060A9" w:rsidP="00256E9F">
      <w:pPr>
        <w:pStyle w:val="Sam3"/>
      </w:pPr>
    </w:p>
    <w:p w14:paraId="620626DC" w14:textId="6E38058A" w:rsidR="004A2669" w:rsidRPr="001E1353" w:rsidRDefault="00FE1832" w:rsidP="00256E9F">
      <w:pPr>
        <w:pStyle w:val="Sam3"/>
      </w:pPr>
      <w:bookmarkStart w:id="3042" w:name="_Toc74557620"/>
      <w:bookmarkEnd w:id="3037"/>
      <w:bookmarkEnd w:id="3038"/>
      <w:bookmarkEnd w:id="3039"/>
      <w:r>
        <w:t xml:space="preserve">V.2.1 </w:t>
      </w:r>
      <w:r w:rsidR="004A2669" w:rsidRPr="001E1353">
        <w:t>Objectif</w:t>
      </w:r>
      <w:bookmarkEnd w:id="3042"/>
    </w:p>
    <w:p w14:paraId="210DC00F" w14:textId="57B21C01" w:rsidR="004A2669" w:rsidRPr="001E1353" w:rsidRDefault="004A2669" w:rsidP="008D7EB7">
      <w:pPr>
        <w:spacing w:after="120"/>
        <w:jc w:val="both"/>
      </w:pPr>
      <w:r w:rsidRPr="001E1353">
        <w:t xml:space="preserve">L'objectif de la balise d’emprunt est d’amener les communes à mieux prévoir leurs investissements et ceux de leurs entités consolidées, de sorte que le taux de réalisation de ces derniers s’améliore, et donc de permettre aux communes de fournir un budget-vérité. </w:t>
      </w:r>
    </w:p>
    <w:p w14:paraId="6265C9EF" w14:textId="6DC03003" w:rsidR="004A2669" w:rsidRPr="001E1353" w:rsidRDefault="005C67E3" w:rsidP="008D7EB7">
      <w:pPr>
        <w:spacing w:after="120"/>
        <w:jc w:val="both"/>
      </w:pPr>
      <w:r>
        <w:t xml:space="preserve">Pour rappel, </w:t>
      </w:r>
      <w:r w:rsidR="00F00C3C">
        <w:t>la</w:t>
      </w:r>
      <w:r w:rsidR="00613E2F">
        <w:t xml:space="preserve"> balise d</w:t>
      </w:r>
      <w:r w:rsidR="004A2669" w:rsidRPr="001E1353">
        <w:t xml:space="preserve">’emprunt </w:t>
      </w:r>
      <w:r>
        <w:t xml:space="preserve">est </w:t>
      </w:r>
      <w:r w:rsidR="004A2669" w:rsidRPr="001E1353">
        <w:t>pluriannuelle</w:t>
      </w:r>
      <w:r w:rsidR="009D5C52">
        <w:t xml:space="preserve"> et </w:t>
      </w:r>
      <w:r>
        <w:t>couvre</w:t>
      </w:r>
      <w:r w:rsidRPr="001E1353">
        <w:t xml:space="preserve"> </w:t>
      </w:r>
      <w:r w:rsidR="00613E2F">
        <w:t xml:space="preserve">l’ensemble de la mandature communale, soit </w:t>
      </w:r>
      <w:r w:rsidR="004A2669" w:rsidRPr="001E1353">
        <w:t>les années 2019 à 2024.</w:t>
      </w:r>
      <w:r w:rsidR="00613E2F">
        <w:t xml:space="preserve"> Je souhaite cependant que votre </w:t>
      </w:r>
      <w:r w:rsidR="003174A3">
        <w:t>vigilance</w:t>
      </w:r>
      <w:r w:rsidR="00613E2F">
        <w:t xml:space="preserve"> soit maintenue quant à la consommation annuelle de votre balise, mes administrations ne manqueront d’ailleurs pas d</w:t>
      </w:r>
      <w:r w:rsidR="003174A3">
        <w:t>’attirer votre attention</w:t>
      </w:r>
      <w:r w:rsidR="00613E2F">
        <w:t xml:space="preserve">. </w:t>
      </w:r>
    </w:p>
    <w:p w14:paraId="6CF6FD95" w14:textId="56182945" w:rsidR="004A2669" w:rsidRPr="008D7EB7" w:rsidRDefault="00581DAD" w:rsidP="008D7EB7">
      <w:pPr>
        <w:spacing w:after="120"/>
        <w:jc w:val="both"/>
      </w:pPr>
      <w:r w:rsidRPr="00276F16">
        <w:t xml:space="preserve">En ce qui concerne le montant de la balise, </w:t>
      </w:r>
      <w:r w:rsidR="00E83D64">
        <w:t>c</w:t>
      </w:r>
      <w:r w:rsidR="004340EA">
        <w:t xml:space="preserve">haque commune </w:t>
      </w:r>
      <w:r w:rsidR="00E20A2B">
        <w:t>(en ce compris</w:t>
      </w:r>
      <w:r w:rsidR="004340EA">
        <w:t xml:space="preserve"> ses entités consolidées</w:t>
      </w:r>
      <w:r w:rsidR="00E20A2B">
        <w:t>), pour autant qu’elle ne soit pas sous plan de gestion,</w:t>
      </w:r>
      <w:r>
        <w:t xml:space="preserve"> peut </w:t>
      </w:r>
      <w:r w:rsidR="004340EA">
        <w:t>emprunter pour un</w:t>
      </w:r>
      <w:r w:rsidR="004A2669" w:rsidRPr="001E1353">
        <w:t xml:space="preserve"> montant </w:t>
      </w:r>
      <w:r w:rsidR="00E20A2B">
        <w:t>maximal</w:t>
      </w:r>
      <w:r w:rsidR="004340EA">
        <w:t xml:space="preserve"> de</w:t>
      </w:r>
      <w:r w:rsidR="004A2669" w:rsidRPr="001E1353">
        <w:t xml:space="preserve"> 1</w:t>
      </w:r>
      <w:r w:rsidR="00DA1E94">
        <w:t>.</w:t>
      </w:r>
      <w:r w:rsidR="00E83D64">
        <w:t>200</w:t>
      </w:r>
      <w:r w:rsidR="00DE5F00">
        <w:t>,00</w:t>
      </w:r>
      <w:r w:rsidR="004A2669" w:rsidRPr="001E1353">
        <w:t xml:space="preserve"> euros/habitant</w:t>
      </w:r>
      <w:r w:rsidR="003174A3">
        <w:t xml:space="preserve"> entre 2019 et 2024</w:t>
      </w:r>
      <w:r w:rsidR="00E83D64">
        <w:t xml:space="preserve"> (soit 200</w:t>
      </w:r>
      <w:r w:rsidR="00DE5F00">
        <w:t xml:space="preserve">,00 </w:t>
      </w:r>
      <w:r w:rsidR="009A56F6">
        <w:t>euros /</w:t>
      </w:r>
      <w:r w:rsidR="00E83D64">
        <w:t>habitant/an)</w:t>
      </w:r>
      <w:r w:rsidR="004A2669" w:rsidRPr="001E1353">
        <w:t xml:space="preserve">. </w:t>
      </w:r>
    </w:p>
    <w:p w14:paraId="35290364" w14:textId="4F5EB1FB" w:rsidR="001D33E9" w:rsidRPr="00A65F14" w:rsidRDefault="004A2669" w:rsidP="008D7EB7">
      <w:pPr>
        <w:spacing w:after="120"/>
        <w:jc w:val="both"/>
        <w:rPr>
          <w:b/>
          <w:bCs/>
        </w:rPr>
      </w:pPr>
      <w:r w:rsidRPr="00A65F14">
        <w:rPr>
          <w:b/>
          <w:bCs/>
        </w:rPr>
        <w:t>Le non-respect de cette balise entraîne</w:t>
      </w:r>
      <w:r w:rsidR="00797BD7" w:rsidRPr="00A65F14">
        <w:rPr>
          <w:b/>
          <w:bCs/>
        </w:rPr>
        <w:t>r</w:t>
      </w:r>
      <w:r w:rsidR="00277F18" w:rsidRPr="00A65F14">
        <w:rPr>
          <w:b/>
          <w:bCs/>
        </w:rPr>
        <w:t>a</w:t>
      </w:r>
      <w:r w:rsidRPr="00A65F14">
        <w:rPr>
          <w:b/>
          <w:bCs/>
        </w:rPr>
        <w:t xml:space="preserve"> la non-approbation du budget extraordinaire. </w:t>
      </w:r>
    </w:p>
    <w:p w14:paraId="5530B562" w14:textId="6D32D2AA" w:rsidR="00C32AF2" w:rsidRDefault="00E20A2B">
      <w:pPr>
        <w:spacing w:after="120"/>
        <w:jc w:val="both"/>
      </w:pPr>
      <w:r>
        <w:t xml:space="preserve">Concernant les dispositions spécifiques relatives à la balise des entités sous </w:t>
      </w:r>
      <w:r w:rsidR="0023664E">
        <w:t>suivi du Centre régional d’aide aux communes</w:t>
      </w:r>
      <w:r>
        <w:t>, il convient de se référer à ladite circulaire.</w:t>
      </w:r>
    </w:p>
    <w:p w14:paraId="13D4129C" w14:textId="6619B211" w:rsidR="00DE5F00" w:rsidRDefault="00DE5F00" w:rsidP="00DE5F00">
      <w:pPr>
        <w:spacing w:after="120"/>
        <w:jc w:val="both"/>
      </w:pPr>
      <w:r>
        <w:t>Je rappelle</w:t>
      </w:r>
      <w:r w:rsidR="00E849D8">
        <w:t>, d’une part,</w:t>
      </w:r>
      <w:r>
        <w:t xml:space="preserve"> que la balise d’emprunt a été revue à la hausse pour la mandature communale 2019-2024 et</w:t>
      </w:r>
      <w:r w:rsidR="00E849D8">
        <w:t>, d’autre part,</w:t>
      </w:r>
      <w:r>
        <w:t xml:space="preserve"> que les reliquats antérieurs ont été intégrés dans la balise pluriannuel 2019-2024.</w:t>
      </w:r>
    </w:p>
    <w:p w14:paraId="28FBC215" w14:textId="1C7C91D0" w:rsidR="00DE5F00" w:rsidRDefault="00E849D8" w:rsidP="00A65F14">
      <w:pPr>
        <w:jc w:val="both"/>
      </w:pPr>
      <w:r>
        <w:t>Par ailleurs, o</w:t>
      </w:r>
      <w:r w:rsidR="00DE5F00">
        <w:t xml:space="preserve">utre cette révision, </w:t>
      </w:r>
      <w:r>
        <w:t>les possibilités</w:t>
      </w:r>
      <w:r w:rsidR="00DE5F00">
        <w:t xml:space="preserve"> de mise hors balise </w:t>
      </w:r>
      <w:r>
        <w:t xml:space="preserve">ont été </w:t>
      </w:r>
      <w:r w:rsidR="00DE5F00">
        <w:t>élargies. Je vous renvoie à ce propos au chapitre ad hoc.</w:t>
      </w:r>
    </w:p>
    <w:p w14:paraId="71F2AC8E" w14:textId="77777777" w:rsidR="009A66C7" w:rsidRDefault="009A66C7" w:rsidP="00A65F14">
      <w:pPr>
        <w:jc w:val="both"/>
      </w:pPr>
    </w:p>
    <w:p w14:paraId="48AB43D9" w14:textId="316F9865" w:rsidR="004A2669" w:rsidRPr="001E1353" w:rsidRDefault="00FE1832" w:rsidP="00256E9F">
      <w:pPr>
        <w:pStyle w:val="Sam3"/>
      </w:pPr>
      <w:bookmarkStart w:id="3043" w:name="_Toc8121708"/>
      <w:bookmarkStart w:id="3044" w:name="_Toc8129649"/>
      <w:bookmarkStart w:id="3045" w:name="_Toc74557621"/>
      <w:bookmarkEnd w:id="3043"/>
      <w:bookmarkEnd w:id="3044"/>
      <w:r>
        <w:t xml:space="preserve">V.2.2 </w:t>
      </w:r>
      <w:r w:rsidR="004A2669" w:rsidRPr="001E1353">
        <w:t>Champ d’application</w:t>
      </w:r>
      <w:bookmarkEnd w:id="3045"/>
      <w:r w:rsidR="004A2669" w:rsidRPr="001E1353">
        <w:t xml:space="preserve"> </w:t>
      </w:r>
    </w:p>
    <w:p w14:paraId="6D56B991" w14:textId="77FF442A" w:rsidR="00DA1E94" w:rsidRPr="001E1353" w:rsidRDefault="004D6458" w:rsidP="008D7EB7">
      <w:pPr>
        <w:spacing w:after="120"/>
        <w:jc w:val="both"/>
      </w:pPr>
      <w:r>
        <w:t>Doivent être comptabilisés dans la balise l</w:t>
      </w:r>
      <w:r w:rsidR="004A2669" w:rsidRPr="001E1353">
        <w:t xml:space="preserve">es investissements financés </w:t>
      </w:r>
      <w:r>
        <w:t xml:space="preserve">via emprunts </w:t>
      </w:r>
      <w:r w:rsidR="004A2669" w:rsidRPr="001E1353">
        <w:t xml:space="preserve">par la Commune </w:t>
      </w:r>
      <w:r w:rsidR="00F048BA">
        <w:t>ainsi que</w:t>
      </w:r>
      <w:r>
        <w:t xml:space="preserve"> </w:t>
      </w:r>
      <w:r w:rsidR="004A2669" w:rsidRPr="001E1353">
        <w:t>par ses entités consolidées</w:t>
      </w:r>
      <w:r w:rsidR="00915F50">
        <w:t xml:space="preserve"> autres que la zone de police et la zone de secours</w:t>
      </w:r>
      <w:r w:rsidR="00277F18">
        <w:t>.</w:t>
      </w:r>
      <w:r w:rsidR="004A2669" w:rsidRPr="001E1353">
        <w:t xml:space="preserve"> Il appartient dès lors à la Commune d’accorder une attention particulière au montant des investissements projetés et réalisés par ses entités consolidées</w:t>
      </w:r>
      <w:r w:rsidR="00915F50">
        <w:t xml:space="preserve"> concernées par la balise</w:t>
      </w:r>
      <w:r w:rsidR="004A2669" w:rsidRPr="001E1353">
        <w:t xml:space="preserve"> </w:t>
      </w:r>
      <w:r w:rsidR="00E20A2B">
        <w:t>ainsi qu’</w:t>
      </w:r>
      <w:r w:rsidR="004A2669" w:rsidRPr="001E1353">
        <w:t xml:space="preserve">à leur mode de financement. </w:t>
      </w:r>
      <w:r w:rsidR="0036483B">
        <w:t>À</w:t>
      </w:r>
      <w:r w:rsidR="00DA1E94">
        <w:t xml:space="preserve"> cet égard, afin d’a</w:t>
      </w:r>
      <w:r w:rsidR="00D10D05">
        <w:t>méliorer</w:t>
      </w:r>
      <w:r w:rsidR="00DA1E94">
        <w:t xml:space="preserve"> la prévisibilité des </w:t>
      </w:r>
      <w:r w:rsidR="00DA1E94">
        <w:lastRenderedPageBreak/>
        <w:t xml:space="preserve">investissements, </w:t>
      </w:r>
      <w:r w:rsidR="00E849D8">
        <w:t>il vous a été</w:t>
      </w:r>
      <w:r w:rsidR="00DA1E94">
        <w:t xml:space="preserve"> recommand</w:t>
      </w:r>
      <w:r w:rsidR="00E849D8">
        <w:t>é</w:t>
      </w:r>
      <w:r w:rsidR="00DA1E94">
        <w:t xml:space="preserve"> de ventiler, dès le début de la mandature, la part maximale</w:t>
      </w:r>
      <w:r w:rsidR="00D10D05">
        <w:t xml:space="preserve"> dédiée à chacune de</w:t>
      </w:r>
      <w:r w:rsidR="00E20A2B">
        <w:t xml:space="preserve"> vo</w:t>
      </w:r>
      <w:r w:rsidR="00D10D05">
        <w:t>s entités consolidées.</w:t>
      </w:r>
    </w:p>
    <w:p w14:paraId="00AAAF64" w14:textId="51D362B3" w:rsidR="004A2669" w:rsidRDefault="004A2669" w:rsidP="008D7EB7">
      <w:pPr>
        <w:spacing w:after="120"/>
        <w:jc w:val="both"/>
      </w:pPr>
      <w:r w:rsidRPr="001E1353">
        <w:t xml:space="preserve">Les entités consolidées </w:t>
      </w:r>
      <w:r w:rsidR="00581DAD">
        <w:t xml:space="preserve">concernées </w:t>
      </w:r>
      <w:r w:rsidRPr="001E1353">
        <w:t>sont les suivantes : le CPAS</w:t>
      </w:r>
      <w:r w:rsidRPr="008E76F2">
        <w:t>,</w:t>
      </w:r>
      <w:r w:rsidRPr="001E1353">
        <w:t xml:space="preserve"> les fabriques d’église et les établissements chargés de la gestion du temporel des cultes reconnus, les régies ordinaires ou autonomes ainsi que les diverses associations de droit ou de fait qui reçoivent des subventions de la commune (centres culturels, maisons du tourisme, centres sportifs, etc.). </w:t>
      </w:r>
    </w:p>
    <w:p w14:paraId="10241B0D" w14:textId="05D2C0AF" w:rsidR="002026DB" w:rsidRDefault="00DA1E94" w:rsidP="000E6D3E">
      <w:pPr>
        <w:jc w:val="both"/>
      </w:pPr>
      <w:r>
        <w:t>Enfin,</w:t>
      </w:r>
      <w:r w:rsidR="004A2669" w:rsidRPr="001E1353">
        <w:t xml:space="preserve"> les opérations de leasing sont comptabilisées dans la balise.</w:t>
      </w:r>
    </w:p>
    <w:p w14:paraId="0136A377" w14:textId="77777777" w:rsidR="009A66C7" w:rsidRDefault="009A66C7" w:rsidP="000E6D3E">
      <w:pPr>
        <w:jc w:val="both"/>
      </w:pPr>
    </w:p>
    <w:p w14:paraId="67A9040F" w14:textId="23BB459A" w:rsidR="009D5C52" w:rsidRDefault="00FE1832" w:rsidP="00256E9F">
      <w:pPr>
        <w:pStyle w:val="Sam3"/>
      </w:pPr>
      <w:bookmarkStart w:id="3046" w:name="_Toc74557622"/>
      <w:r>
        <w:t xml:space="preserve">V.2.3 </w:t>
      </w:r>
      <w:bookmarkStart w:id="3047" w:name="_Toc517337420"/>
      <w:bookmarkStart w:id="3048" w:name="_Toc517360215"/>
      <w:bookmarkStart w:id="3049" w:name="_Toc512520241"/>
      <w:bookmarkStart w:id="3050" w:name="_Toc512520372"/>
      <w:bookmarkStart w:id="3051" w:name="_Toc512520504"/>
      <w:bookmarkStart w:id="3052" w:name="_Toc512520635"/>
      <w:bookmarkStart w:id="3053" w:name="_Toc512520766"/>
      <w:bookmarkStart w:id="3054" w:name="_Toc512520897"/>
      <w:bookmarkStart w:id="3055" w:name="_Toc512521028"/>
      <w:bookmarkStart w:id="3056" w:name="_Toc512606837"/>
      <w:bookmarkStart w:id="3057" w:name="_Toc512606972"/>
      <w:bookmarkStart w:id="3058" w:name="_Toc512607107"/>
      <w:bookmarkStart w:id="3059" w:name="_Toc515355905"/>
      <w:bookmarkStart w:id="3060" w:name="_Toc515356042"/>
      <w:bookmarkStart w:id="3061" w:name="_Toc515360452"/>
      <w:bookmarkStart w:id="3062" w:name="_Toc515975048"/>
      <w:bookmarkStart w:id="3063" w:name="_Toc515978556"/>
      <w:bookmarkStart w:id="3064" w:name="_Toc516058940"/>
      <w:bookmarkStart w:id="3065" w:name="_Toc516059082"/>
      <w:bookmarkStart w:id="3066" w:name="_Toc516227806"/>
      <w:bookmarkStart w:id="3067" w:name="_Toc516229619"/>
      <w:bookmarkStart w:id="3068" w:name="_Toc516229914"/>
      <w:bookmarkStart w:id="3069" w:name="_Toc516230209"/>
      <w:bookmarkStart w:id="3070" w:name="_Toc516230504"/>
      <w:bookmarkStart w:id="3071" w:name="_Toc516230798"/>
      <w:bookmarkStart w:id="3072" w:name="_Toc516231092"/>
      <w:bookmarkStart w:id="3073" w:name="_Toc516231387"/>
      <w:bookmarkStart w:id="3074" w:name="_Toc516231683"/>
      <w:bookmarkStart w:id="3075" w:name="_Toc516242776"/>
      <w:bookmarkStart w:id="3076" w:name="_Toc516243079"/>
      <w:bookmarkStart w:id="3077" w:name="_Toc516245012"/>
      <w:bookmarkStart w:id="3078" w:name="_Toc516473584"/>
      <w:bookmarkStart w:id="3079" w:name="_Toc516473894"/>
      <w:bookmarkStart w:id="3080" w:name="_Toc516474204"/>
      <w:bookmarkStart w:id="3081" w:name="_Toc516474512"/>
      <w:bookmarkStart w:id="3082" w:name="_Toc516474843"/>
      <w:bookmarkStart w:id="3083" w:name="_Toc516478874"/>
      <w:bookmarkStart w:id="3084" w:name="_Toc516479337"/>
      <w:bookmarkStart w:id="3085" w:name="_Toc516479654"/>
      <w:bookmarkStart w:id="3086" w:name="_Toc516479977"/>
      <w:bookmarkStart w:id="3087" w:name="_Toc516480292"/>
      <w:bookmarkStart w:id="3088" w:name="_Toc516480606"/>
      <w:bookmarkStart w:id="3089" w:name="_Toc516480920"/>
      <w:bookmarkStart w:id="3090" w:name="_Toc516481234"/>
      <w:bookmarkStart w:id="3091" w:name="_Toc516481548"/>
      <w:bookmarkStart w:id="3092" w:name="_Toc516481862"/>
      <w:bookmarkStart w:id="3093" w:name="_Toc516482176"/>
      <w:bookmarkStart w:id="3094" w:name="_Toc516482490"/>
      <w:bookmarkStart w:id="3095" w:name="_Toc516739612"/>
      <w:bookmarkStart w:id="3096" w:name="_Toc516751525"/>
      <w:bookmarkStart w:id="3097" w:name="_Toc516825596"/>
      <w:bookmarkStart w:id="3098" w:name="_Toc516826154"/>
      <w:bookmarkStart w:id="3099" w:name="_Toc516837474"/>
      <w:bookmarkStart w:id="3100" w:name="_Toc516838033"/>
      <w:bookmarkStart w:id="3101" w:name="_Toc516838592"/>
      <w:bookmarkStart w:id="3102" w:name="_Toc516839152"/>
      <w:bookmarkStart w:id="3103" w:name="_Toc517173248"/>
      <w:bookmarkStart w:id="3104" w:name="_Toc517174922"/>
      <w:bookmarkStart w:id="3105" w:name="_Toc517175509"/>
      <w:bookmarkStart w:id="3106" w:name="_Toc517176097"/>
      <w:bookmarkStart w:id="3107" w:name="_Toc517337421"/>
      <w:bookmarkStart w:id="3108" w:name="_Toc51736021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00AC2EAD">
        <w:t>I</w:t>
      </w:r>
      <w:r w:rsidR="004A2669" w:rsidRPr="001E1353">
        <w:t>nvestissements « hors balise »</w:t>
      </w:r>
      <w:r w:rsidR="009D5C52">
        <w:t xml:space="preserve"> automatiques</w:t>
      </w:r>
      <w:bookmarkEnd w:id="3046"/>
    </w:p>
    <w:p w14:paraId="78C0CE97" w14:textId="6269F09F" w:rsidR="00086461" w:rsidRPr="00F843EF" w:rsidRDefault="00086461" w:rsidP="00256E9F">
      <w:pPr>
        <w:pStyle w:val="Sam3"/>
      </w:pPr>
    </w:p>
    <w:p w14:paraId="676D9DD3" w14:textId="47D044E0" w:rsidR="00086461" w:rsidRPr="00086461" w:rsidRDefault="00086461" w:rsidP="00256E9F">
      <w:pPr>
        <w:pStyle w:val="Sam3"/>
      </w:pPr>
      <w:bookmarkStart w:id="3109" w:name="_Toc74557623"/>
      <w:r>
        <w:t>Il est à noter que</w:t>
      </w:r>
      <w:r w:rsidRPr="00086461">
        <w:t xml:space="preserve"> la mise en hors balise automatique ne concerne que la part de l’emprunt considéré comme productif/rentable/subsidiés</w:t>
      </w:r>
      <w:r>
        <w:t>/visé par une des catégories énumérées ci-dessous</w:t>
      </w:r>
      <w:r w:rsidRPr="00086461">
        <w:t>.</w:t>
      </w:r>
      <w:bookmarkEnd w:id="3109"/>
    </w:p>
    <w:p w14:paraId="65514C8B" w14:textId="3D8BEE38" w:rsidR="00C10E4F" w:rsidRDefault="004A2669" w:rsidP="00671240">
      <w:pPr>
        <w:pStyle w:val="Sam4"/>
      </w:pPr>
      <w:bookmarkStart w:id="3110" w:name="_Toc40185342"/>
      <w:bookmarkStart w:id="3111" w:name="_Toc40186077"/>
      <w:bookmarkStart w:id="3112" w:name="_Toc6415661"/>
      <w:bookmarkStart w:id="3113" w:name="_Toc6415970"/>
      <w:bookmarkStart w:id="3114" w:name="_Toc6995578"/>
      <w:bookmarkStart w:id="3115" w:name="_Toc6995882"/>
      <w:bookmarkStart w:id="3116" w:name="_Toc6996186"/>
      <w:bookmarkStart w:id="3117" w:name="_Toc6997677"/>
      <w:bookmarkStart w:id="3118" w:name="_Toc7016452"/>
      <w:bookmarkStart w:id="3119" w:name="_Toc7020620"/>
      <w:bookmarkStart w:id="3120" w:name="_Toc7094681"/>
      <w:bookmarkStart w:id="3121" w:name="_Toc8121712"/>
      <w:bookmarkStart w:id="3122" w:name="_Toc8129653"/>
      <w:bookmarkStart w:id="3123" w:name="_Toc6415662"/>
      <w:bookmarkStart w:id="3124" w:name="_Toc6415971"/>
      <w:bookmarkStart w:id="3125" w:name="_Toc6995579"/>
      <w:bookmarkStart w:id="3126" w:name="_Toc6995883"/>
      <w:bookmarkStart w:id="3127" w:name="_Toc6996187"/>
      <w:bookmarkStart w:id="3128" w:name="_Toc6997678"/>
      <w:bookmarkStart w:id="3129" w:name="_Toc7016453"/>
      <w:bookmarkStart w:id="3130" w:name="_Toc7020621"/>
      <w:bookmarkStart w:id="3131" w:name="_Toc7094682"/>
      <w:bookmarkStart w:id="3132" w:name="_Toc8121713"/>
      <w:bookmarkStart w:id="3133" w:name="_Toc8129654"/>
      <w:bookmarkStart w:id="3134" w:name="_Toc74557624"/>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r w:rsidRPr="001E1353">
        <w:t>Projets antérieurs à 2014</w:t>
      </w:r>
      <w:bookmarkEnd w:id="3134"/>
    </w:p>
    <w:p w14:paraId="75486A05" w14:textId="2DBAEE7B" w:rsidR="008E76F2" w:rsidRPr="00F843EF" w:rsidRDefault="008E76F2" w:rsidP="004A2669">
      <w:pPr>
        <w:jc w:val="both"/>
        <w:rPr>
          <w:sz w:val="10"/>
          <w:szCs w:val="10"/>
        </w:rPr>
      </w:pPr>
    </w:p>
    <w:p w14:paraId="7AF26A7A" w14:textId="2AFFB667" w:rsidR="004A2669" w:rsidRDefault="004A2669" w:rsidP="004A2669">
      <w:pPr>
        <w:jc w:val="both"/>
      </w:pPr>
      <w:r w:rsidRPr="001E1353">
        <w:t>Conformément à la jurisprudence visant à accorder aux pouvoirs locaux un certain délai d’adaptation, les emprunts liés à des projets antérieurs à 2014 ne sont pas comptabilisés dans le calcul de la balise d’emprunt.</w:t>
      </w:r>
    </w:p>
    <w:p w14:paraId="2F055E31" w14:textId="77777777" w:rsidR="009A66C7" w:rsidRPr="001E1353" w:rsidRDefault="009A66C7" w:rsidP="004A2669">
      <w:pPr>
        <w:jc w:val="both"/>
      </w:pPr>
    </w:p>
    <w:p w14:paraId="2F1BDB91" w14:textId="34DD360E" w:rsidR="00C10E4F" w:rsidRDefault="00107837" w:rsidP="009D5C52">
      <w:pPr>
        <w:pStyle w:val="Sam4"/>
      </w:pPr>
      <w:bookmarkStart w:id="3135" w:name="_Toc74557625"/>
      <w:r>
        <w:t xml:space="preserve">Comptabilisation des emprunts des zones de </w:t>
      </w:r>
      <w:r w:rsidR="00915F50">
        <w:t xml:space="preserve">police et de </w:t>
      </w:r>
      <w:r>
        <w:t>secours</w:t>
      </w:r>
      <w:bookmarkEnd w:id="3135"/>
    </w:p>
    <w:p w14:paraId="50D3DAE9" w14:textId="256F83AA" w:rsidR="008E76F2" w:rsidRPr="00F843EF" w:rsidRDefault="008E76F2" w:rsidP="00581DAD">
      <w:pPr>
        <w:jc w:val="both"/>
        <w:textAlignment w:val="baseline"/>
        <w:rPr>
          <w:rFonts w:cs="Arial"/>
          <w:color w:val="FF0000"/>
          <w:sz w:val="10"/>
          <w:szCs w:val="10"/>
          <w:highlight w:val="yellow"/>
        </w:rPr>
      </w:pPr>
    </w:p>
    <w:p w14:paraId="03C728E3" w14:textId="6E106F3C" w:rsidR="009D5C52" w:rsidRDefault="00866F0E" w:rsidP="00581DAD">
      <w:pPr>
        <w:jc w:val="both"/>
        <w:textAlignment w:val="baseline"/>
        <w:rPr>
          <w:rFonts w:cs="Arial"/>
        </w:rPr>
      </w:pPr>
      <w:r w:rsidRPr="008E76F2">
        <w:rPr>
          <w:rFonts w:cs="Arial"/>
        </w:rPr>
        <w:t>L</w:t>
      </w:r>
      <w:r w:rsidR="00107837" w:rsidRPr="008E76F2">
        <w:rPr>
          <w:rFonts w:cs="Arial"/>
        </w:rPr>
        <w:t xml:space="preserve">es emprunts </w:t>
      </w:r>
      <w:r w:rsidRPr="008E76F2">
        <w:rPr>
          <w:rFonts w:cs="Arial"/>
        </w:rPr>
        <w:t xml:space="preserve">des zones de police et de secours </w:t>
      </w:r>
      <w:r w:rsidR="00915F50" w:rsidRPr="008E76F2">
        <w:rPr>
          <w:rFonts w:cs="Arial"/>
        </w:rPr>
        <w:t xml:space="preserve">ne </w:t>
      </w:r>
      <w:r w:rsidRPr="008E76F2">
        <w:rPr>
          <w:rFonts w:cs="Arial"/>
        </w:rPr>
        <w:t xml:space="preserve">sont </w:t>
      </w:r>
      <w:r w:rsidR="00915F50" w:rsidRPr="008E76F2">
        <w:rPr>
          <w:rFonts w:cs="Arial"/>
        </w:rPr>
        <w:t>pas</w:t>
      </w:r>
      <w:r w:rsidR="00107837" w:rsidRPr="008E76F2">
        <w:rPr>
          <w:rFonts w:cs="Arial"/>
        </w:rPr>
        <w:t xml:space="preserve"> comptabilisés dans la balise communale.</w:t>
      </w:r>
      <w:r w:rsidR="00107837">
        <w:rPr>
          <w:rFonts w:cs="Arial"/>
        </w:rPr>
        <w:t xml:space="preserve"> </w:t>
      </w:r>
    </w:p>
    <w:p w14:paraId="0B9AEC1A" w14:textId="07884FBB" w:rsidR="00581DAD" w:rsidRDefault="00581DAD" w:rsidP="00581DAD">
      <w:pPr>
        <w:jc w:val="both"/>
        <w:textAlignment w:val="baseline"/>
        <w:rPr>
          <w:rFonts w:cs="Arial"/>
        </w:rPr>
      </w:pPr>
    </w:p>
    <w:p w14:paraId="51605DB0" w14:textId="25727C82" w:rsidR="00C10E4F" w:rsidRDefault="00581DAD" w:rsidP="00671240">
      <w:pPr>
        <w:pStyle w:val="Sam4"/>
      </w:pPr>
      <w:bookmarkStart w:id="3136" w:name="_Toc74557626"/>
      <w:r w:rsidRPr="00581DAD">
        <w:t>FRIC</w:t>
      </w:r>
      <w:bookmarkEnd w:id="3136"/>
    </w:p>
    <w:p w14:paraId="231C1EDF" w14:textId="341F5CCC" w:rsidR="008E76F2" w:rsidRPr="00F843EF" w:rsidRDefault="008E76F2" w:rsidP="00581DAD">
      <w:pPr>
        <w:jc w:val="both"/>
        <w:textAlignment w:val="baseline"/>
        <w:rPr>
          <w:rFonts w:cs="Arial"/>
          <w:sz w:val="10"/>
          <w:szCs w:val="10"/>
        </w:rPr>
      </w:pPr>
    </w:p>
    <w:p w14:paraId="609432E4" w14:textId="53FD49D8" w:rsidR="009D5C52" w:rsidRDefault="00581DAD" w:rsidP="00581DAD">
      <w:pPr>
        <w:jc w:val="both"/>
        <w:textAlignment w:val="baseline"/>
      </w:pPr>
      <w:r>
        <w:rPr>
          <w:rFonts w:cs="Arial"/>
        </w:rPr>
        <w:t>L’emprunt contracté et destiné à couvrir la partie non subsidiée de l’investissement relatif au FRIC pourra être mise hors balis</w:t>
      </w:r>
      <w:r w:rsidR="00B456F6">
        <w:rPr>
          <w:rFonts w:cs="Arial"/>
        </w:rPr>
        <w:t xml:space="preserve">e </w:t>
      </w:r>
      <w:r w:rsidR="00B456F6">
        <w:t>automatiquement et sans demande spécifique de dérogation</w:t>
      </w:r>
      <w:r w:rsidR="00B456F6" w:rsidRPr="00E446FA">
        <w:t xml:space="preserve">. </w:t>
      </w:r>
    </w:p>
    <w:p w14:paraId="5533C589" w14:textId="15DEF99E" w:rsidR="002F0F80" w:rsidRDefault="002F0F80" w:rsidP="002F0F80">
      <w:pPr>
        <w:jc w:val="both"/>
        <w:textAlignment w:val="baseline"/>
        <w:rPr>
          <w:rFonts w:cs="Arial"/>
        </w:rPr>
      </w:pPr>
      <w:r w:rsidRPr="008D7EB7">
        <w:rPr>
          <w:rFonts w:cs="Arial"/>
        </w:rPr>
        <w:t>Vous trouverez ci-dessous le mode de comptabilisation FRIC.</w:t>
      </w:r>
    </w:p>
    <w:p w14:paraId="56603325" w14:textId="261AF246" w:rsidR="008E76F2" w:rsidRPr="00DC4C8C" w:rsidRDefault="008E76F2" w:rsidP="002F0F80">
      <w:pPr>
        <w:jc w:val="both"/>
        <w:textAlignment w:val="baseline"/>
        <w:rPr>
          <w:rFonts w:cs="Arial"/>
          <w:sz w:val="10"/>
          <w:szCs w:val="10"/>
        </w:rPr>
      </w:pPr>
    </w:p>
    <w:p w14:paraId="64DDD351" w14:textId="452B9E4F" w:rsidR="0085507D" w:rsidRDefault="002F0F80" w:rsidP="008E76F2">
      <w:pPr>
        <w:jc w:val="both"/>
        <w:textAlignment w:val="baseline"/>
        <w:rPr>
          <w:rFonts w:cs="Arial"/>
        </w:rPr>
      </w:pPr>
      <w:r w:rsidRPr="008D7EB7">
        <w:rPr>
          <w:rFonts w:cs="Arial"/>
        </w:rPr>
        <w:t xml:space="preserve">1. Lors de la notification de la décision du Ministre relative au FRIC, la commune constate l'entièreté du subside promérité =&gt; 000/663-51 : </w:t>
      </w:r>
    </w:p>
    <w:p w14:paraId="21F678AF" w14:textId="356525D3" w:rsidR="0085507D" w:rsidRPr="00DC4C8C" w:rsidRDefault="0085507D" w:rsidP="008E76F2">
      <w:pPr>
        <w:jc w:val="both"/>
        <w:textAlignment w:val="baseline"/>
        <w:rPr>
          <w:rFonts w:cs="Arial"/>
          <w:sz w:val="10"/>
          <w:szCs w:val="10"/>
        </w:rPr>
      </w:pPr>
    </w:p>
    <w:p w14:paraId="3E2E05DE" w14:textId="43A37FF8" w:rsidR="002F0F80" w:rsidRPr="008D7EB7" w:rsidRDefault="0085507D" w:rsidP="008D7EB7">
      <w:pPr>
        <w:jc w:val="both"/>
        <w:textAlignment w:val="baseline"/>
        <w:rPr>
          <w:rFonts w:cs="Arial"/>
        </w:rPr>
      </w:pPr>
      <w:r w:rsidRPr="008D7EB7">
        <w:rPr>
          <w:rFonts w:cs="Arial"/>
          <w:u w:val="single"/>
        </w:rPr>
        <w:t>E</w:t>
      </w:r>
      <w:r w:rsidR="002F0F80" w:rsidRPr="008D7EB7">
        <w:rPr>
          <w:rFonts w:cs="Arial"/>
          <w:u w:val="single"/>
        </w:rPr>
        <w:t>xemple</w:t>
      </w:r>
      <w:r w:rsidR="002F0F80" w:rsidRPr="008D7EB7">
        <w:rPr>
          <w:rFonts w:cs="Arial"/>
        </w:rPr>
        <w:t> : 100.000 euros (en plusieurs exercices exemple à chaque exercice 15.000 x 5 + 25.000 euros x</w:t>
      </w:r>
      <w:r>
        <w:rPr>
          <w:rFonts w:cs="Arial"/>
        </w:rPr>
        <w:t xml:space="preserve"> </w:t>
      </w:r>
      <w:r w:rsidR="002F0F80" w:rsidRPr="008D7EB7">
        <w:rPr>
          <w:rFonts w:cs="Arial"/>
        </w:rPr>
        <w:t>1)</w:t>
      </w:r>
      <w:r>
        <w:rPr>
          <w:rFonts w:cs="Arial"/>
        </w:rPr>
        <w:t>.</w:t>
      </w:r>
    </w:p>
    <w:p w14:paraId="72E0C430" w14:textId="7271370A" w:rsidR="008E76F2" w:rsidRPr="00DC4C8C" w:rsidRDefault="008E76F2" w:rsidP="008E76F2">
      <w:pPr>
        <w:jc w:val="both"/>
        <w:textAlignment w:val="baseline"/>
        <w:rPr>
          <w:rFonts w:cs="Arial"/>
          <w:sz w:val="10"/>
          <w:szCs w:val="10"/>
        </w:rPr>
      </w:pPr>
    </w:p>
    <w:p w14:paraId="06A3DB1C" w14:textId="521D6AEA" w:rsidR="002F0F80" w:rsidRPr="008D7EB7" w:rsidRDefault="002F0F80" w:rsidP="008D7EB7">
      <w:pPr>
        <w:jc w:val="both"/>
        <w:textAlignment w:val="baseline"/>
        <w:rPr>
          <w:rFonts w:cs="Arial"/>
        </w:rPr>
      </w:pPr>
      <w:r w:rsidRPr="008D7EB7">
        <w:rPr>
          <w:rFonts w:cs="Arial"/>
        </w:rPr>
        <w:t>27041 - promesse de subsides en capital [indiqué « K » ci</w:t>
      </w:r>
      <w:r w:rsidR="00DE5F00">
        <w:rPr>
          <w:rFonts w:cs="Arial"/>
        </w:rPr>
        <w:t>-</w:t>
      </w:r>
      <w:r w:rsidRPr="008D7EB7">
        <w:rPr>
          <w:rFonts w:cs="Arial"/>
        </w:rPr>
        <w:t>après] (création d'un CP spécifique 0471xxxxx à ce subside) : 100.000 euros</w:t>
      </w:r>
    </w:p>
    <w:p w14:paraId="57198342" w14:textId="38BE66AB" w:rsidR="002F0F80" w:rsidRPr="008D7EB7" w:rsidRDefault="002F0F80" w:rsidP="008D7EB7">
      <w:pPr>
        <w:jc w:val="both"/>
        <w:textAlignment w:val="baseline"/>
        <w:rPr>
          <w:rFonts w:cs="Arial"/>
        </w:rPr>
      </w:pPr>
      <w:r w:rsidRPr="008D7EB7">
        <w:rPr>
          <w:rFonts w:cs="Arial"/>
        </w:rPr>
        <w:t>15411 - Subs</w:t>
      </w:r>
      <w:r w:rsidR="00DE5F00">
        <w:rPr>
          <w:rFonts w:cs="Arial"/>
        </w:rPr>
        <w:t>ide</w:t>
      </w:r>
      <w:r w:rsidRPr="008D7EB7">
        <w:rPr>
          <w:rFonts w:cs="Arial"/>
        </w:rPr>
        <w:t xml:space="preserve"> d'investissement en K de l'AS : 100.000 euros</w:t>
      </w:r>
    </w:p>
    <w:p w14:paraId="08CD5CC3" w14:textId="7B7572E7" w:rsidR="002F0F80" w:rsidRPr="00DC4C8C" w:rsidRDefault="002F0F80" w:rsidP="008D7EB7">
      <w:pPr>
        <w:jc w:val="both"/>
        <w:textAlignment w:val="baseline"/>
        <w:rPr>
          <w:rFonts w:cs="Arial"/>
          <w:sz w:val="10"/>
          <w:szCs w:val="10"/>
        </w:rPr>
      </w:pPr>
    </w:p>
    <w:p w14:paraId="496C59E4" w14:textId="3DBCAFD2" w:rsidR="002F0F80" w:rsidRPr="008D7EB7" w:rsidRDefault="002F0F80" w:rsidP="008D7EB7">
      <w:pPr>
        <w:jc w:val="both"/>
        <w:textAlignment w:val="baseline"/>
        <w:rPr>
          <w:rFonts w:cs="Arial"/>
        </w:rPr>
      </w:pPr>
      <w:r w:rsidRPr="008D7EB7">
        <w:rPr>
          <w:rFonts w:cs="Arial"/>
        </w:rPr>
        <w:t>41301 - Subside d'investissement en K : 100.000 euros</w:t>
      </w:r>
    </w:p>
    <w:p w14:paraId="5CC14A61" w14:textId="506D1B3C" w:rsidR="002F0F80" w:rsidRDefault="002F0F80" w:rsidP="008E76F2">
      <w:pPr>
        <w:jc w:val="both"/>
        <w:textAlignment w:val="baseline"/>
        <w:rPr>
          <w:rFonts w:cs="Arial"/>
        </w:rPr>
      </w:pPr>
      <w:r w:rsidRPr="008D7EB7">
        <w:rPr>
          <w:rFonts w:cs="Arial"/>
        </w:rPr>
        <w:t xml:space="preserve">27041 </w:t>
      </w:r>
      <w:r w:rsidR="001044C0" w:rsidRPr="008E76F2">
        <w:rPr>
          <w:rFonts w:cs="Arial"/>
        </w:rPr>
        <w:t>- promesse</w:t>
      </w:r>
      <w:r w:rsidRPr="008D7EB7">
        <w:rPr>
          <w:rFonts w:cs="Arial"/>
        </w:rPr>
        <w:t xml:space="preserve"> de subside en K : 100.000 euros</w:t>
      </w:r>
    </w:p>
    <w:p w14:paraId="59D657F2" w14:textId="04BAB21B" w:rsidR="008E76F2" w:rsidRPr="008D7EB7" w:rsidRDefault="008E76F2" w:rsidP="008D7EB7">
      <w:pPr>
        <w:jc w:val="both"/>
        <w:textAlignment w:val="baseline"/>
        <w:rPr>
          <w:rFonts w:cs="Arial"/>
        </w:rPr>
      </w:pPr>
    </w:p>
    <w:p w14:paraId="7E4F612C" w14:textId="441A0320" w:rsidR="002F0F80" w:rsidRPr="008D7EB7" w:rsidRDefault="002F0F80" w:rsidP="008D7EB7">
      <w:pPr>
        <w:jc w:val="both"/>
        <w:textAlignment w:val="baseline"/>
        <w:rPr>
          <w:rFonts w:cs="Arial"/>
        </w:rPr>
      </w:pPr>
      <w:r w:rsidRPr="008D7EB7">
        <w:rPr>
          <w:rFonts w:cs="Arial"/>
        </w:rPr>
        <w:t>2. Transfert de ce subside vers le FRE via un 06089/955-51 : 100.000 euros</w:t>
      </w:r>
    </w:p>
    <w:p w14:paraId="69EB4E20" w14:textId="34F6C3CF" w:rsidR="008E76F2" w:rsidRPr="00DC4C8C" w:rsidRDefault="008E76F2" w:rsidP="008E76F2">
      <w:pPr>
        <w:jc w:val="both"/>
        <w:textAlignment w:val="baseline"/>
        <w:rPr>
          <w:rFonts w:cs="Arial"/>
          <w:sz w:val="10"/>
          <w:szCs w:val="10"/>
        </w:rPr>
      </w:pPr>
    </w:p>
    <w:p w14:paraId="464FD171" w14:textId="3B6FEA98" w:rsidR="002F0F80" w:rsidRPr="008D7EB7" w:rsidRDefault="002F0F80" w:rsidP="008D7EB7">
      <w:pPr>
        <w:jc w:val="both"/>
        <w:textAlignment w:val="baseline"/>
        <w:rPr>
          <w:rFonts w:cs="Arial"/>
        </w:rPr>
      </w:pPr>
      <w:r w:rsidRPr="008D7EB7">
        <w:rPr>
          <w:rFonts w:cs="Arial"/>
        </w:rPr>
        <w:t>68605 - Dotation du SE au FRE : 100.000 euros</w:t>
      </w:r>
    </w:p>
    <w:p w14:paraId="7F22AAA6" w14:textId="0D7DD9E6" w:rsidR="002F0F80" w:rsidRPr="008D7EB7" w:rsidRDefault="002F0F80" w:rsidP="008D7EB7">
      <w:pPr>
        <w:jc w:val="both"/>
        <w:textAlignment w:val="baseline"/>
        <w:rPr>
          <w:rFonts w:cs="Arial"/>
        </w:rPr>
      </w:pPr>
      <w:r w:rsidRPr="008D7EB7">
        <w:rPr>
          <w:rFonts w:cs="Arial"/>
        </w:rPr>
        <w:t>14105 - FRE : 100.000 euros</w:t>
      </w:r>
    </w:p>
    <w:p w14:paraId="0FC16999" w14:textId="301CFF35" w:rsidR="008E76F2" w:rsidRPr="00DC4C8C" w:rsidRDefault="008E76F2" w:rsidP="008E76F2">
      <w:pPr>
        <w:jc w:val="both"/>
        <w:textAlignment w:val="baseline"/>
        <w:rPr>
          <w:rFonts w:cs="Arial"/>
          <w:sz w:val="10"/>
          <w:szCs w:val="10"/>
        </w:rPr>
      </w:pPr>
    </w:p>
    <w:p w14:paraId="5438A54A" w14:textId="31150987" w:rsidR="002F0F80" w:rsidRDefault="002F0F80" w:rsidP="008E76F2">
      <w:pPr>
        <w:jc w:val="both"/>
        <w:textAlignment w:val="baseline"/>
        <w:rPr>
          <w:rFonts w:cs="Arial"/>
        </w:rPr>
      </w:pPr>
      <w:r w:rsidRPr="008D7EB7">
        <w:rPr>
          <w:rFonts w:cs="Arial"/>
        </w:rPr>
        <w:t>On identifie au 060 le subside Fonds d'investissement par les 2 derniers caractères de la fonction avec « 89 »</w:t>
      </w:r>
      <w:r w:rsidR="008E76F2">
        <w:rPr>
          <w:rFonts w:cs="Arial"/>
        </w:rPr>
        <w:t>.</w:t>
      </w:r>
    </w:p>
    <w:p w14:paraId="53ABB726" w14:textId="0F1B4C40" w:rsidR="008E76F2" w:rsidRPr="008D7EB7" w:rsidRDefault="008E76F2" w:rsidP="008D7EB7">
      <w:pPr>
        <w:jc w:val="both"/>
        <w:textAlignment w:val="baseline"/>
        <w:rPr>
          <w:rFonts w:cs="Arial"/>
        </w:rPr>
      </w:pPr>
    </w:p>
    <w:p w14:paraId="1C29EAB7" w14:textId="7738B137" w:rsidR="002F0F80" w:rsidRDefault="002F0F80" w:rsidP="008E76F2">
      <w:pPr>
        <w:jc w:val="both"/>
        <w:textAlignment w:val="baseline"/>
        <w:rPr>
          <w:rFonts w:cs="Arial"/>
        </w:rPr>
      </w:pPr>
      <w:r w:rsidRPr="008D7EB7">
        <w:rPr>
          <w:rFonts w:cs="Arial"/>
        </w:rPr>
        <w:lastRenderedPageBreak/>
        <w:t>3. Quand versement du subside. (</w:t>
      </w:r>
      <w:proofErr w:type="gramStart"/>
      <w:r w:rsidRPr="008D7EB7">
        <w:rPr>
          <w:rFonts w:cs="Arial"/>
        </w:rPr>
        <w:t>en</w:t>
      </w:r>
      <w:proofErr w:type="gramEnd"/>
      <w:r w:rsidRPr="008D7EB7">
        <w:rPr>
          <w:rFonts w:cs="Arial"/>
        </w:rPr>
        <w:t xml:space="preserve"> plusieurs exercices exemple à chaque exercice 15.000 x 5 + 25.000 euros x1) </w:t>
      </w:r>
    </w:p>
    <w:p w14:paraId="0146407A" w14:textId="54F3881C" w:rsidR="008E76F2" w:rsidRPr="00DC4C8C" w:rsidRDefault="008E76F2" w:rsidP="008D7EB7">
      <w:pPr>
        <w:jc w:val="both"/>
        <w:textAlignment w:val="baseline"/>
        <w:rPr>
          <w:rFonts w:cs="Arial"/>
          <w:sz w:val="10"/>
          <w:szCs w:val="10"/>
        </w:rPr>
      </w:pPr>
    </w:p>
    <w:p w14:paraId="0F1E385D" w14:textId="04BCA6FD" w:rsidR="002F0F80" w:rsidRPr="008D7EB7" w:rsidRDefault="002F0F80" w:rsidP="008D7EB7">
      <w:pPr>
        <w:jc w:val="both"/>
        <w:textAlignment w:val="baseline"/>
        <w:rPr>
          <w:rFonts w:cs="Arial"/>
        </w:rPr>
      </w:pPr>
      <w:r w:rsidRPr="008D7EB7">
        <w:rPr>
          <w:rFonts w:cs="Arial"/>
        </w:rPr>
        <w:t>55xxx - Banque : 15.000 euros</w:t>
      </w:r>
    </w:p>
    <w:p w14:paraId="1564FF03" w14:textId="5AE02AF6" w:rsidR="002F0F80" w:rsidRPr="008D7EB7" w:rsidRDefault="002F0F80" w:rsidP="008D7EB7">
      <w:pPr>
        <w:jc w:val="both"/>
        <w:textAlignment w:val="baseline"/>
        <w:rPr>
          <w:rFonts w:cs="Arial"/>
        </w:rPr>
      </w:pPr>
      <w:r w:rsidRPr="008D7EB7">
        <w:rPr>
          <w:rFonts w:cs="Arial"/>
        </w:rPr>
        <w:t>41301 - Subside d'investissement en K : 15.000 euros</w:t>
      </w:r>
    </w:p>
    <w:p w14:paraId="006E75F3" w14:textId="64DCF934" w:rsidR="008E76F2" w:rsidRDefault="008E76F2" w:rsidP="008E76F2">
      <w:pPr>
        <w:jc w:val="both"/>
        <w:textAlignment w:val="baseline"/>
        <w:rPr>
          <w:rFonts w:cs="Arial"/>
        </w:rPr>
      </w:pPr>
    </w:p>
    <w:p w14:paraId="0011D1A3" w14:textId="53DE81A2" w:rsidR="008E76F2" w:rsidRDefault="002F0F80" w:rsidP="008E76F2">
      <w:pPr>
        <w:jc w:val="both"/>
        <w:textAlignment w:val="baseline"/>
        <w:rPr>
          <w:rFonts w:cs="Arial"/>
        </w:rPr>
      </w:pPr>
      <w:r w:rsidRPr="008D7EB7">
        <w:rPr>
          <w:rFonts w:cs="Arial"/>
        </w:rPr>
        <w:t xml:space="preserve">4. Quand inscription budgétaire et engagement d'un investissement repris dans le FRIC : </w:t>
      </w:r>
      <w:r w:rsidRPr="008D7EB7">
        <w:rPr>
          <w:rFonts w:cs="Arial"/>
        </w:rPr>
        <w:br/>
        <w:t xml:space="preserve">xxx/731-60 (exemple) à financer pour 50 % par emprunt ou FRE (non affecté) et pour 50 % par un droit constaté via le 06089/995-51. </w:t>
      </w:r>
    </w:p>
    <w:p w14:paraId="4E71F8BD" w14:textId="1A2015F8" w:rsidR="008E76F2" w:rsidRPr="00DC4C8C" w:rsidRDefault="008E76F2" w:rsidP="008E76F2">
      <w:pPr>
        <w:jc w:val="both"/>
        <w:textAlignment w:val="baseline"/>
        <w:rPr>
          <w:rFonts w:cs="Arial"/>
          <w:sz w:val="10"/>
          <w:szCs w:val="10"/>
        </w:rPr>
      </w:pPr>
    </w:p>
    <w:p w14:paraId="5E97C48B" w14:textId="6877F9C0" w:rsidR="002F0F80" w:rsidRPr="008D7EB7" w:rsidRDefault="002F0F80" w:rsidP="008D7EB7">
      <w:pPr>
        <w:jc w:val="both"/>
        <w:textAlignment w:val="baseline"/>
        <w:rPr>
          <w:rFonts w:cs="Arial"/>
        </w:rPr>
      </w:pPr>
      <w:r w:rsidRPr="008D7EB7">
        <w:rPr>
          <w:rFonts w:cs="Arial"/>
          <w:u w:val="single"/>
        </w:rPr>
        <w:t>Exemple travaux</w:t>
      </w:r>
      <w:r w:rsidRPr="008D7EB7">
        <w:rPr>
          <w:rFonts w:cs="Arial"/>
        </w:rPr>
        <w:t> : 10.000 euros</w:t>
      </w:r>
    </w:p>
    <w:p w14:paraId="71174020" w14:textId="5DB536C1" w:rsidR="008E76F2" w:rsidRPr="00DC4C8C" w:rsidRDefault="008E76F2" w:rsidP="008E76F2">
      <w:pPr>
        <w:jc w:val="both"/>
        <w:textAlignment w:val="baseline"/>
        <w:rPr>
          <w:rFonts w:cs="Arial"/>
          <w:sz w:val="10"/>
          <w:szCs w:val="10"/>
        </w:rPr>
      </w:pPr>
    </w:p>
    <w:p w14:paraId="7F5BFA02" w14:textId="564AD093" w:rsidR="002F0F80" w:rsidRPr="008D7EB7" w:rsidRDefault="002F0F80" w:rsidP="008D7EB7">
      <w:pPr>
        <w:jc w:val="both"/>
        <w:textAlignment w:val="baseline"/>
        <w:rPr>
          <w:rFonts w:cs="Arial"/>
        </w:rPr>
      </w:pPr>
      <w:r w:rsidRPr="008D7EB7">
        <w:rPr>
          <w:rFonts w:cs="Arial"/>
        </w:rPr>
        <w:t>14105 – FRE     5.000 euros</w:t>
      </w:r>
    </w:p>
    <w:p w14:paraId="0693260D" w14:textId="51527F3D" w:rsidR="002F0F80" w:rsidRPr="008D7EB7" w:rsidRDefault="002F0F80" w:rsidP="008D7EB7">
      <w:pPr>
        <w:jc w:val="both"/>
        <w:textAlignment w:val="baseline"/>
        <w:rPr>
          <w:rFonts w:cs="Arial"/>
        </w:rPr>
      </w:pPr>
      <w:r w:rsidRPr="008D7EB7">
        <w:rPr>
          <w:rFonts w:cs="Arial"/>
        </w:rPr>
        <w:t>78605 - Prélèvement sur FRE    5.000 euros</w:t>
      </w:r>
    </w:p>
    <w:p w14:paraId="562775FF" w14:textId="64E81622" w:rsidR="002F0F80" w:rsidRPr="00DC4C8C" w:rsidRDefault="002F0F80" w:rsidP="008D7EB7">
      <w:pPr>
        <w:jc w:val="both"/>
        <w:textAlignment w:val="baseline"/>
        <w:rPr>
          <w:rFonts w:cs="Arial"/>
          <w:sz w:val="10"/>
          <w:szCs w:val="10"/>
        </w:rPr>
      </w:pPr>
    </w:p>
    <w:p w14:paraId="42E69718" w14:textId="7D447332" w:rsidR="002F0F80" w:rsidRPr="008D7EB7" w:rsidRDefault="002F0F80" w:rsidP="008D7EB7">
      <w:pPr>
        <w:jc w:val="both"/>
        <w:textAlignment w:val="baseline"/>
        <w:rPr>
          <w:rFonts w:cs="Arial"/>
        </w:rPr>
      </w:pPr>
      <w:r w:rsidRPr="008D7EB7">
        <w:rPr>
          <w:rFonts w:cs="Arial"/>
        </w:rPr>
        <w:t>Pour rappel, le financement alternatif des différentes infrastructures est comptabilisé à l’extraordinaire, comme un emprunt normal (et non comme un emprunt d’aide extraordinaire à long terme).</w:t>
      </w:r>
    </w:p>
    <w:p w14:paraId="233F5D4B" w14:textId="46044332" w:rsidR="002F0F80" w:rsidRPr="00DC4C8C" w:rsidRDefault="002F0F80" w:rsidP="008D7EB7">
      <w:pPr>
        <w:jc w:val="both"/>
        <w:textAlignment w:val="baseline"/>
        <w:rPr>
          <w:rFonts w:cs="Arial"/>
          <w:sz w:val="10"/>
          <w:szCs w:val="10"/>
        </w:rPr>
      </w:pPr>
    </w:p>
    <w:p w14:paraId="50EADD76" w14:textId="1BD5C457" w:rsidR="002F0F80" w:rsidRPr="008D7EB7" w:rsidRDefault="002F0F80" w:rsidP="008D7EB7">
      <w:pPr>
        <w:jc w:val="both"/>
        <w:textAlignment w:val="baseline"/>
        <w:rPr>
          <w:rFonts w:cs="Arial"/>
        </w:rPr>
      </w:pPr>
      <w:r w:rsidRPr="008D7EB7">
        <w:rPr>
          <w:rFonts w:cs="Arial"/>
          <w:u w:val="single"/>
        </w:rPr>
        <w:t>Réduction du FRIC</w:t>
      </w:r>
      <w:r w:rsidRPr="008D7EB7">
        <w:rPr>
          <w:rFonts w:cs="Arial"/>
        </w:rPr>
        <w:t> :</w:t>
      </w:r>
    </w:p>
    <w:p w14:paraId="5D3EE230" w14:textId="72D9FD24" w:rsidR="002F0F80" w:rsidRPr="00DC4C8C" w:rsidRDefault="002F0F80" w:rsidP="008D7EB7">
      <w:pPr>
        <w:jc w:val="both"/>
        <w:textAlignment w:val="baseline"/>
        <w:rPr>
          <w:rFonts w:cs="Arial"/>
          <w:sz w:val="10"/>
          <w:szCs w:val="10"/>
        </w:rPr>
      </w:pPr>
    </w:p>
    <w:p w14:paraId="390BBADA" w14:textId="1C17A987" w:rsidR="00665967" w:rsidRDefault="002F0F80" w:rsidP="00541AFA">
      <w:pPr>
        <w:jc w:val="both"/>
        <w:textAlignment w:val="baseline"/>
        <w:rPr>
          <w:rFonts w:cs="Arial"/>
        </w:rPr>
      </w:pPr>
      <w:r w:rsidRPr="008D7EB7">
        <w:rPr>
          <w:rFonts w:cs="Arial"/>
        </w:rPr>
        <w:t>Le subside FRIC est réduit à partir de l’amortissement du ou des biens concernés par le subside. La durée d’amortissement est en fonction de l’investissement. Lorsque plusieurs biens sont concernés, le délai de réduction le plus long sera pris en compte. On commencera la réduction du subside FRIC au moment où tous les investissements commenceront à être amortis.</w:t>
      </w:r>
    </w:p>
    <w:p w14:paraId="3FCBEC15" w14:textId="36C5EED1" w:rsidR="00A23EFA" w:rsidRDefault="00A23EFA" w:rsidP="00671240">
      <w:pPr>
        <w:pStyle w:val="Sam4"/>
      </w:pPr>
      <w:bookmarkStart w:id="3137" w:name="_Toc40185346"/>
      <w:bookmarkStart w:id="3138" w:name="_Toc40186081"/>
      <w:bookmarkStart w:id="3139" w:name="_Toc40185347"/>
      <w:bookmarkStart w:id="3140" w:name="_Toc40186082"/>
      <w:bookmarkStart w:id="3141" w:name="_Toc6415666"/>
      <w:bookmarkStart w:id="3142" w:name="_Toc6415975"/>
      <w:bookmarkStart w:id="3143" w:name="_Toc6995583"/>
      <w:bookmarkStart w:id="3144" w:name="_Toc6995887"/>
      <w:bookmarkStart w:id="3145" w:name="_Toc6996191"/>
      <w:bookmarkStart w:id="3146" w:name="_Toc6997682"/>
      <w:bookmarkStart w:id="3147" w:name="_Toc7016457"/>
      <w:bookmarkStart w:id="3148" w:name="_Toc7020625"/>
      <w:bookmarkStart w:id="3149" w:name="_Toc7094686"/>
      <w:bookmarkStart w:id="3150" w:name="_Toc8121717"/>
      <w:bookmarkStart w:id="3151" w:name="_Toc8129658"/>
      <w:bookmarkStart w:id="3152" w:name="_Toc74557627"/>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r>
        <w:t>UREBA</w:t>
      </w:r>
      <w:bookmarkEnd w:id="3152"/>
      <w:r w:rsidR="00472036">
        <w:t xml:space="preserve"> et </w:t>
      </w:r>
      <w:proofErr w:type="spellStart"/>
      <w:r w:rsidR="00472036">
        <w:t>RenoWatt</w:t>
      </w:r>
      <w:proofErr w:type="spellEnd"/>
    </w:p>
    <w:p w14:paraId="02936984" w14:textId="13C9C618" w:rsidR="0085507D" w:rsidRPr="00DC4C8C" w:rsidRDefault="0085507D" w:rsidP="00671240">
      <w:pPr>
        <w:jc w:val="both"/>
        <w:rPr>
          <w:sz w:val="10"/>
          <w:szCs w:val="10"/>
        </w:rPr>
      </w:pPr>
    </w:p>
    <w:p w14:paraId="0D2CC549" w14:textId="72ADE3CE" w:rsidR="00A23EFA" w:rsidRDefault="00EB5E40" w:rsidP="00671240">
      <w:pPr>
        <w:jc w:val="both"/>
      </w:pPr>
      <w:r>
        <w:t>Le</w:t>
      </w:r>
      <w:r w:rsidR="00A23EFA" w:rsidRPr="00A23EFA">
        <w:t xml:space="preserve">s investissements productifs réalisés dans le cadre de la mesure « Assurer l’efficacité énergétique des bâtiments » du Plan Marshall 4.0 (subventions UREBA notamment) </w:t>
      </w:r>
      <w:r w:rsidR="00472036">
        <w:t xml:space="preserve">et </w:t>
      </w:r>
      <w:proofErr w:type="spellStart"/>
      <w:r w:rsidR="00472036">
        <w:t>RenoWatt</w:t>
      </w:r>
      <w:proofErr w:type="spellEnd"/>
      <w:r w:rsidR="00472036">
        <w:t xml:space="preserve"> </w:t>
      </w:r>
      <w:r w:rsidR="00A23EFA" w:rsidRPr="00A23EFA">
        <w:t>pourront être considérés comme hors balise à condition que cet investissement ait fait l’objet d’un accord de principe</w:t>
      </w:r>
      <w:r w:rsidR="00472036">
        <w:t xml:space="preserve"> ou d’un rapport </w:t>
      </w:r>
      <w:proofErr w:type="spellStart"/>
      <w:r w:rsidR="00472036">
        <w:t>RenoWatt</w:t>
      </w:r>
      <w:proofErr w:type="spellEnd"/>
      <w:r w:rsidR="00472036">
        <w:t xml:space="preserve"> confirmant le retour sur investissement</w:t>
      </w:r>
      <w:r w:rsidR="00A23EFA" w:rsidRPr="00A23EFA">
        <w:t xml:space="preserve">. </w:t>
      </w:r>
      <w:r w:rsidR="00037B94" w:rsidRPr="0085507D">
        <w:t xml:space="preserve">La commune est invitée à produire la preuve de cet accord </w:t>
      </w:r>
      <w:r w:rsidR="00325C51" w:rsidRPr="00325C51">
        <w:t xml:space="preserve">ou </w:t>
      </w:r>
      <w:r w:rsidR="00472036">
        <w:t xml:space="preserve">du rapport </w:t>
      </w:r>
      <w:r w:rsidR="00037B94" w:rsidRPr="0085507D">
        <w:t>sur demande du SPW Intérieur Action sociale</w:t>
      </w:r>
      <w:r w:rsidR="00472036">
        <w:t xml:space="preserve"> ou du CRAC</w:t>
      </w:r>
      <w:r w:rsidR="00037B94" w:rsidRPr="0085507D">
        <w:t>.</w:t>
      </w:r>
    </w:p>
    <w:p w14:paraId="6FEAF9C8" w14:textId="03763E36" w:rsidR="009D5C52" w:rsidRPr="00A23EFA" w:rsidRDefault="009D5C52" w:rsidP="00671240">
      <w:pPr>
        <w:pStyle w:val="Sam4"/>
        <w:numPr>
          <w:ilvl w:val="0"/>
          <w:numId w:val="0"/>
        </w:numPr>
        <w:jc w:val="both"/>
        <w:rPr>
          <w:b w:val="0"/>
          <w:i w:val="0"/>
          <w:u w:val="none"/>
        </w:rPr>
      </w:pPr>
      <w:bookmarkStart w:id="3153" w:name="_Hlk76113842"/>
    </w:p>
    <w:p w14:paraId="58EB85C5" w14:textId="4BDBA8B8" w:rsidR="00A23EFA" w:rsidRDefault="00EA2DD4" w:rsidP="008D7EB7">
      <w:pPr>
        <w:pStyle w:val="Sam4"/>
        <w:jc w:val="both"/>
      </w:pPr>
      <w:bookmarkStart w:id="3154" w:name="_Toc6415669"/>
      <w:bookmarkStart w:id="3155" w:name="_Toc6415978"/>
      <w:bookmarkStart w:id="3156" w:name="_Toc6995585"/>
      <w:bookmarkStart w:id="3157" w:name="_Toc6995889"/>
      <w:bookmarkStart w:id="3158" w:name="_Toc6996193"/>
      <w:bookmarkStart w:id="3159" w:name="_Toc6997684"/>
      <w:bookmarkStart w:id="3160" w:name="_Toc7016459"/>
      <w:bookmarkStart w:id="3161" w:name="_Toc7020627"/>
      <w:bookmarkStart w:id="3162" w:name="_Toc7094688"/>
      <w:bookmarkStart w:id="3163" w:name="_Toc8121719"/>
      <w:bookmarkStart w:id="3164" w:name="_Toc8129660"/>
      <w:bookmarkStart w:id="3165" w:name="_Toc74557628"/>
      <w:bookmarkEnd w:id="3154"/>
      <w:bookmarkEnd w:id="3155"/>
      <w:bookmarkEnd w:id="3156"/>
      <w:bookmarkEnd w:id="3157"/>
      <w:bookmarkEnd w:id="3158"/>
      <w:bookmarkEnd w:id="3159"/>
      <w:bookmarkEnd w:id="3160"/>
      <w:bookmarkEnd w:id="3161"/>
      <w:bookmarkEnd w:id="3162"/>
      <w:bookmarkEnd w:id="3163"/>
      <w:bookmarkEnd w:id="3164"/>
      <w:r w:rsidRPr="009D5C52">
        <w:t>Projets cofinancés par l’Union Européenne par décision du Gouvernement.</w:t>
      </w:r>
      <w:bookmarkEnd w:id="3165"/>
    </w:p>
    <w:p w14:paraId="0A171C7A" w14:textId="44E4835E" w:rsidR="0085507D" w:rsidRPr="00DC4C8C" w:rsidRDefault="0085507D" w:rsidP="00671240">
      <w:pPr>
        <w:rPr>
          <w:strike/>
          <w:sz w:val="10"/>
          <w:szCs w:val="10"/>
          <w:highlight w:val="cyan"/>
        </w:rPr>
      </w:pPr>
    </w:p>
    <w:p w14:paraId="26E1A164" w14:textId="1076A2C3" w:rsidR="009D5C52" w:rsidRPr="008D7EB7" w:rsidRDefault="0029025E" w:rsidP="008D7EB7">
      <w:pPr>
        <w:jc w:val="both"/>
      </w:pPr>
      <w:r w:rsidRPr="008D7EB7">
        <w:t>Les projets cofinancés par l’Union européenne par décision du Gouvernement ne sont pas comptabilisés dans le calcul de la balise d’emprunt.</w:t>
      </w:r>
    </w:p>
    <w:bookmarkEnd w:id="3153"/>
    <w:p w14:paraId="503D61D7" w14:textId="573025B0" w:rsidR="0029025E" w:rsidRPr="008D7EB7" w:rsidRDefault="0029025E" w:rsidP="00671240">
      <w:pPr>
        <w:rPr>
          <w:strike/>
        </w:rPr>
      </w:pPr>
    </w:p>
    <w:p w14:paraId="5E77AF81" w14:textId="33553DD0" w:rsidR="00EA2DD4" w:rsidRPr="00EA2DD4" w:rsidRDefault="00EA2DD4" w:rsidP="00671240">
      <w:pPr>
        <w:pStyle w:val="Sam4"/>
      </w:pPr>
      <w:bookmarkStart w:id="3166" w:name="_Toc74557629"/>
      <w:r>
        <w:t>Coût-vérité</w:t>
      </w:r>
      <w:r w:rsidR="00CF4965">
        <w:t xml:space="preserve"> distribution d’eau</w:t>
      </w:r>
      <w:bookmarkEnd w:id="3166"/>
    </w:p>
    <w:p w14:paraId="63126A69" w14:textId="683125EF" w:rsidR="0085507D" w:rsidRPr="00DC4C8C" w:rsidRDefault="0085507D" w:rsidP="00671240">
      <w:pPr>
        <w:jc w:val="both"/>
        <w:rPr>
          <w:sz w:val="10"/>
          <w:szCs w:val="10"/>
        </w:rPr>
      </w:pPr>
    </w:p>
    <w:p w14:paraId="7ADF429F" w14:textId="1E47E75B" w:rsidR="0000555D" w:rsidRDefault="00E37BD9" w:rsidP="00671240">
      <w:pPr>
        <w:jc w:val="both"/>
      </w:pPr>
      <w:r w:rsidRPr="00E37BD9">
        <w:t xml:space="preserve">Pour les investissements en matière de distribution d’eau justifié par l’application du coût-vérité, il convient de veiller à ce que l’investissement soit bien en lien avec la distribution d’eau. Tel n’est pas forcément le cas de l’achat de matériel, comme un véhicule par exemple. </w:t>
      </w:r>
    </w:p>
    <w:p w14:paraId="47835E02" w14:textId="77777777" w:rsidR="009A66C7" w:rsidRDefault="009A66C7" w:rsidP="00671240">
      <w:pPr>
        <w:jc w:val="both"/>
      </w:pPr>
    </w:p>
    <w:p w14:paraId="09C7D9DF" w14:textId="71F29862" w:rsidR="0000555D" w:rsidRDefault="007F2733" w:rsidP="008D7EB7">
      <w:pPr>
        <w:pStyle w:val="Sam4"/>
        <w:jc w:val="both"/>
      </w:pPr>
      <w:bookmarkStart w:id="3167" w:name="_Toc74557630"/>
      <w:r>
        <w:t>Entretien et amélioration de l’e</w:t>
      </w:r>
      <w:r w:rsidR="0000555D">
        <w:t>fficacité énergétique des installations d’éclairage public</w:t>
      </w:r>
      <w:bookmarkEnd w:id="3167"/>
    </w:p>
    <w:p w14:paraId="4ECA6DB8" w14:textId="02CCE170" w:rsidR="0000555D" w:rsidRPr="00DC4C8C" w:rsidRDefault="0000555D" w:rsidP="00671240">
      <w:pPr>
        <w:jc w:val="both"/>
        <w:rPr>
          <w:sz w:val="10"/>
          <w:szCs w:val="10"/>
        </w:rPr>
      </w:pPr>
    </w:p>
    <w:p w14:paraId="315873ED" w14:textId="53297D12" w:rsidR="003960D4" w:rsidRPr="0085507D" w:rsidRDefault="00B23CE3" w:rsidP="008D7EB7">
      <w:pPr>
        <w:spacing w:after="120"/>
        <w:jc w:val="both"/>
      </w:pPr>
      <w:r w:rsidRPr="0085507D">
        <w:t>L’</w:t>
      </w:r>
      <w:r w:rsidR="0000555D" w:rsidRPr="0085507D">
        <w:t xml:space="preserve">arrêté </w:t>
      </w:r>
      <w:r w:rsidRPr="0085507D">
        <w:t>du 14 septembre 2017</w:t>
      </w:r>
      <w:r>
        <w:t xml:space="preserve"> </w:t>
      </w:r>
      <w:r w:rsidR="0000555D" w:rsidRPr="00B456F6">
        <w:t>modifiant l’arrêté du 6 novembre 2008 relatif à l’obligation de service public imposée aux gestionnaires de réseaux de distribution en termes d’entretien et d’amélioration de l’efficacité énergétique des installations d’éclairage public</w:t>
      </w:r>
      <w:r w:rsidR="00D73639">
        <w:t xml:space="preserve"> </w:t>
      </w:r>
      <w:r w:rsidR="0000555D" w:rsidRPr="00B456F6">
        <w:t xml:space="preserve">introduit des </w:t>
      </w:r>
      <w:r w:rsidR="0000555D" w:rsidRPr="00B456F6">
        <w:lastRenderedPageBreak/>
        <w:t xml:space="preserve">modifications au niveau du cadre législatif </w:t>
      </w:r>
      <w:r w:rsidR="003960D4" w:rsidRPr="0085507D">
        <w:t>portant sur l’utilisation de la technologie LED pour l’ensemble de l’éclairage communal wallon sans impacter le financement par les communes.</w:t>
      </w:r>
    </w:p>
    <w:p w14:paraId="2F4254F9" w14:textId="3D48D2E2" w:rsidR="0000555D" w:rsidRPr="00B456F6" w:rsidRDefault="003960D4" w:rsidP="008D7EB7">
      <w:pPr>
        <w:spacing w:after="120"/>
        <w:jc w:val="both"/>
      </w:pPr>
      <w:r w:rsidRPr="0085507D">
        <w:t>Il donne</w:t>
      </w:r>
      <w:r>
        <w:t xml:space="preserve"> </w:t>
      </w:r>
      <w:r w:rsidR="0000555D" w:rsidRPr="00B456F6">
        <w:t>aux villes et communes et aux GRD les moyens d’investir pour moderniser le parc d’éclairage public communal sans augmenter les tarifs de distribution.</w:t>
      </w:r>
    </w:p>
    <w:p w14:paraId="5955DFD7" w14:textId="6F142D7C" w:rsidR="00E37BD9" w:rsidRDefault="0000555D" w:rsidP="009A66C7">
      <w:pPr>
        <w:spacing w:after="240"/>
        <w:jc w:val="both"/>
      </w:pPr>
      <w:r w:rsidRPr="00B456F6">
        <w:t>Etant donné le caractère évidemment productif de ces investissements, ils pourront être mis hors balise automatiquement et sans demande spécifique de dérogation.</w:t>
      </w:r>
    </w:p>
    <w:p w14:paraId="37E8734E" w14:textId="514886D4" w:rsidR="00B60357" w:rsidRDefault="00DC4C8C" w:rsidP="00DC4C8C">
      <w:pPr>
        <w:pStyle w:val="Sam4"/>
        <w:jc w:val="both"/>
      </w:pPr>
      <w:r>
        <w:t>Investissements PIV (Politique Intégrée de la Ville)</w:t>
      </w:r>
    </w:p>
    <w:p w14:paraId="2DBE1E99" w14:textId="7DCD61CA" w:rsidR="00DC4C8C" w:rsidRDefault="00DC4C8C" w:rsidP="00DC4C8C">
      <w:pPr>
        <w:jc w:val="both"/>
      </w:pPr>
      <w:r w:rsidRPr="00DC4C8C">
        <w:rPr>
          <w:b/>
          <w:bCs/>
        </w:rPr>
        <w:t>Nouveau</w:t>
      </w:r>
      <w:r>
        <w:t> (</w:t>
      </w:r>
      <w:proofErr w:type="spellStart"/>
      <w:r>
        <w:t>cfr</w:t>
      </w:r>
      <w:proofErr w:type="spellEnd"/>
      <w:r>
        <w:t xml:space="preserve"> point I.8.) : les investissements réalisés dans le cadre de la nouvelle politique intégrée de la ville sont considérés automatiquement « hors balise » et ne devront dès lors pas faire l’objet d’une</w:t>
      </w:r>
      <w:r w:rsidR="00B44836">
        <w:t xml:space="preserve"> </w:t>
      </w:r>
      <w:r>
        <w:t>demande</w:t>
      </w:r>
      <w:r w:rsidR="006B610B">
        <w:t xml:space="preserve"> de dérogation</w:t>
      </w:r>
      <w:r>
        <w:t xml:space="preserve">.  </w:t>
      </w:r>
    </w:p>
    <w:p w14:paraId="6B753394" w14:textId="4B2D79BE" w:rsidR="00DC4C8C" w:rsidRDefault="00DC4C8C" w:rsidP="00DC4C8C">
      <w:pPr>
        <w:jc w:val="both"/>
      </w:pPr>
    </w:p>
    <w:p w14:paraId="44EACE64" w14:textId="7D70E36B" w:rsidR="00DC4C8C" w:rsidRDefault="00DC4C8C" w:rsidP="00DC4C8C">
      <w:pPr>
        <w:pStyle w:val="Sam4"/>
        <w:jc w:val="both"/>
      </w:pPr>
      <w:r>
        <w:t>Investissements Plan de Relance de la Wallonie</w:t>
      </w:r>
    </w:p>
    <w:p w14:paraId="035A3DF9" w14:textId="6DCC21AA" w:rsidR="00DC4C8C" w:rsidRDefault="00DC4C8C" w:rsidP="00DC4C8C">
      <w:pPr>
        <w:spacing w:before="120"/>
        <w:jc w:val="both"/>
      </w:pPr>
      <w:bookmarkStart w:id="3168" w:name="_Hlk76115931"/>
      <w:r w:rsidRPr="00DC4C8C">
        <w:rPr>
          <w:b/>
          <w:bCs/>
        </w:rPr>
        <w:t>Nouveau</w:t>
      </w:r>
      <w:r>
        <w:t xml:space="preserve"> (</w:t>
      </w:r>
      <w:proofErr w:type="spellStart"/>
      <w:r>
        <w:t>cfr</w:t>
      </w:r>
      <w:proofErr w:type="spellEnd"/>
      <w:r>
        <w:t xml:space="preserve"> point I.8.) : </w:t>
      </w:r>
      <w:r w:rsidRPr="00DC4C8C">
        <w:t>en cohérence avec les objectifs stratégiques de la Wallonie, l’ensemble des investissements réalisés et subsidiés dans le cadre du Plan de relance de Wallonie sont considérés automatiquement « hors balise » et ne d</w:t>
      </w:r>
      <w:r w:rsidR="00560CBF">
        <w:t>oivent</w:t>
      </w:r>
      <w:r w:rsidRPr="00DC4C8C">
        <w:t xml:space="preserve"> dès lors pas faire l’objet d’une demande</w:t>
      </w:r>
      <w:r w:rsidR="006B610B">
        <w:t xml:space="preserve"> de dérogation</w:t>
      </w:r>
      <w:r w:rsidRPr="00DC4C8C">
        <w:t>.</w:t>
      </w:r>
    </w:p>
    <w:p w14:paraId="4E792B33" w14:textId="66587BF2" w:rsidR="004A2669" w:rsidRDefault="00AC2EAD" w:rsidP="00256E9F">
      <w:pPr>
        <w:pStyle w:val="Sam3"/>
      </w:pPr>
      <w:bookmarkStart w:id="3169" w:name="_Toc74557631"/>
      <w:bookmarkStart w:id="3170" w:name="_Hlk38284388"/>
      <w:bookmarkEnd w:id="3168"/>
      <w:r>
        <w:t>V.2.4 I</w:t>
      </w:r>
      <w:r w:rsidR="009D5C52">
        <w:t xml:space="preserve">nvestissements « hors balise » : </w:t>
      </w:r>
      <w:r w:rsidR="004A2669" w:rsidRPr="001E1353">
        <w:t>Demandes</w:t>
      </w:r>
      <w:bookmarkEnd w:id="3169"/>
    </w:p>
    <w:p w14:paraId="59430F02" w14:textId="6B97E4E1" w:rsidR="0085507D" w:rsidRPr="001E1353" w:rsidRDefault="0085507D" w:rsidP="008D7EB7"/>
    <w:p w14:paraId="197B132E" w14:textId="1FBEFE34" w:rsidR="008B2575" w:rsidRDefault="004A2669" w:rsidP="008D7EB7">
      <w:pPr>
        <w:pStyle w:val="Sam4"/>
        <w:numPr>
          <w:ilvl w:val="4"/>
          <w:numId w:val="146"/>
        </w:numPr>
      </w:pPr>
      <w:bookmarkStart w:id="3171" w:name="_Toc74557632"/>
      <w:r w:rsidRPr="001E1353">
        <w:t>Généralités</w:t>
      </w:r>
      <w:bookmarkEnd w:id="3171"/>
    </w:p>
    <w:p w14:paraId="2AB08E34" w14:textId="7D2AE4A8" w:rsidR="00FC7E8D" w:rsidRPr="0082681A" w:rsidRDefault="00FC7E8D" w:rsidP="004A2669">
      <w:pPr>
        <w:jc w:val="both"/>
        <w:rPr>
          <w:sz w:val="10"/>
          <w:szCs w:val="10"/>
        </w:rPr>
      </w:pPr>
      <w:bookmarkStart w:id="3172" w:name="_Toc515355910"/>
      <w:bookmarkEnd w:id="3172"/>
    </w:p>
    <w:p w14:paraId="6075A2DC" w14:textId="2714533E" w:rsidR="004A2669" w:rsidRDefault="00005250" w:rsidP="008D7EB7">
      <w:pPr>
        <w:spacing w:after="120"/>
        <w:jc w:val="both"/>
      </w:pPr>
      <w:r>
        <w:t>L</w:t>
      </w:r>
      <w:r w:rsidR="004A2669" w:rsidRPr="001E1353">
        <w:t>a demande de mise hors balise doit être complétée des éléments et documents pertinents et utiles me permettant de rendre un avis circonstancié sur lesdits projets ainsi que sur la capacité financière de la commune d’en assurer la charge financière à terme.</w:t>
      </w:r>
    </w:p>
    <w:p w14:paraId="383E8228" w14:textId="3E9E6E6B" w:rsidR="00FC7E8D" w:rsidRPr="001E1353" w:rsidRDefault="00FC7E8D" w:rsidP="008D7EB7">
      <w:pPr>
        <w:spacing w:after="120"/>
        <w:jc w:val="both"/>
      </w:pPr>
      <w:r>
        <w:t>Par éléments pertinents et utiles, il faut entendre l’ensemble des justifications et détails des estimations et projections réalisées, celles-ci étant idéalement appuyées de devis, statistiques et tous autres documents probants.</w:t>
      </w:r>
    </w:p>
    <w:p w14:paraId="3B77A1C1" w14:textId="3B6AF989" w:rsidR="004A2669" w:rsidRPr="001E1353" w:rsidRDefault="004A2669" w:rsidP="008D7EB7">
      <w:pPr>
        <w:spacing w:after="120"/>
        <w:jc w:val="both"/>
      </w:pPr>
      <w:r w:rsidRPr="001E1353">
        <w:t xml:space="preserve">Les demandes de dérogation doivent être transmises </w:t>
      </w:r>
      <w:r w:rsidRPr="00276F16">
        <w:rPr>
          <w:b/>
          <w:bCs/>
        </w:rPr>
        <w:t>avant le vote</w:t>
      </w:r>
      <w:r w:rsidRPr="008D7EB7">
        <w:t xml:space="preserve"> </w:t>
      </w:r>
      <w:r w:rsidRPr="001E1353">
        <w:t>du/des document(s) budgétaire(s) à mon</w:t>
      </w:r>
      <w:r w:rsidR="00D10D05">
        <w:t xml:space="preserve"> Cabinet.</w:t>
      </w:r>
    </w:p>
    <w:p w14:paraId="3E188E51" w14:textId="07ECC350" w:rsidR="009D5C52" w:rsidRDefault="004A2669" w:rsidP="008D7EB7">
      <w:pPr>
        <w:spacing w:after="120"/>
        <w:jc w:val="both"/>
      </w:pPr>
      <w:r w:rsidRPr="001E1353">
        <w:t>Je vous rappelle que la balise d'emprunt</w:t>
      </w:r>
      <w:r w:rsidRPr="008D7EB7">
        <w:t xml:space="preserve"> </w:t>
      </w:r>
      <w:r w:rsidRPr="001E1353">
        <w:t xml:space="preserve">concerne les Communes et </w:t>
      </w:r>
      <w:r w:rsidR="00915F50">
        <w:t xml:space="preserve">certaines de </w:t>
      </w:r>
      <w:r w:rsidRPr="001E1353">
        <w:t xml:space="preserve">ses entités consolidées mais la demande de dérogation doit </w:t>
      </w:r>
      <w:r w:rsidR="00EB688F">
        <w:t xml:space="preserve">toujours </w:t>
      </w:r>
      <w:r w:rsidRPr="001E1353">
        <w:t>être introduite par les autorités communales</w:t>
      </w:r>
      <w:r w:rsidR="00107837">
        <w:t xml:space="preserve">. </w:t>
      </w:r>
    </w:p>
    <w:p w14:paraId="7B8B47B4" w14:textId="2CCA0336" w:rsidR="004A2669" w:rsidRPr="00795CFD" w:rsidRDefault="006204B0" w:rsidP="00671240">
      <w:pPr>
        <w:pStyle w:val="Sam4"/>
      </w:pPr>
      <w:bookmarkStart w:id="3173" w:name="_Toc516242782"/>
      <w:bookmarkStart w:id="3174" w:name="_Toc516243085"/>
      <w:bookmarkStart w:id="3175" w:name="_Toc516245018"/>
      <w:bookmarkStart w:id="3176" w:name="_Toc516473590"/>
      <w:bookmarkStart w:id="3177" w:name="_Toc516473900"/>
      <w:bookmarkStart w:id="3178" w:name="_Toc516474210"/>
      <w:bookmarkStart w:id="3179" w:name="_Toc516474518"/>
      <w:bookmarkStart w:id="3180" w:name="_Toc516474849"/>
      <w:bookmarkStart w:id="3181" w:name="_Toc516478880"/>
      <w:bookmarkStart w:id="3182" w:name="_Toc516479343"/>
      <w:bookmarkStart w:id="3183" w:name="_Toc516479660"/>
      <w:bookmarkStart w:id="3184" w:name="_Toc516479983"/>
      <w:bookmarkStart w:id="3185" w:name="_Toc516480298"/>
      <w:bookmarkStart w:id="3186" w:name="_Toc516480612"/>
      <w:bookmarkStart w:id="3187" w:name="_Toc516480926"/>
      <w:bookmarkStart w:id="3188" w:name="_Toc516481240"/>
      <w:bookmarkStart w:id="3189" w:name="_Toc516481554"/>
      <w:bookmarkStart w:id="3190" w:name="_Toc516481868"/>
      <w:bookmarkStart w:id="3191" w:name="_Toc516482182"/>
      <w:bookmarkStart w:id="3192" w:name="_Toc516482496"/>
      <w:bookmarkStart w:id="3193" w:name="_Toc516739618"/>
      <w:bookmarkStart w:id="3194" w:name="_Toc516751531"/>
      <w:bookmarkStart w:id="3195" w:name="_Toc516825602"/>
      <w:bookmarkStart w:id="3196" w:name="_Toc516826160"/>
      <w:bookmarkStart w:id="3197" w:name="_Toc516837480"/>
      <w:bookmarkStart w:id="3198" w:name="_Toc516838039"/>
      <w:bookmarkStart w:id="3199" w:name="_Toc516838598"/>
      <w:bookmarkStart w:id="3200" w:name="_Toc516839158"/>
      <w:bookmarkStart w:id="3201" w:name="_Toc517173254"/>
      <w:bookmarkStart w:id="3202" w:name="_Toc517174928"/>
      <w:bookmarkStart w:id="3203" w:name="_Toc517175515"/>
      <w:bookmarkStart w:id="3204" w:name="_Toc517176103"/>
      <w:bookmarkStart w:id="3205" w:name="_Toc517337427"/>
      <w:bookmarkStart w:id="3206" w:name="_Toc517360222"/>
      <w:bookmarkStart w:id="3207" w:name="_Toc74557633"/>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r>
        <w:t>Demandes de m</w:t>
      </w:r>
      <w:r w:rsidR="002439A5">
        <w:t>ise</w:t>
      </w:r>
      <w:r w:rsidR="004A2669" w:rsidRPr="001E1353">
        <w:t xml:space="preserve"> hors balise</w:t>
      </w:r>
      <w:bookmarkEnd w:id="3207"/>
    </w:p>
    <w:p w14:paraId="36D519CD" w14:textId="5CE9F5CC" w:rsidR="006204B0" w:rsidRPr="0082681A" w:rsidRDefault="006204B0" w:rsidP="00795CFD">
      <w:pPr>
        <w:jc w:val="both"/>
        <w:rPr>
          <w:sz w:val="10"/>
          <w:szCs w:val="10"/>
        </w:rPr>
      </w:pPr>
    </w:p>
    <w:p w14:paraId="329601DD" w14:textId="2702A806" w:rsidR="00795CFD" w:rsidRDefault="00ED773D" w:rsidP="00795CFD">
      <w:pPr>
        <w:jc w:val="both"/>
      </w:pPr>
      <w:r w:rsidRPr="0085507D">
        <w:t>Plusieurs</w:t>
      </w:r>
      <w:r>
        <w:t xml:space="preserve"> </w:t>
      </w:r>
      <w:r w:rsidR="00795CFD">
        <w:t>types d’investissements peuvent faire l’objet d’une demande de mise hors balise</w:t>
      </w:r>
      <w:r w:rsidR="0085507D">
        <w:t>.</w:t>
      </w:r>
      <w:r w:rsidR="00795CFD">
        <w:t xml:space="preserve"> </w:t>
      </w:r>
    </w:p>
    <w:p w14:paraId="57CE01BB" w14:textId="2BF4B43D" w:rsidR="0085507D" w:rsidRDefault="0085507D" w:rsidP="008D7EB7"/>
    <w:p w14:paraId="3FD24790" w14:textId="24E7845E" w:rsidR="00D10D05" w:rsidRPr="00AC2EAD" w:rsidRDefault="00AC2EAD" w:rsidP="00256E9F">
      <w:pPr>
        <w:pStyle w:val="Sam5"/>
      </w:pPr>
      <w:bookmarkStart w:id="3208" w:name="_Toc74557634"/>
      <w:r>
        <w:t xml:space="preserve">a) </w:t>
      </w:r>
      <w:r w:rsidR="00780ABB" w:rsidRPr="00AC2EAD">
        <w:t>P</w:t>
      </w:r>
      <w:r w:rsidR="004A2669" w:rsidRPr="00AC2EAD">
        <w:t>roductifs</w:t>
      </w:r>
      <w:bookmarkEnd w:id="3208"/>
    </w:p>
    <w:p w14:paraId="011035B6" w14:textId="20B0CCF2" w:rsidR="004A2669" w:rsidRPr="00D10D05" w:rsidRDefault="00D10D05" w:rsidP="008D7EB7">
      <w:pPr>
        <w:spacing w:after="120"/>
        <w:jc w:val="both"/>
      </w:pPr>
      <w:r>
        <w:t>T</w:t>
      </w:r>
      <w:r w:rsidR="004A2669" w:rsidRPr="00D10D05">
        <w:t>out investissement qui induit des économies de frais de fonctionnement au moins égales aux charges du prêt, tels que les investissements économiseurs d’énergie</w:t>
      </w:r>
      <w:r w:rsidR="00E9613B">
        <w:t>.</w:t>
      </w:r>
    </w:p>
    <w:p w14:paraId="7DEEA5C6" w14:textId="52F8DA93" w:rsidR="00B456F6" w:rsidRDefault="00E9613B" w:rsidP="009A66C7">
      <w:pPr>
        <w:spacing w:after="240"/>
        <w:jc w:val="both"/>
      </w:pPr>
      <w:r>
        <w:t>À cet égard,</w:t>
      </w:r>
      <w:r w:rsidR="004A2669" w:rsidRPr="001E1353">
        <w:t xml:space="preserve"> il convient notamment d’apporter la preuve, justificatifs à l’appui, que les économies effectuées par les investissements couvrent les charges d’emprunts contractés pour leur réalisation. La méthode de calcul </w:t>
      </w:r>
      <w:r w:rsidR="00DB6E56">
        <w:t xml:space="preserve">actualisée </w:t>
      </w:r>
      <w:r w:rsidR="004A2669" w:rsidRPr="001E1353">
        <w:t>permettant d’apprécier le caractère productif de l’investissement sera clairement indiquée dans la demande de mise hors balise.</w:t>
      </w:r>
      <w:r w:rsidR="00DB6E56" w:rsidRPr="00DB6E56">
        <w:t xml:space="preserve"> Même si une approche </w:t>
      </w:r>
      <w:r w:rsidR="00DB6E56">
        <w:t>globale</w:t>
      </w:r>
      <w:r w:rsidR="00DB6E56" w:rsidRPr="00DB6E56">
        <w:t xml:space="preserve"> est recommandée,</w:t>
      </w:r>
      <w:r w:rsidR="00705F1E">
        <w:t xml:space="preserve"> le cas échéant,</w:t>
      </w:r>
      <w:r w:rsidR="00DB6E56" w:rsidRPr="00DB6E56">
        <w:t xml:space="preserve"> la mise hors balise pourra être accordé</w:t>
      </w:r>
      <w:r w:rsidR="00DB6E56">
        <w:t>e</w:t>
      </w:r>
      <w:r w:rsidR="00DB6E56" w:rsidRPr="00DB6E56">
        <w:t xml:space="preserve"> pour une fraction de l’investissement productif</w:t>
      </w:r>
      <w:r w:rsidR="00D8637F">
        <w:t xml:space="preserve"> </w:t>
      </w:r>
      <w:r w:rsidR="00D8637F" w:rsidRPr="009A66C7">
        <w:t>(</w:t>
      </w:r>
      <w:r w:rsidR="0060592F" w:rsidRPr="009A66C7">
        <w:rPr>
          <w:b/>
          <w:bCs/>
        </w:rPr>
        <w:t>proportionnalité</w:t>
      </w:r>
      <w:r w:rsidR="0060592F" w:rsidRPr="009A66C7">
        <w:t>)</w:t>
      </w:r>
      <w:r w:rsidR="00DB6E56" w:rsidRPr="009A66C7">
        <w:t>.</w:t>
      </w:r>
      <w:r w:rsidR="00DB6E56" w:rsidRPr="00DB6E56">
        <w:t xml:space="preserve"> </w:t>
      </w:r>
      <w:r w:rsidR="00DB6E56">
        <w:t>U</w:t>
      </w:r>
      <w:r w:rsidR="00DB6E56" w:rsidRPr="00DB6E56">
        <w:t xml:space="preserve">ne </w:t>
      </w:r>
      <w:r w:rsidR="00DB6E56" w:rsidRPr="00DB6E56">
        <w:lastRenderedPageBreak/>
        <w:t xml:space="preserve">projection tenant compte de l’actualisation et de l’évolution des coûts de l’énergie sera </w:t>
      </w:r>
      <w:r w:rsidR="00DB6E56">
        <w:t>prise en compte</w:t>
      </w:r>
      <w:r w:rsidR="00DB6E56" w:rsidRPr="00DB6E56">
        <w:t>.</w:t>
      </w:r>
    </w:p>
    <w:p w14:paraId="45734FF0" w14:textId="64B49118" w:rsidR="00D10D05" w:rsidRPr="00E063FD" w:rsidRDefault="00AC2EAD" w:rsidP="00256E9F">
      <w:pPr>
        <w:pStyle w:val="Sam5"/>
      </w:pPr>
      <w:bookmarkStart w:id="3209" w:name="_Toc6415678"/>
      <w:bookmarkStart w:id="3210" w:name="_Toc6415987"/>
      <w:bookmarkStart w:id="3211" w:name="_Toc6995592"/>
      <w:bookmarkStart w:id="3212" w:name="_Toc6995896"/>
      <w:bookmarkStart w:id="3213" w:name="_Toc6996200"/>
      <w:bookmarkStart w:id="3214" w:name="_Toc6997691"/>
      <w:bookmarkStart w:id="3215" w:name="_Toc7016467"/>
      <w:bookmarkStart w:id="3216" w:name="_Toc7020635"/>
      <w:bookmarkStart w:id="3217" w:name="_Toc7094696"/>
      <w:bookmarkStart w:id="3218" w:name="_Toc8121727"/>
      <w:bookmarkStart w:id="3219" w:name="_Toc8129668"/>
      <w:bookmarkStart w:id="3220" w:name="_Toc6415679"/>
      <w:bookmarkStart w:id="3221" w:name="_Toc6415988"/>
      <w:bookmarkStart w:id="3222" w:name="_Toc6995593"/>
      <w:bookmarkStart w:id="3223" w:name="_Toc6995897"/>
      <w:bookmarkStart w:id="3224" w:name="_Toc6996201"/>
      <w:bookmarkStart w:id="3225" w:name="_Toc6997692"/>
      <w:bookmarkStart w:id="3226" w:name="_Toc7016468"/>
      <w:bookmarkStart w:id="3227" w:name="_Toc7020636"/>
      <w:bookmarkStart w:id="3228" w:name="_Toc7094697"/>
      <w:bookmarkStart w:id="3229" w:name="_Toc8121728"/>
      <w:bookmarkStart w:id="3230" w:name="_Toc8129669"/>
      <w:bookmarkStart w:id="3231" w:name="_Toc6415680"/>
      <w:bookmarkStart w:id="3232" w:name="_Toc6415989"/>
      <w:bookmarkStart w:id="3233" w:name="_Toc6995594"/>
      <w:bookmarkStart w:id="3234" w:name="_Toc6995898"/>
      <w:bookmarkStart w:id="3235" w:name="_Toc6996202"/>
      <w:bookmarkStart w:id="3236" w:name="_Toc6997693"/>
      <w:bookmarkStart w:id="3237" w:name="_Toc7016469"/>
      <w:bookmarkStart w:id="3238" w:name="_Toc7020637"/>
      <w:bookmarkStart w:id="3239" w:name="_Toc7094698"/>
      <w:bookmarkStart w:id="3240" w:name="_Toc8121729"/>
      <w:bookmarkStart w:id="3241" w:name="_Toc8129670"/>
      <w:bookmarkStart w:id="3242" w:name="_Toc6415681"/>
      <w:bookmarkStart w:id="3243" w:name="_Toc6415990"/>
      <w:bookmarkStart w:id="3244" w:name="_Toc6995595"/>
      <w:bookmarkStart w:id="3245" w:name="_Toc6995899"/>
      <w:bookmarkStart w:id="3246" w:name="_Toc6996203"/>
      <w:bookmarkStart w:id="3247" w:name="_Toc6997694"/>
      <w:bookmarkStart w:id="3248" w:name="_Toc7016470"/>
      <w:bookmarkStart w:id="3249" w:name="_Toc7020638"/>
      <w:bookmarkStart w:id="3250" w:name="_Toc7094699"/>
      <w:bookmarkStart w:id="3251" w:name="_Toc8121730"/>
      <w:bookmarkStart w:id="3252" w:name="_Toc8129671"/>
      <w:bookmarkStart w:id="3253" w:name="_Toc74557635"/>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r>
        <w:t xml:space="preserve">b) </w:t>
      </w:r>
      <w:r w:rsidR="00780ABB" w:rsidRPr="00E063FD">
        <w:t>R</w:t>
      </w:r>
      <w:r w:rsidR="004A2669" w:rsidRPr="00E063FD">
        <w:t>entables</w:t>
      </w:r>
      <w:bookmarkEnd w:id="3253"/>
    </w:p>
    <w:p w14:paraId="73CE7E7B" w14:textId="2760ECDD" w:rsidR="004A2669" w:rsidRPr="00D10D05" w:rsidRDefault="00D10D05" w:rsidP="00E063FD">
      <w:pPr>
        <w:tabs>
          <w:tab w:val="left" w:pos="72"/>
        </w:tabs>
        <w:jc w:val="both"/>
      </w:pPr>
      <w:r>
        <w:t>T</w:t>
      </w:r>
      <w:r w:rsidR="004A2669" w:rsidRPr="00D10D05">
        <w:t>out investissement dont les charges du prêt sont, à tout le moins, entièrement compensées par de nouvelles recettes</w:t>
      </w:r>
      <w:r w:rsidR="00780ABB">
        <w:t xml:space="preserve">. </w:t>
      </w:r>
    </w:p>
    <w:p w14:paraId="53D71BC9" w14:textId="4C6B91E2" w:rsidR="004A2669" w:rsidRPr="001E1353" w:rsidRDefault="004A2669" w:rsidP="004A2669">
      <w:pPr>
        <w:jc w:val="both"/>
      </w:pPr>
    </w:p>
    <w:p w14:paraId="221118BC" w14:textId="048BDD62" w:rsidR="004A2669" w:rsidRDefault="00780ABB" w:rsidP="004A2669">
      <w:pPr>
        <w:jc w:val="both"/>
      </w:pPr>
      <w:r>
        <w:t>A cet égard,</w:t>
      </w:r>
      <w:r w:rsidR="004A2669" w:rsidRPr="001E1353">
        <w:t xml:space="preserve"> il convient notamment d’apporter la preuve, justificatifs à l’appui, que les recettes nouvelles générées par les investissements couvrent les charges d’emprunts contractés pour leur réalisation. La méthode de calcul permettant d’apprécier le caractère rentable de l’investissement sera clairement indiquée dans la demande de mise hors balise.</w:t>
      </w:r>
    </w:p>
    <w:p w14:paraId="21DC295F" w14:textId="04B8B51C" w:rsidR="00754005" w:rsidRPr="001E1353" w:rsidRDefault="00754005" w:rsidP="004A2669">
      <w:pPr>
        <w:jc w:val="both"/>
      </w:pPr>
    </w:p>
    <w:p w14:paraId="04EEA843" w14:textId="5388C70E" w:rsidR="004A2669" w:rsidRPr="0085507D" w:rsidRDefault="00AC2EAD" w:rsidP="00256E9F">
      <w:pPr>
        <w:pStyle w:val="Sam5"/>
      </w:pPr>
      <w:bookmarkStart w:id="3254" w:name="_Toc74557636"/>
      <w:r>
        <w:t xml:space="preserve">c) </w:t>
      </w:r>
      <w:r w:rsidR="00780ABB" w:rsidRPr="0085507D">
        <w:t>M</w:t>
      </w:r>
      <w:r w:rsidR="004A2669" w:rsidRPr="0085507D">
        <w:t>ise en conformité aux normes de sécurité et d’hygiène</w:t>
      </w:r>
      <w:bookmarkEnd w:id="3254"/>
      <w:r w:rsidR="004A2669" w:rsidRPr="0085507D">
        <w:t xml:space="preserve"> </w:t>
      </w:r>
    </w:p>
    <w:p w14:paraId="7CD155BA" w14:textId="09C0F099" w:rsidR="00780ABB" w:rsidRDefault="004A2669" w:rsidP="006204B0">
      <w:pPr>
        <w:jc w:val="both"/>
      </w:pPr>
      <w:r w:rsidRPr="001E1353">
        <w:t xml:space="preserve">Pour ces investissements, la demande devra être complétée du courrier d’un organisme extérieur sollicitant cette mise en conformité (par exemple, l’attestation des pompiers). </w:t>
      </w:r>
    </w:p>
    <w:p w14:paraId="2D56FFE6" w14:textId="49DAE630" w:rsidR="00754005" w:rsidRPr="001E1353" w:rsidRDefault="00754005" w:rsidP="006204B0">
      <w:pPr>
        <w:jc w:val="both"/>
      </w:pPr>
    </w:p>
    <w:p w14:paraId="05D2C379" w14:textId="54A622DF" w:rsidR="004A2669" w:rsidRPr="0085507D" w:rsidRDefault="00AC2EAD" w:rsidP="00256E9F">
      <w:pPr>
        <w:pStyle w:val="Sam5"/>
      </w:pPr>
      <w:bookmarkStart w:id="3255" w:name="_Toc74557637"/>
      <w:r>
        <w:t xml:space="preserve">d) </w:t>
      </w:r>
      <w:r w:rsidR="00780ABB" w:rsidRPr="0085507D">
        <w:t>V</w:t>
      </w:r>
      <w:r w:rsidR="004A2669" w:rsidRPr="0085507D">
        <w:t>erdissement de la flotte locale</w:t>
      </w:r>
      <w:bookmarkEnd w:id="3255"/>
    </w:p>
    <w:p w14:paraId="3443DA45" w14:textId="13CC4853" w:rsidR="004A2669" w:rsidRDefault="00780ABB" w:rsidP="004A2669">
      <w:pPr>
        <w:jc w:val="both"/>
      </w:pPr>
      <w:bookmarkStart w:id="3256" w:name="_Hlk36716308"/>
      <w:r>
        <w:t>La</w:t>
      </w:r>
      <w:r w:rsidR="004A2669" w:rsidRPr="001E1353">
        <w:t xml:space="preserve"> demande devra être complétée d’un document prouvant que l’emprunt vise l’acquisition de véhicules à carburant alternatif.</w:t>
      </w:r>
    </w:p>
    <w:p w14:paraId="5BD01A10" w14:textId="1EFF4CC1" w:rsidR="00DE5F00" w:rsidRDefault="00DE5F00" w:rsidP="004A2669">
      <w:pPr>
        <w:jc w:val="both"/>
      </w:pPr>
    </w:p>
    <w:p w14:paraId="75923C8F" w14:textId="663B72AC" w:rsidR="00DE5F00" w:rsidRDefault="00DE5F00" w:rsidP="004A2669">
      <w:pPr>
        <w:jc w:val="both"/>
      </w:pPr>
      <w:r w:rsidRPr="00DE5F00">
        <w:t>Conformément à la Déclaration de Politique Régionale, sont ajoutés à cette liste les investissements suivants</w:t>
      </w:r>
      <w:r>
        <w:t>.</w:t>
      </w:r>
    </w:p>
    <w:bookmarkEnd w:id="3256"/>
    <w:p w14:paraId="487960E5" w14:textId="11AB20CE" w:rsidR="00D73639" w:rsidRDefault="00D73639" w:rsidP="008D7EB7"/>
    <w:p w14:paraId="45012BF7" w14:textId="126C4421" w:rsidR="00ED773D" w:rsidRPr="008D7EB7" w:rsidRDefault="00AC2EAD" w:rsidP="00256E9F">
      <w:pPr>
        <w:pStyle w:val="Sam5"/>
      </w:pPr>
      <w:bookmarkStart w:id="3257" w:name="_Toc74557638"/>
      <w:r>
        <w:t xml:space="preserve">e) </w:t>
      </w:r>
      <w:r w:rsidR="00ED773D" w:rsidRPr="00ED3F85">
        <w:t>Investissements liés à la mobilité douce (aménagements de trottoirs, pistes cyclables, sécurité routière)</w:t>
      </w:r>
      <w:bookmarkEnd w:id="3257"/>
    </w:p>
    <w:p w14:paraId="152ACFC8" w14:textId="1EA6F8E5" w:rsidR="00451AC7" w:rsidRPr="00451AC7" w:rsidRDefault="00451AC7" w:rsidP="00681CF5">
      <w:pPr>
        <w:jc w:val="both"/>
      </w:pPr>
      <w:bookmarkStart w:id="3258" w:name="_Hlk68084385"/>
      <w:r>
        <w:t xml:space="preserve">La notion de mobilité douce </w:t>
      </w:r>
      <w:r w:rsidRPr="00451AC7">
        <w:t xml:space="preserve">désigne les moyens de transports “propre” et respectueux de l’environnement. La mobilité douce a donc trait à tout mode de transport démuni d’un moteur thermique et émetteur de gaz à effet de serre. </w:t>
      </w:r>
    </w:p>
    <w:bookmarkEnd w:id="3258"/>
    <w:p w14:paraId="6C76A61E" w14:textId="3A0B7B53" w:rsidR="00DF5DF2" w:rsidRDefault="00DF5DF2" w:rsidP="00DF5DF2">
      <w:pPr>
        <w:jc w:val="both"/>
      </w:pPr>
      <w:r>
        <w:t>La</w:t>
      </w:r>
      <w:r w:rsidRPr="001E1353">
        <w:t xml:space="preserve"> demande devra être complétée d’un document prouvant que l’emprunt vise </w:t>
      </w:r>
      <w:r>
        <w:t>les investissements ciblés ci-dessus</w:t>
      </w:r>
      <w:r w:rsidRPr="001E1353">
        <w:t>.</w:t>
      </w:r>
    </w:p>
    <w:p w14:paraId="7F587E06" w14:textId="658701C2" w:rsidR="00434194" w:rsidRDefault="00434194" w:rsidP="00DF5DF2">
      <w:pPr>
        <w:jc w:val="both"/>
      </w:pPr>
    </w:p>
    <w:p w14:paraId="73EFF1CE" w14:textId="67913048" w:rsidR="00ED773D" w:rsidRPr="008D7EB7" w:rsidRDefault="00AC2EAD" w:rsidP="00256E9F">
      <w:pPr>
        <w:pStyle w:val="Sam5"/>
      </w:pPr>
      <w:bookmarkStart w:id="3259" w:name="_Toc74557639"/>
      <w:r>
        <w:t xml:space="preserve">f) </w:t>
      </w:r>
      <w:proofErr w:type="spellStart"/>
      <w:r w:rsidR="00ED773D" w:rsidRPr="00ED3F85">
        <w:t>Verdurisation</w:t>
      </w:r>
      <w:proofErr w:type="spellEnd"/>
      <w:r w:rsidR="00ED773D" w:rsidRPr="00ED3F85">
        <w:t xml:space="preserve"> (espaces verts, agriculture urbaine, vergers urbains, </w:t>
      </w:r>
      <w:proofErr w:type="spellStart"/>
      <w:r w:rsidR="00ED773D" w:rsidRPr="00ED3F85">
        <w:t>verdurisation</w:t>
      </w:r>
      <w:proofErr w:type="spellEnd"/>
      <w:r w:rsidR="00ED773D" w:rsidRPr="00ED3F85">
        <w:t xml:space="preserve"> des cours d’école, etc.)</w:t>
      </w:r>
      <w:bookmarkEnd w:id="3259"/>
    </w:p>
    <w:p w14:paraId="6D2EC6CF" w14:textId="47BB2C52" w:rsidR="00DF5DF2" w:rsidRDefault="00DF5DF2" w:rsidP="00DF5DF2">
      <w:pPr>
        <w:jc w:val="both"/>
      </w:pPr>
      <w:r>
        <w:t>La</w:t>
      </w:r>
      <w:r w:rsidRPr="001E1353">
        <w:t xml:space="preserve"> demande devra être complétée d’un document prouvant que l’emprunt vise </w:t>
      </w:r>
      <w:r>
        <w:t>les investissements ciblés ci-dessus</w:t>
      </w:r>
      <w:r w:rsidRPr="001E1353">
        <w:t>.</w:t>
      </w:r>
    </w:p>
    <w:p w14:paraId="214D7196" w14:textId="521A2DB9" w:rsidR="00ED773D" w:rsidRPr="00276F16" w:rsidRDefault="00AC2EAD" w:rsidP="00256E9F">
      <w:pPr>
        <w:pStyle w:val="Sam5"/>
      </w:pPr>
      <w:bookmarkStart w:id="3260" w:name="_Toc74557640"/>
      <w:r>
        <w:t xml:space="preserve">g) </w:t>
      </w:r>
      <w:r w:rsidR="00ED773D" w:rsidRPr="00E5589D">
        <w:t>Part</w:t>
      </w:r>
      <w:r w:rsidR="00ED773D" w:rsidRPr="00276F16">
        <w:t xml:space="preserve"> prise en charge sur fonds propres dans la construction ou la rénovation de bâtiments scolaires</w:t>
      </w:r>
      <w:r w:rsidR="00FA20D6">
        <w:t>.</w:t>
      </w:r>
      <w:bookmarkEnd w:id="3260"/>
      <w:r w:rsidR="00ED773D" w:rsidRPr="00E5589D">
        <w:t xml:space="preserve"> </w:t>
      </w:r>
    </w:p>
    <w:p w14:paraId="6868F65D" w14:textId="32854415" w:rsidR="00DF5DF2" w:rsidRPr="00F22A03" w:rsidRDefault="00DF5DF2" w:rsidP="00DF5DF2">
      <w:pPr>
        <w:jc w:val="both"/>
        <w:rPr>
          <w:highlight w:val="yellow"/>
        </w:rPr>
      </w:pPr>
      <w:r>
        <w:t>La</w:t>
      </w:r>
      <w:r w:rsidRPr="001E1353">
        <w:t xml:space="preserve"> demande devra être complétée d’un document prouvant que l</w:t>
      </w:r>
      <w:r>
        <w:t xml:space="preserve">a part prise en charge sur fonds propres </w:t>
      </w:r>
      <w:r w:rsidRPr="001E1353">
        <w:t xml:space="preserve">vise </w:t>
      </w:r>
      <w:r>
        <w:t>les investissements ciblés ci-dessus</w:t>
      </w:r>
      <w:r w:rsidRPr="001E1353">
        <w:t>.</w:t>
      </w:r>
      <w:bookmarkEnd w:id="3170"/>
    </w:p>
    <w:p w14:paraId="2DF13DA0" w14:textId="1FE827B0" w:rsidR="00DE5F00" w:rsidRDefault="00DE5F00" w:rsidP="004A2669">
      <w:pPr>
        <w:jc w:val="both"/>
      </w:pPr>
    </w:p>
    <w:p w14:paraId="6283A83F" w14:textId="4BB041A0" w:rsidR="00D90568" w:rsidRDefault="00AC2EAD" w:rsidP="00256E9F">
      <w:pPr>
        <w:pStyle w:val="Sam5"/>
      </w:pPr>
      <w:bookmarkStart w:id="3261" w:name="_Toc74557641"/>
      <w:r>
        <w:t xml:space="preserve">h) </w:t>
      </w:r>
      <w:r w:rsidR="00D90568">
        <w:t>Investissements sanitaires</w:t>
      </w:r>
      <w:bookmarkEnd w:id="3261"/>
    </w:p>
    <w:p w14:paraId="3B985917" w14:textId="4E7BE1F9" w:rsidR="00964C4B" w:rsidRDefault="00964C4B" w:rsidP="00964C4B">
      <w:pPr>
        <w:jc w:val="both"/>
      </w:pPr>
      <w:r>
        <w:t>E</w:t>
      </w:r>
      <w:r w:rsidRPr="00DE5F00">
        <w:t>n raison de la crise Covid-19, il y a lieu également de prendre en compte tous les investissements liés à cette crise</w:t>
      </w:r>
      <w:r>
        <w:t>.</w:t>
      </w:r>
    </w:p>
    <w:p w14:paraId="25DB18C9" w14:textId="6E4E12E0" w:rsidR="00D90568" w:rsidRPr="00ED3F85" w:rsidRDefault="0029025E" w:rsidP="008D7EB7">
      <w:pPr>
        <w:spacing w:after="120"/>
        <w:jc w:val="both"/>
      </w:pPr>
      <w:r w:rsidRPr="00ED3F85">
        <w:t xml:space="preserve">Les investissements sanitaires sont </w:t>
      </w:r>
      <w:r w:rsidR="00CB3965" w:rsidRPr="008D7EB7">
        <w:t xml:space="preserve">ceux consécutifs à la </w:t>
      </w:r>
      <w:r w:rsidRPr="00ED3F85">
        <w:t xml:space="preserve">crise </w:t>
      </w:r>
      <w:r w:rsidR="001255F8" w:rsidRPr="00ED3F85">
        <w:t>du covid-19</w:t>
      </w:r>
      <w:r w:rsidR="00CB3965" w:rsidRPr="008D7EB7">
        <w:t xml:space="preserve"> et destinés à assurer une plus grande sécurité sanitaire</w:t>
      </w:r>
      <w:r w:rsidR="001255F8" w:rsidRPr="008D7EB7">
        <w:t>. Sont ainsi visés</w:t>
      </w:r>
      <w:r w:rsidR="00CB3965" w:rsidRPr="008D7EB7">
        <w:t xml:space="preserve"> tous</w:t>
      </w:r>
      <w:r w:rsidR="001255F8" w:rsidRPr="008D7EB7">
        <w:t xml:space="preserve"> les investissements ayant un lien avec l’hygiène (</w:t>
      </w:r>
      <w:proofErr w:type="gramStart"/>
      <w:r w:rsidR="00CB3965" w:rsidRPr="008D7EB7">
        <w:t>comme, par exemple,</w:t>
      </w:r>
      <w:proofErr w:type="gramEnd"/>
      <w:r w:rsidR="00CB3965" w:rsidRPr="008D7EB7">
        <w:t xml:space="preserve"> l’</w:t>
      </w:r>
      <w:r w:rsidR="001255F8" w:rsidRPr="008D7EB7">
        <w:t xml:space="preserve">installation d’éviers supplémentaires dans les bâtiments </w:t>
      </w:r>
      <w:r w:rsidR="001255F8" w:rsidRPr="008D7EB7">
        <w:lastRenderedPageBreak/>
        <w:t>communaux et scolaires</w:t>
      </w:r>
      <w:r w:rsidR="00CB3965" w:rsidRPr="008D7EB7">
        <w:t>, de parois en plexiglas ou de portiques permettant la prise de la température</w:t>
      </w:r>
      <w:r w:rsidR="001255F8" w:rsidRPr="008D7EB7">
        <w:t>)</w:t>
      </w:r>
      <w:r w:rsidR="001255F8" w:rsidRPr="00ED3F85">
        <w:t>.</w:t>
      </w:r>
    </w:p>
    <w:p w14:paraId="089D1883" w14:textId="0CE85F75" w:rsidR="00E94D5E" w:rsidRDefault="0029025E" w:rsidP="008D7EB7">
      <w:pPr>
        <w:spacing w:after="120"/>
        <w:jc w:val="both"/>
      </w:pPr>
      <w:r w:rsidRPr="00ED3F85">
        <w:t>La demande devra être complétée d’un document prouvant que l’emprunt vise les investissements ciblés ci-dessus.</w:t>
      </w:r>
    </w:p>
    <w:p w14:paraId="259CFD26" w14:textId="439AF25A" w:rsidR="000C485C" w:rsidRPr="001E1353" w:rsidRDefault="00AC2EAD" w:rsidP="00256E9F">
      <w:pPr>
        <w:pStyle w:val="Sam3"/>
      </w:pPr>
      <w:bookmarkStart w:id="3262" w:name="_Toc74557643"/>
      <w:r>
        <w:t xml:space="preserve">V.2.5 </w:t>
      </w:r>
      <w:r w:rsidR="000C485C">
        <w:t>Les investissements « hors balise » </w:t>
      </w:r>
      <w:r w:rsidR="00CD27BD">
        <w:t>: réintroduction d’une nouvelle</w:t>
      </w:r>
      <w:r w:rsidR="000C485C">
        <w:t xml:space="preserve"> demande</w:t>
      </w:r>
      <w:bookmarkEnd w:id="3262"/>
    </w:p>
    <w:p w14:paraId="1F708244" w14:textId="650A8AF4" w:rsidR="00CC4B2B" w:rsidRPr="001E1353" w:rsidRDefault="00CC4B2B" w:rsidP="008D7EB7">
      <w:pPr>
        <w:spacing w:after="120"/>
        <w:jc w:val="both"/>
      </w:pPr>
      <w:r w:rsidRPr="001E1353">
        <w:t xml:space="preserve">La demande de mise hors balise vise l’emprunt et non l’investissement. </w:t>
      </w:r>
    </w:p>
    <w:p w14:paraId="1AA431BC" w14:textId="703C7BF0" w:rsidR="004A2669" w:rsidRPr="001E1353" w:rsidRDefault="00CC4B2B" w:rsidP="008D7EB7">
      <w:pPr>
        <w:spacing w:after="120"/>
        <w:jc w:val="both"/>
      </w:pPr>
      <w:r>
        <w:t>Toutefois, d</w:t>
      </w:r>
      <w:r w:rsidR="00EB2CA7">
        <w:t>ans un souci de simplification administrative,</w:t>
      </w:r>
      <w:r w:rsidR="004A2669" w:rsidRPr="001E1353">
        <w:t xml:space="preserve"> lorsque le montant de l’emprunt s’avère </w:t>
      </w:r>
      <w:r w:rsidR="00665967">
        <w:t>finalement</w:t>
      </w:r>
      <w:r w:rsidR="004A2669" w:rsidRPr="001E1353">
        <w:t xml:space="preserve"> être supérieur au montant initial pour lequel je vous ai accordé une mise hors balise, je vous permets de ne pas réintroduire de nouvelle demande si cette augmentation est inférieure à 15 %. </w:t>
      </w:r>
    </w:p>
    <w:p w14:paraId="40A46685" w14:textId="702A2186" w:rsidR="004A2669" w:rsidRDefault="004A2669" w:rsidP="00A65F14">
      <w:pPr>
        <w:jc w:val="both"/>
      </w:pPr>
      <w:r w:rsidRPr="001E1353">
        <w:t xml:space="preserve">Si tel n’est pas le cas, une nouvelle demande de dérogation à la balise doit nécessairement m’être adressée. </w:t>
      </w:r>
    </w:p>
    <w:p w14:paraId="1B5507D8" w14:textId="77777777" w:rsidR="009A66C7" w:rsidRDefault="009A66C7" w:rsidP="00A65F14">
      <w:pPr>
        <w:jc w:val="both"/>
      </w:pPr>
    </w:p>
    <w:p w14:paraId="7DFDC525" w14:textId="3F8A8F57" w:rsidR="004A2669" w:rsidRPr="001E1353" w:rsidRDefault="00AC2EAD" w:rsidP="00256E9F">
      <w:pPr>
        <w:pStyle w:val="Sam3"/>
      </w:pPr>
      <w:bookmarkStart w:id="3263" w:name="_Toc74557644"/>
      <w:r>
        <w:t xml:space="preserve">V.2.6 </w:t>
      </w:r>
      <w:r w:rsidR="004A2669" w:rsidRPr="001E1353">
        <w:t>Tableaux à joindre au budget et aux modifications budgétaires</w:t>
      </w:r>
      <w:bookmarkEnd w:id="3263"/>
    </w:p>
    <w:p w14:paraId="70A5552C" w14:textId="1B2A0793" w:rsidR="002B47D4" w:rsidRDefault="004A2669" w:rsidP="00671240">
      <w:pPr>
        <w:jc w:val="both"/>
      </w:pPr>
      <w:r w:rsidRPr="001E1353">
        <w:t>Afin de permettre le bon suivi de ce</w:t>
      </w:r>
      <w:r w:rsidR="00560CBF">
        <w:t>s</w:t>
      </w:r>
      <w:r w:rsidRPr="001E1353">
        <w:t xml:space="preserve"> balise</w:t>
      </w:r>
      <w:r w:rsidR="00560CBF">
        <w:t xml:space="preserve"> et ratios</w:t>
      </w:r>
      <w:r w:rsidRPr="001E1353">
        <w:t xml:space="preserve">, il convient de compléter les tableaux intitulés « Balise d’emprunt » </w:t>
      </w:r>
      <w:r w:rsidR="00435741">
        <w:t xml:space="preserve">ainsi que l’annexe « Ratios charge de dette et d’endettement » </w:t>
      </w:r>
      <w:r w:rsidRPr="001E1353">
        <w:t xml:space="preserve">dont les modèles sont disponibles sur </w:t>
      </w:r>
      <w:r w:rsidR="00DD0B7C">
        <w:t>le Portail des Pouvoirs locaux</w:t>
      </w:r>
      <w:r w:rsidR="006402A2">
        <w:t xml:space="preserve"> https://intérieur.wallonie.be/</w:t>
      </w:r>
      <w:r w:rsidR="00DD0B7C">
        <w:t xml:space="preserve"> </w:t>
      </w:r>
      <w:r w:rsidRPr="001E1353">
        <w:t>et de les joindre aux budgets et diverses modifications budgétaires.</w:t>
      </w:r>
    </w:p>
    <w:p w14:paraId="4070AADD" w14:textId="77777777" w:rsidR="00110C1B" w:rsidRDefault="00110C1B" w:rsidP="00671240">
      <w:pPr>
        <w:jc w:val="both"/>
      </w:pPr>
    </w:p>
    <w:p w14:paraId="350230DD" w14:textId="7E04B44B" w:rsidR="000C485C" w:rsidRDefault="000C485C" w:rsidP="000C485C">
      <w:pPr>
        <w:pStyle w:val="Sam2"/>
      </w:pPr>
      <w:bookmarkStart w:id="3264" w:name="_Toc74557645"/>
      <w:r>
        <w:t>Petites dépenses d’investissement : comptabilisation</w:t>
      </w:r>
      <w:bookmarkEnd w:id="3264"/>
    </w:p>
    <w:p w14:paraId="4461AEA2" w14:textId="77777777" w:rsidR="004A2669" w:rsidRDefault="004A2669" w:rsidP="008D7EB7">
      <w:pPr>
        <w:spacing w:after="120"/>
        <w:jc w:val="both"/>
      </w:pPr>
      <w:bookmarkStart w:id="3265" w:name="_Toc517337431"/>
      <w:bookmarkStart w:id="3266" w:name="_Toc517360226"/>
      <w:bookmarkEnd w:id="3265"/>
      <w:bookmarkEnd w:id="3266"/>
      <w:r w:rsidRPr="001E1353">
        <w:t>Il n'existe pas de méthode permettant de répondre simultanément et directement aux préoccupations de garder la trace des petits investissements en comptabilité et de conserver une classification précise des petits investissements en comptabilité budgétaire.</w:t>
      </w:r>
    </w:p>
    <w:p w14:paraId="1A2CBA3E" w14:textId="77777777" w:rsidR="004A2669" w:rsidRDefault="004A2669" w:rsidP="008D7EB7">
      <w:pPr>
        <w:spacing w:after="120"/>
        <w:jc w:val="both"/>
      </w:pPr>
      <w:r w:rsidRPr="001E1353">
        <w:t>L'utilisation du code économique 749-98 entraîne l'enregistrement des petits investissements dans les actifs immobilisés et en impose ainsi le suivi. L'amortissement de ce type d'investissements, dont la durée d'utilisation présumée est réduite, est fixé à un an par le RGCC lui-même.</w:t>
      </w:r>
    </w:p>
    <w:p w14:paraId="1141BE3D" w14:textId="77777777" w:rsidR="004A2669" w:rsidRDefault="004A2669" w:rsidP="008D7EB7">
      <w:pPr>
        <w:spacing w:after="120"/>
        <w:jc w:val="both"/>
      </w:pPr>
      <w:r w:rsidRPr="001E1353">
        <w:t>Si l'utilisation des articles budgétaires du service ordinaire permet de ventiler de manière plus précise les petits investissements, elle ne permet pas d'en assurer le suivi au travers des comptes particuliers. Les deux méthodes paraissent acceptables et pourraient être complétées, la première par une subdivision du code fonctionnel pour les communes et du code économique pour les CPAS permettant de ventiler les petits investissements de manière plus précise, la seconde par le report dans le fichier du patrimoine, à titre signalétique, des petits investissements réalisés au service ordinaire.</w:t>
      </w:r>
    </w:p>
    <w:p w14:paraId="56674026" w14:textId="5E6993BC" w:rsidR="000C485C" w:rsidRDefault="00795CFD" w:rsidP="008D7EB7">
      <w:pPr>
        <w:spacing w:after="120"/>
        <w:jc w:val="both"/>
      </w:pPr>
      <w:r w:rsidRPr="001E1353">
        <w:t>Au-delà</w:t>
      </w:r>
      <w:r w:rsidR="004A2669" w:rsidRPr="001E1353">
        <w:t xml:space="preserve"> de ces deux méthodes de comptabilisation, les communes peuvent, bien entendu, décider d'enregistrer les petits investissements comme les investissements « classiques » dans les différents articles budgétaires du service extraordinaire.</w:t>
      </w:r>
    </w:p>
    <w:p w14:paraId="13556AF7" w14:textId="2C4F9F68" w:rsidR="009A66C7" w:rsidRDefault="009A66C7" w:rsidP="008D7EB7">
      <w:pPr>
        <w:spacing w:after="120"/>
        <w:jc w:val="both"/>
      </w:pPr>
    </w:p>
    <w:p w14:paraId="05A31793" w14:textId="78595781" w:rsidR="009A66C7" w:rsidRDefault="009A66C7" w:rsidP="008D7EB7">
      <w:pPr>
        <w:spacing w:after="120"/>
        <w:jc w:val="both"/>
      </w:pPr>
    </w:p>
    <w:p w14:paraId="167EE74D" w14:textId="77777777" w:rsidR="009A66C7" w:rsidRDefault="009A66C7" w:rsidP="008D7EB7">
      <w:pPr>
        <w:spacing w:after="120"/>
        <w:jc w:val="both"/>
      </w:pPr>
    </w:p>
    <w:p w14:paraId="5214D17D" w14:textId="03B58088" w:rsidR="000C485C" w:rsidRPr="001E1353" w:rsidRDefault="000C485C" w:rsidP="000C485C">
      <w:pPr>
        <w:pStyle w:val="Sam2"/>
      </w:pPr>
      <w:bookmarkStart w:id="3267" w:name="_Toc74557646"/>
      <w:r>
        <w:lastRenderedPageBreak/>
        <w:t>Délégation</w:t>
      </w:r>
      <w:bookmarkEnd w:id="3267"/>
    </w:p>
    <w:p w14:paraId="455F9230" w14:textId="7CA70204" w:rsidR="000C485C" w:rsidRDefault="00EC70D1" w:rsidP="00EC70D1">
      <w:pPr>
        <w:jc w:val="both"/>
      </w:pPr>
      <w:bookmarkStart w:id="3268" w:name="_Toc6415690"/>
      <w:bookmarkStart w:id="3269" w:name="_Toc6415999"/>
      <w:bookmarkStart w:id="3270" w:name="_Toc6995604"/>
      <w:bookmarkStart w:id="3271" w:name="_Toc6995908"/>
      <w:bookmarkStart w:id="3272" w:name="_Toc6415691"/>
      <w:bookmarkStart w:id="3273" w:name="_Toc6416000"/>
      <w:bookmarkStart w:id="3274" w:name="_Toc6995605"/>
      <w:bookmarkStart w:id="3275" w:name="_Toc6995909"/>
      <w:bookmarkStart w:id="3276" w:name="_Toc6415692"/>
      <w:bookmarkStart w:id="3277" w:name="_Toc6416001"/>
      <w:bookmarkStart w:id="3278" w:name="_Toc6995606"/>
      <w:bookmarkStart w:id="3279" w:name="_Toc6995910"/>
      <w:bookmarkStart w:id="3280" w:name="_Toc6415693"/>
      <w:bookmarkStart w:id="3281" w:name="_Toc6416002"/>
      <w:bookmarkStart w:id="3282" w:name="_Toc6995607"/>
      <w:bookmarkStart w:id="3283" w:name="_Toc6995911"/>
      <w:bookmarkStart w:id="3284" w:name="_Toc6415694"/>
      <w:bookmarkStart w:id="3285" w:name="_Toc6416003"/>
      <w:bookmarkStart w:id="3286" w:name="_Toc6995608"/>
      <w:bookmarkStart w:id="3287" w:name="_Toc6995912"/>
      <w:bookmarkStart w:id="3288" w:name="_Toc6415695"/>
      <w:bookmarkStart w:id="3289" w:name="_Toc6416004"/>
      <w:bookmarkStart w:id="3290" w:name="_Toc6995609"/>
      <w:bookmarkStart w:id="3291" w:name="_Toc6995913"/>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r>
        <w:t xml:space="preserve">En ce qui concerne les possibilités de délégation à l’extraordinaire, je vous renvoie </w:t>
      </w:r>
      <w:r w:rsidR="00B82D19">
        <w:t xml:space="preserve">aux </w:t>
      </w:r>
      <w:r>
        <w:t>article</w:t>
      </w:r>
      <w:r w:rsidR="00B82D19">
        <w:t>s</w:t>
      </w:r>
      <w:r>
        <w:t xml:space="preserve"> L1222-3, §3,</w:t>
      </w:r>
      <w:r w:rsidR="00B82D19">
        <w:t xml:space="preserve"> L1222-6, §3, L1222-7, §4 et 1222-8, §2 </w:t>
      </w:r>
      <w:r>
        <w:t>tel</w:t>
      </w:r>
      <w:r w:rsidR="00B82D19">
        <w:t>s</w:t>
      </w:r>
      <w:r>
        <w:t xml:space="preserve"> que modifié</w:t>
      </w:r>
      <w:r w:rsidR="00B82D19">
        <w:t>s</w:t>
      </w:r>
      <w:r>
        <w:t xml:space="preserve"> par le décret du 4 octobre 2018</w:t>
      </w:r>
      <w:r w:rsidR="00665967">
        <w:rPr>
          <w:rStyle w:val="Appelnotedebasdep"/>
        </w:rPr>
        <w:footnoteReference w:id="31"/>
      </w:r>
      <w:r>
        <w:t>.</w:t>
      </w:r>
    </w:p>
    <w:p w14:paraId="2E056185" w14:textId="77777777" w:rsidR="00B44836" w:rsidRDefault="00B44836" w:rsidP="00EC70D1">
      <w:pPr>
        <w:jc w:val="both"/>
      </w:pPr>
    </w:p>
    <w:p w14:paraId="1661DF32" w14:textId="393B36D7" w:rsidR="000C485C" w:rsidRDefault="000C485C" w:rsidP="00671240">
      <w:pPr>
        <w:pStyle w:val="Sam2"/>
      </w:pPr>
      <w:bookmarkStart w:id="3292" w:name="_Toc40185367"/>
      <w:bookmarkStart w:id="3293" w:name="_Toc40186102"/>
      <w:bookmarkStart w:id="3294" w:name="_Toc40185368"/>
      <w:bookmarkStart w:id="3295" w:name="_Toc40186103"/>
      <w:bookmarkStart w:id="3296" w:name="_Toc40185369"/>
      <w:bookmarkStart w:id="3297" w:name="_Toc40186104"/>
      <w:bookmarkStart w:id="3298" w:name="_Toc6996211"/>
      <w:bookmarkStart w:id="3299" w:name="_Toc6997702"/>
      <w:bookmarkStart w:id="3300" w:name="_Toc7016478"/>
      <w:bookmarkStart w:id="3301" w:name="_Toc7020646"/>
      <w:bookmarkStart w:id="3302" w:name="_Toc7094707"/>
      <w:bookmarkStart w:id="3303" w:name="_Toc8121738"/>
      <w:bookmarkStart w:id="3304" w:name="_Toc8129679"/>
      <w:bookmarkStart w:id="3305" w:name="_Toc74557647"/>
      <w:bookmarkEnd w:id="3292"/>
      <w:bookmarkEnd w:id="3293"/>
      <w:bookmarkEnd w:id="3294"/>
      <w:bookmarkEnd w:id="3295"/>
      <w:bookmarkEnd w:id="3296"/>
      <w:bookmarkEnd w:id="3297"/>
      <w:bookmarkEnd w:id="3298"/>
      <w:bookmarkEnd w:id="3299"/>
      <w:bookmarkEnd w:id="3300"/>
      <w:bookmarkEnd w:id="3301"/>
      <w:bookmarkEnd w:id="3302"/>
      <w:bookmarkEnd w:id="3303"/>
      <w:bookmarkEnd w:id="3304"/>
      <w:r>
        <w:t>Travaux subsidiés</w:t>
      </w:r>
      <w:bookmarkEnd w:id="3305"/>
      <w:r w:rsidR="006B59B2">
        <w:t xml:space="preserve"> – Plan d’investissement communal (PIC) et </w:t>
      </w:r>
      <w:r w:rsidR="00922D16" w:rsidRPr="00922D16">
        <w:t xml:space="preserve">Plan d’investissement mobilité active communal et intermodalité </w:t>
      </w:r>
      <w:r w:rsidR="006B59B2">
        <w:t>(PIMACI)</w:t>
      </w:r>
    </w:p>
    <w:p w14:paraId="1B268881" w14:textId="367151A5" w:rsidR="0003564E" w:rsidRDefault="00531BF8" w:rsidP="008D7EB7">
      <w:pPr>
        <w:spacing w:after="120"/>
        <w:jc w:val="both"/>
      </w:pPr>
      <w:bookmarkStart w:id="3306" w:name="_Toc518562737"/>
      <w:bookmarkStart w:id="3307" w:name="_Toc6415698"/>
      <w:bookmarkStart w:id="3308" w:name="_Toc6416007"/>
      <w:bookmarkStart w:id="3309" w:name="_Toc6995612"/>
      <w:bookmarkStart w:id="3310" w:name="_Toc6995916"/>
      <w:bookmarkEnd w:id="3306"/>
      <w:bookmarkEnd w:id="3307"/>
      <w:bookmarkEnd w:id="3308"/>
      <w:bookmarkEnd w:id="3309"/>
      <w:bookmarkEnd w:id="3310"/>
      <w:r>
        <w:t>Con</w:t>
      </w:r>
      <w:r w:rsidR="006B59B2">
        <w:t xml:space="preserve">cernant le </w:t>
      </w:r>
      <w:r w:rsidR="0027177F">
        <w:t>Plan d’investissement communal (</w:t>
      </w:r>
      <w:r w:rsidR="006B59B2">
        <w:t>PIC</w:t>
      </w:r>
      <w:r w:rsidR="0027177F">
        <w:t>)</w:t>
      </w:r>
      <w:r w:rsidR="006B59B2">
        <w:t>, con</w:t>
      </w:r>
      <w:r>
        <w:t xml:space="preserve">formément </w:t>
      </w:r>
      <w:r w:rsidR="0005008C">
        <w:t xml:space="preserve">au décret du 4 </w:t>
      </w:r>
      <w:r w:rsidR="00B82D19">
        <w:t>octobre</w:t>
      </w:r>
      <w:r w:rsidR="0005008C">
        <w:t xml:space="preserve"> 2018</w:t>
      </w:r>
      <w:r w:rsidR="00B82D19">
        <w:t xml:space="preserve"> </w:t>
      </w:r>
      <w:r w:rsidR="005F0767">
        <w:t>relatif au Fonds régional pour les Investissements communaux</w:t>
      </w:r>
      <w:r w:rsidR="00F7578A">
        <w:t xml:space="preserve"> et à son arrêté d’exécution du 6 décembre 2018</w:t>
      </w:r>
      <w:r w:rsidR="005F0767">
        <w:t xml:space="preserve">, le droit de tirage est organisé sur la durée </w:t>
      </w:r>
      <w:r w:rsidR="001044C0">
        <w:t>d’une mandature</w:t>
      </w:r>
      <w:r w:rsidR="005F0767">
        <w:t xml:space="preserve"> communale, en deux programmation</w:t>
      </w:r>
      <w:r w:rsidR="00665967">
        <w:t>s</w:t>
      </w:r>
      <w:r w:rsidR="005F0767">
        <w:t xml:space="preserve"> de 3 ans chacune (donc 2019-2021 et 2022-2024), intégrées dans le programme stratégique transversal (PST).</w:t>
      </w:r>
      <w:r w:rsidR="00472D1F">
        <w:t xml:space="preserve"> Je vous renvoie à </w:t>
      </w:r>
      <w:r w:rsidR="002A1046">
        <w:t>l’arrêté du Gouvernement wallon du 23 décembre 2021 fixant les priorités régionales pour la programmation 2022-2024 du Plan d’investissement communal</w:t>
      </w:r>
      <w:r w:rsidR="000B6DDE">
        <w:t xml:space="preserve">, ainsi qu’à </w:t>
      </w:r>
      <w:r w:rsidR="00472D1F">
        <w:t xml:space="preserve">la circulaire </w:t>
      </w:r>
      <w:r w:rsidR="0003564E">
        <w:t>relative à la mise en œuvre des plans d'investissement communaux 2022-2024</w:t>
      </w:r>
      <w:r w:rsidR="000B6DDE">
        <w:t>.</w:t>
      </w:r>
    </w:p>
    <w:p w14:paraId="161A9D42" w14:textId="509D05A0" w:rsidR="003D68FE" w:rsidRDefault="006B59B2" w:rsidP="008D7EB7">
      <w:pPr>
        <w:spacing w:after="120"/>
        <w:jc w:val="both"/>
      </w:pPr>
      <w:r>
        <w:t xml:space="preserve">Concernant le </w:t>
      </w:r>
      <w:r w:rsidR="0027177F" w:rsidRPr="00922D16">
        <w:t xml:space="preserve">Plan d’investissement mobilité active communal et intermodalité </w:t>
      </w:r>
      <w:r w:rsidR="0027177F">
        <w:t>(</w:t>
      </w:r>
      <w:r>
        <w:t>PIMACI</w:t>
      </w:r>
      <w:r w:rsidR="0027177F">
        <w:t>)</w:t>
      </w:r>
      <w:r>
        <w:t>,</w:t>
      </w:r>
      <w:r w:rsidR="0027177F">
        <w:t xml:space="preserve"> </w:t>
      </w:r>
      <w:r w:rsidR="002A1046">
        <w:t xml:space="preserve">le droit de tirage vise à soutenir le développement d’aménagements favorisant la mobilité active quotidienne (cyclable et piétonne) et l’intermodalité dans les communes. Je vous renvoie à ce sujet à </w:t>
      </w:r>
      <w:r w:rsidR="003D68FE">
        <w:t xml:space="preserve">l’arrêté ministériel du 24 novembre 2021 octroyant une subvention aux villes et communes dans le cadre d'un Plan d'Investissement Mobilité active communal et intermodalité (PIMACI)ainsi qu’à </w:t>
      </w:r>
      <w:r w:rsidR="002A1046">
        <w:t xml:space="preserve">la circulaire du 18 </w:t>
      </w:r>
      <w:r w:rsidR="0003564E">
        <w:t>février 2022</w:t>
      </w:r>
      <w:r w:rsidR="003D68FE">
        <w:t>.</w:t>
      </w:r>
    </w:p>
    <w:p w14:paraId="589AC633" w14:textId="4C2A8419" w:rsidR="004A2669" w:rsidRDefault="004A2669" w:rsidP="008D7EB7">
      <w:pPr>
        <w:spacing w:after="120"/>
        <w:jc w:val="both"/>
      </w:pPr>
      <w:r w:rsidRPr="001E1353">
        <w:t xml:space="preserve">Toute information complémentaire peut être obtenue auprès </w:t>
      </w:r>
      <w:r w:rsidR="008C2FA4" w:rsidRPr="008D7EB7">
        <w:t>du SPW Mobilité et Infrastructures - Département des Infrastructures locale - Direction</w:t>
      </w:r>
      <w:r w:rsidR="00A44848">
        <w:t>s</w:t>
      </w:r>
      <w:r w:rsidR="008C2FA4" w:rsidRPr="008D7EB7">
        <w:t xml:space="preserve"> des </w:t>
      </w:r>
      <w:r w:rsidR="00A44848">
        <w:t xml:space="preserve">Bâtiments et des </w:t>
      </w:r>
      <w:r w:rsidR="008C2FA4" w:rsidRPr="008D7EB7">
        <w:t>Espaces publics subsidiés</w:t>
      </w:r>
      <w:r w:rsidR="0027177F">
        <w:t xml:space="preserve"> </w:t>
      </w:r>
      <w:hyperlink r:id="rId11" w:history="1">
        <w:r w:rsidR="0027177F" w:rsidRPr="0027177F">
          <w:rPr>
            <w:rStyle w:val="Lienhypertexte"/>
          </w:rPr>
          <w:t>(https://infrastructures.wallonie.be/pouvoirs-locaux/nos-thematiques/infrastructures-locales/batiments-et-voiries/plan-dinvestissement-communal.html).</w:t>
        </w:r>
      </w:hyperlink>
    </w:p>
    <w:p w14:paraId="5C8EB98E" w14:textId="77777777" w:rsidR="00B44836" w:rsidRDefault="00B44836" w:rsidP="008D7EB7">
      <w:pPr>
        <w:spacing w:after="120"/>
        <w:jc w:val="both"/>
      </w:pPr>
    </w:p>
    <w:p w14:paraId="44B27642" w14:textId="77777777" w:rsidR="004A2669" w:rsidRPr="001E1353" w:rsidRDefault="004A2669" w:rsidP="00581DAD">
      <w:pPr>
        <w:pStyle w:val="Sam2"/>
      </w:pPr>
      <w:bookmarkStart w:id="3311" w:name="_Toc40185371"/>
      <w:bookmarkStart w:id="3312" w:name="_Toc40186106"/>
      <w:bookmarkStart w:id="3313" w:name="_Toc40185372"/>
      <w:bookmarkStart w:id="3314" w:name="_Toc40186107"/>
      <w:bookmarkStart w:id="3315" w:name="_Toc516825609"/>
      <w:bookmarkStart w:id="3316" w:name="_Toc516826167"/>
      <w:bookmarkStart w:id="3317" w:name="_Toc516837487"/>
      <w:bookmarkStart w:id="3318" w:name="_Toc516838046"/>
      <w:bookmarkStart w:id="3319" w:name="_Toc516838605"/>
      <w:bookmarkStart w:id="3320" w:name="_Toc516839165"/>
      <w:bookmarkStart w:id="3321" w:name="_Toc517173261"/>
      <w:bookmarkStart w:id="3322" w:name="_Toc517174935"/>
      <w:bookmarkStart w:id="3323" w:name="_Toc517175522"/>
      <w:bookmarkStart w:id="3324" w:name="_Toc517176110"/>
      <w:bookmarkStart w:id="3325" w:name="_Toc517337435"/>
      <w:bookmarkStart w:id="3326" w:name="_Toc517360230"/>
      <w:bookmarkStart w:id="3327" w:name="_Toc516825610"/>
      <w:bookmarkStart w:id="3328" w:name="_Toc516826168"/>
      <w:bookmarkStart w:id="3329" w:name="_Toc516837488"/>
      <w:bookmarkStart w:id="3330" w:name="_Toc516838047"/>
      <w:bookmarkStart w:id="3331" w:name="_Toc516838606"/>
      <w:bookmarkStart w:id="3332" w:name="_Toc516839166"/>
      <w:bookmarkStart w:id="3333" w:name="_Toc517173262"/>
      <w:bookmarkStart w:id="3334" w:name="_Toc517174936"/>
      <w:bookmarkStart w:id="3335" w:name="_Toc517175523"/>
      <w:bookmarkStart w:id="3336" w:name="_Toc517176111"/>
      <w:bookmarkStart w:id="3337" w:name="_Toc517337436"/>
      <w:bookmarkStart w:id="3338" w:name="_Toc517360231"/>
      <w:bookmarkStart w:id="3339" w:name="_Toc516825611"/>
      <w:bookmarkStart w:id="3340" w:name="_Toc516826169"/>
      <w:bookmarkStart w:id="3341" w:name="_Toc516837489"/>
      <w:bookmarkStart w:id="3342" w:name="_Toc516838048"/>
      <w:bookmarkStart w:id="3343" w:name="_Toc516838607"/>
      <w:bookmarkStart w:id="3344" w:name="_Toc516839167"/>
      <w:bookmarkStart w:id="3345" w:name="_Toc517173263"/>
      <w:bookmarkStart w:id="3346" w:name="_Toc517174937"/>
      <w:bookmarkStart w:id="3347" w:name="_Toc517175524"/>
      <w:bookmarkStart w:id="3348" w:name="_Toc517176112"/>
      <w:bookmarkStart w:id="3349" w:name="_Toc517337437"/>
      <w:bookmarkStart w:id="3350" w:name="_Toc517360232"/>
      <w:bookmarkStart w:id="3351" w:name="_Toc516825612"/>
      <w:bookmarkStart w:id="3352" w:name="_Toc516826170"/>
      <w:bookmarkStart w:id="3353" w:name="_Toc516837490"/>
      <w:bookmarkStart w:id="3354" w:name="_Toc516838049"/>
      <w:bookmarkStart w:id="3355" w:name="_Toc516838608"/>
      <w:bookmarkStart w:id="3356" w:name="_Toc516839168"/>
      <w:bookmarkStart w:id="3357" w:name="_Toc517173264"/>
      <w:bookmarkStart w:id="3358" w:name="_Toc517174938"/>
      <w:bookmarkStart w:id="3359" w:name="_Toc517175525"/>
      <w:bookmarkStart w:id="3360" w:name="_Toc517176113"/>
      <w:bookmarkStart w:id="3361" w:name="_Toc517337438"/>
      <w:bookmarkStart w:id="3362" w:name="_Toc517360233"/>
      <w:bookmarkStart w:id="3363" w:name="_Toc516825613"/>
      <w:bookmarkStart w:id="3364" w:name="_Toc516826171"/>
      <w:bookmarkStart w:id="3365" w:name="_Toc516837491"/>
      <w:bookmarkStart w:id="3366" w:name="_Toc516838050"/>
      <w:bookmarkStart w:id="3367" w:name="_Toc516838609"/>
      <w:bookmarkStart w:id="3368" w:name="_Toc516839169"/>
      <w:bookmarkStart w:id="3369" w:name="_Toc517173265"/>
      <w:bookmarkStart w:id="3370" w:name="_Toc517174939"/>
      <w:bookmarkStart w:id="3371" w:name="_Toc517175526"/>
      <w:bookmarkStart w:id="3372" w:name="_Toc517176114"/>
      <w:bookmarkStart w:id="3373" w:name="_Toc517337439"/>
      <w:bookmarkStart w:id="3374" w:name="_Toc517360234"/>
      <w:bookmarkStart w:id="3375" w:name="_Toc516825614"/>
      <w:bookmarkStart w:id="3376" w:name="_Toc516826172"/>
      <w:bookmarkStart w:id="3377" w:name="_Toc516837492"/>
      <w:bookmarkStart w:id="3378" w:name="_Toc516838051"/>
      <w:bookmarkStart w:id="3379" w:name="_Toc516838610"/>
      <w:bookmarkStart w:id="3380" w:name="_Toc516839170"/>
      <w:bookmarkStart w:id="3381" w:name="_Toc517173266"/>
      <w:bookmarkStart w:id="3382" w:name="_Toc517174940"/>
      <w:bookmarkStart w:id="3383" w:name="_Toc517175527"/>
      <w:bookmarkStart w:id="3384" w:name="_Toc517176115"/>
      <w:bookmarkStart w:id="3385" w:name="_Toc517337440"/>
      <w:bookmarkStart w:id="3386" w:name="_Toc517360235"/>
      <w:bookmarkStart w:id="3387" w:name="_Toc516825615"/>
      <w:bookmarkStart w:id="3388" w:name="_Toc516826173"/>
      <w:bookmarkStart w:id="3389" w:name="_Toc516837493"/>
      <w:bookmarkStart w:id="3390" w:name="_Toc516838052"/>
      <w:bookmarkStart w:id="3391" w:name="_Toc516838611"/>
      <w:bookmarkStart w:id="3392" w:name="_Toc516839171"/>
      <w:bookmarkStart w:id="3393" w:name="_Toc517173267"/>
      <w:bookmarkStart w:id="3394" w:name="_Toc517174941"/>
      <w:bookmarkStart w:id="3395" w:name="_Toc517175528"/>
      <w:bookmarkStart w:id="3396" w:name="_Toc517176116"/>
      <w:bookmarkStart w:id="3397" w:name="_Toc517337441"/>
      <w:bookmarkStart w:id="3398" w:name="_Toc517360236"/>
      <w:bookmarkStart w:id="3399" w:name="_Toc516825616"/>
      <w:bookmarkStart w:id="3400" w:name="_Toc516826174"/>
      <w:bookmarkStart w:id="3401" w:name="_Toc516837494"/>
      <w:bookmarkStart w:id="3402" w:name="_Toc516838053"/>
      <w:bookmarkStart w:id="3403" w:name="_Toc516838612"/>
      <w:bookmarkStart w:id="3404" w:name="_Toc516839172"/>
      <w:bookmarkStart w:id="3405" w:name="_Toc517173268"/>
      <w:bookmarkStart w:id="3406" w:name="_Toc517174942"/>
      <w:bookmarkStart w:id="3407" w:name="_Toc517175529"/>
      <w:bookmarkStart w:id="3408" w:name="_Toc517176117"/>
      <w:bookmarkStart w:id="3409" w:name="_Toc517337442"/>
      <w:bookmarkStart w:id="3410" w:name="_Toc517360237"/>
      <w:bookmarkStart w:id="3411" w:name="_Toc516825617"/>
      <w:bookmarkStart w:id="3412" w:name="_Toc516826175"/>
      <w:bookmarkStart w:id="3413" w:name="_Toc516837495"/>
      <w:bookmarkStart w:id="3414" w:name="_Toc516838054"/>
      <w:bookmarkStart w:id="3415" w:name="_Toc516838613"/>
      <w:bookmarkStart w:id="3416" w:name="_Toc516839173"/>
      <w:bookmarkStart w:id="3417" w:name="_Toc517173269"/>
      <w:bookmarkStart w:id="3418" w:name="_Toc517174943"/>
      <w:bookmarkStart w:id="3419" w:name="_Toc517175530"/>
      <w:bookmarkStart w:id="3420" w:name="_Toc517176118"/>
      <w:bookmarkStart w:id="3421" w:name="_Toc517337443"/>
      <w:bookmarkStart w:id="3422" w:name="_Toc517360238"/>
      <w:bookmarkStart w:id="3423" w:name="_Toc516825618"/>
      <w:bookmarkStart w:id="3424" w:name="_Toc516826176"/>
      <w:bookmarkStart w:id="3425" w:name="_Toc516837496"/>
      <w:bookmarkStart w:id="3426" w:name="_Toc516838055"/>
      <w:bookmarkStart w:id="3427" w:name="_Toc516838614"/>
      <w:bookmarkStart w:id="3428" w:name="_Toc516839174"/>
      <w:bookmarkStart w:id="3429" w:name="_Toc517173270"/>
      <w:bookmarkStart w:id="3430" w:name="_Toc517174944"/>
      <w:bookmarkStart w:id="3431" w:name="_Toc517175531"/>
      <w:bookmarkStart w:id="3432" w:name="_Toc517176119"/>
      <w:bookmarkStart w:id="3433" w:name="_Toc517337444"/>
      <w:bookmarkStart w:id="3434" w:name="_Toc517360239"/>
      <w:bookmarkStart w:id="3435" w:name="_Toc516825619"/>
      <w:bookmarkStart w:id="3436" w:name="_Toc516826177"/>
      <w:bookmarkStart w:id="3437" w:name="_Toc516837497"/>
      <w:bookmarkStart w:id="3438" w:name="_Toc516838056"/>
      <w:bookmarkStart w:id="3439" w:name="_Toc516838615"/>
      <w:bookmarkStart w:id="3440" w:name="_Toc516839175"/>
      <w:bookmarkStart w:id="3441" w:name="_Toc517173271"/>
      <w:bookmarkStart w:id="3442" w:name="_Toc517174945"/>
      <w:bookmarkStart w:id="3443" w:name="_Toc517175532"/>
      <w:bookmarkStart w:id="3444" w:name="_Toc517176120"/>
      <w:bookmarkStart w:id="3445" w:name="_Toc517337445"/>
      <w:bookmarkStart w:id="3446" w:name="_Toc517360240"/>
      <w:bookmarkStart w:id="3447" w:name="_Toc516825620"/>
      <w:bookmarkStart w:id="3448" w:name="_Toc516826178"/>
      <w:bookmarkStart w:id="3449" w:name="_Toc516837498"/>
      <w:bookmarkStart w:id="3450" w:name="_Toc516838057"/>
      <w:bookmarkStart w:id="3451" w:name="_Toc516838616"/>
      <w:bookmarkStart w:id="3452" w:name="_Toc516839176"/>
      <w:bookmarkStart w:id="3453" w:name="_Toc517173272"/>
      <w:bookmarkStart w:id="3454" w:name="_Toc517174946"/>
      <w:bookmarkStart w:id="3455" w:name="_Toc517175533"/>
      <w:bookmarkStart w:id="3456" w:name="_Toc517176121"/>
      <w:bookmarkStart w:id="3457" w:name="_Toc517337446"/>
      <w:bookmarkStart w:id="3458" w:name="_Toc517360241"/>
      <w:bookmarkStart w:id="3459" w:name="_Toc516825621"/>
      <w:bookmarkStart w:id="3460" w:name="_Toc516826179"/>
      <w:bookmarkStart w:id="3461" w:name="_Toc516837499"/>
      <w:bookmarkStart w:id="3462" w:name="_Toc516838058"/>
      <w:bookmarkStart w:id="3463" w:name="_Toc516838617"/>
      <w:bookmarkStart w:id="3464" w:name="_Toc516839177"/>
      <w:bookmarkStart w:id="3465" w:name="_Toc517173273"/>
      <w:bookmarkStart w:id="3466" w:name="_Toc517174947"/>
      <w:bookmarkStart w:id="3467" w:name="_Toc517175534"/>
      <w:bookmarkStart w:id="3468" w:name="_Toc517176122"/>
      <w:bookmarkStart w:id="3469" w:name="_Toc517337447"/>
      <w:bookmarkStart w:id="3470" w:name="_Toc517360242"/>
      <w:bookmarkStart w:id="3471" w:name="_Toc516825622"/>
      <w:bookmarkStart w:id="3472" w:name="_Toc516826180"/>
      <w:bookmarkStart w:id="3473" w:name="_Toc516837500"/>
      <w:bookmarkStart w:id="3474" w:name="_Toc516838059"/>
      <w:bookmarkStart w:id="3475" w:name="_Toc516838618"/>
      <w:bookmarkStart w:id="3476" w:name="_Toc516839178"/>
      <w:bookmarkStart w:id="3477" w:name="_Toc517173274"/>
      <w:bookmarkStart w:id="3478" w:name="_Toc517174948"/>
      <w:bookmarkStart w:id="3479" w:name="_Toc517175535"/>
      <w:bookmarkStart w:id="3480" w:name="_Toc517176123"/>
      <w:bookmarkStart w:id="3481" w:name="_Toc517337448"/>
      <w:bookmarkStart w:id="3482" w:name="_Toc517360243"/>
      <w:bookmarkStart w:id="3483" w:name="_Toc516825623"/>
      <w:bookmarkStart w:id="3484" w:name="_Toc516826181"/>
      <w:bookmarkStart w:id="3485" w:name="_Toc516837501"/>
      <w:bookmarkStart w:id="3486" w:name="_Toc516838060"/>
      <w:bookmarkStart w:id="3487" w:name="_Toc516838619"/>
      <w:bookmarkStart w:id="3488" w:name="_Toc516839179"/>
      <w:bookmarkStart w:id="3489" w:name="_Toc517173275"/>
      <w:bookmarkStart w:id="3490" w:name="_Toc517174949"/>
      <w:bookmarkStart w:id="3491" w:name="_Toc517175536"/>
      <w:bookmarkStart w:id="3492" w:name="_Toc517176124"/>
      <w:bookmarkStart w:id="3493" w:name="_Toc517337449"/>
      <w:bookmarkStart w:id="3494" w:name="_Toc517360244"/>
      <w:bookmarkStart w:id="3495" w:name="_Toc516825624"/>
      <w:bookmarkStart w:id="3496" w:name="_Toc516826182"/>
      <w:bookmarkStart w:id="3497" w:name="_Toc516837502"/>
      <w:bookmarkStart w:id="3498" w:name="_Toc516838061"/>
      <w:bookmarkStart w:id="3499" w:name="_Toc516838620"/>
      <w:bookmarkStart w:id="3500" w:name="_Toc516839180"/>
      <w:bookmarkStart w:id="3501" w:name="_Toc517173276"/>
      <w:bookmarkStart w:id="3502" w:name="_Toc517174950"/>
      <w:bookmarkStart w:id="3503" w:name="_Toc517175537"/>
      <w:bookmarkStart w:id="3504" w:name="_Toc517176125"/>
      <w:bookmarkStart w:id="3505" w:name="_Toc517337450"/>
      <w:bookmarkStart w:id="3506" w:name="_Toc517360245"/>
      <w:bookmarkStart w:id="3507" w:name="_Toc516825625"/>
      <w:bookmarkStart w:id="3508" w:name="_Toc516826183"/>
      <w:bookmarkStart w:id="3509" w:name="_Toc516837503"/>
      <w:bookmarkStart w:id="3510" w:name="_Toc516838062"/>
      <w:bookmarkStart w:id="3511" w:name="_Toc516838621"/>
      <w:bookmarkStart w:id="3512" w:name="_Toc516839181"/>
      <w:bookmarkStart w:id="3513" w:name="_Toc517173277"/>
      <w:bookmarkStart w:id="3514" w:name="_Toc517174951"/>
      <w:bookmarkStart w:id="3515" w:name="_Toc517175538"/>
      <w:bookmarkStart w:id="3516" w:name="_Toc517176126"/>
      <w:bookmarkStart w:id="3517" w:name="_Toc517337451"/>
      <w:bookmarkStart w:id="3518" w:name="_Toc517360246"/>
      <w:bookmarkStart w:id="3519" w:name="_Toc516825626"/>
      <w:bookmarkStart w:id="3520" w:name="_Toc516826184"/>
      <w:bookmarkStart w:id="3521" w:name="_Toc516837504"/>
      <w:bookmarkStart w:id="3522" w:name="_Toc516838063"/>
      <w:bookmarkStart w:id="3523" w:name="_Toc516838622"/>
      <w:bookmarkStart w:id="3524" w:name="_Toc516839182"/>
      <w:bookmarkStart w:id="3525" w:name="_Toc517173278"/>
      <w:bookmarkStart w:id="3526" w:name="_Toc517174952"/>
      <w:bookmarkStart w:id="3527" w:name="_Toc517175539"/>
      <w:bookmarkStart w:id="3528" w:name="_Toc517176127"/>
      <w:bookmarkStart w:id="3529" w:name="_Toc517337452"/>
      <w:bookmarkStart w:id="3530" w:name="_Toc517360247"/>
      <w:bookmarkStart w:id="3531" w:name="_Toc516825627"/>
      <w:bookmarkStart w:id="3532" w:name="_Toc516826185"/>
      <w:bookmarkStart w:id="3533" w:name="_Toc516837505"/>
      <w:bookmarkStart w:id="3534" w:name="_Toc516838064"/>
      <w:bookmarkStart w:id="3535" w:name="_Toc516838623"/>
      <w:bookmarkStart w:id="3536" w:name="_Toc516839183"/>
      <w:bookmarkStart w:id="3537" w:name="_Toc517173279"/>
      <w:bookmarkStart w:id="3538" w:name="_Toc517174953"/>
      <w:bookmarkStart w:id="3539" w:name="_Toc517175540"/>
      <w:bookmarkStart w:id="3540" w:name="_Toc517176128"/>
      <w:bookmarkStart w:id="3541" w:name="_Toc517337453"/>
      <w:bookmarkStart w:id="3542" w:name="_Toc517360248"/>
      <w:bookmarkStart w:id="3543" w:name="_Toc516825628"/>
      <w:bookmarkStart w:id="3544" w:name="_Toc516826186"/>
      <w:bookmarkStart w:id="3545" w:name="_Toc516837506"/>
      <w:bookmarkStart w:id="3546" w:name="_Toc516838065"/>
      <w:bookmarkStart w:id="3547" w:name="_Toc516838624"/>
      <w:bookmarkStart w:id="3548" w:name="_Toc516839184"/>
      <w:bookmarkStart w:id="3549" w:name="_Toc517173280"/>
      <w:bookmarkStart w:id="3550" w:name="_Toc517174954"/>
      <w:bookmarkStart w:id="3551" w:name="_Toc517175541"/>
      <w:bookmarkStart w:id="3552" w:name="_Toc517176129"/>
      <w:bookmarkStart w:id="3553" w:name="_Toc517337454"/>
      <w:bookmarkStart w:id="3554" w:name="_Toc517360249"/>
      <w:bookmarkStart w:id="3555" w:name="_Toc512520254"/>
      <w:bookmarkStart w:id="3556" w:name="_Toc512520385"/>
      <w:bookmarkStart w:id="3557" w:name="_Toc512520517"/>
      <w:bookmarkStart w:id="3558" w:name="_Toc512520648"/>
      <w:bookmarkStart w:id="3559" w:name="_Toc512520779"/>
      <w:bookmarkStart w:id="3560" w:name="_Toc512520910"/>
      <w:bookmarkStart w:id="3561" w:name="_Toc512521041"/>
      <w:bookmarkStart w:id="3562" w:name="_Toc512606850"/>
      <w:bookmarkStart w:id="3563" w:name="_Toc512606985"/>
      <w:bookmarkStart w:id="3564" w:name="_Toc512607120"/>
      <w:bookmarkStart w:id="3565" w:name="_Toc515355920"/>
      <w:bookmarkStart w:id="3566" w:name="_Toc515356055"/>
      <w:bookmarkStart w:id="3567" w:name="_Toc515360469"/>
      <w:bookmarkStart w:id="3568" w:name="_Toc515975065"/>
      <w:bookmarkStart w:id="3569" w:name="_Toc515978573"/>
      <w:bookmarkStart w:id="3570" w:name="_Toc516058957"/>
      <w:bookmarkStart w:id="3571" w:name="_Toc516059099"/>
      <w:bookmarkStart w:id="3572" w:name="_Toc516227823"/>
      <w:bookmarkStart w:id="3573" w:name="_Toc516229636"/>
      <w:bookmarkStart w:id="3574" w:name="_Toc516229931"/>
      <w:bookmarkStart w:id="3575" w:name="_Toc516230226"/>
      <w:bookmarkStart w:id="3576" w:name="_Toc516230521"/>
      <w:bookmarkStart w:id="3577" w:name="_Toc516230815"/>
      <w:bookmarkStart w:id="3578" w:name="_Toc516231109"/>
      <w:bookmarkStart w:id="3579" w:name="_Toc516231404"/>
      <w:bookmarkStart w:id="3580" w:name="_Toc516231700"/>
      <w:bookmarkStart w:id="3581" w:name="_Toc516242795"/>
      <w:bookmarkStart w:id="3582" w:name="_Toc516243098"/>
      <w:bookmarkStart w:id="3583" w:name="_Toc516245031"/>
      <w:bookmarkStart w:id="3584" w:name="_Toc516473603"/>
      <w:bookmarkStart w:id="3585" w:name="_Toc516473913"/>
      <w:bookmarkStart w:id="3586" w:name="_Toc516474223"/>
      <w:bookmarkStart w:id="3587" w:name="_Toc516474531"/>
      <w:bookmarkStart w:id="3588" w:name="_Toc516474863"/>
      <w:bookmarkStart w:id="3589" w:name="_Toc516478894"/>
      <w:bookmarkStart w:id="3590" w:name="_Toc516479357"/>
      <w:bookmarkStart w:id="3591" w:name="_Toc516479674"/>
      <w:bookmarkStart w:id="3592" w:name="_Toc516479996"/>
      <w:bookmarkStart w:id="3593" w:name="_Toc516480310"/>
      <w:bookmarkStart w:id="3594" w:name="_Toc516480624"/>
      <w:bookmarkStart w:id="3595" w:name="_Toc516480938"/>
      <w:bookmarkStart w:id="3596" w:name="_Toc516481252"/>
      <w:bookmarkStart w:id="3597" w:name="_Toc516481566"/>
      <w:bookmarkStart w:id="3598" w:name="_Toc516481880"/>
      <w:bookmarkStart w:id="3599" w:name="_Toc516482194"/>
      <w:bookmarkStart w:id="3600" w:name="_Toc516482508"/>
      <w:bookmarkStart w:id="3601" w:name="_Toc516739630"/>
      <w:bookmarkStart w:id="3602" w:name="_Toc516751543"/>
      <w:bookmarkStart w:id="3603" w:name="_Toc516825629"/>
      <w:bookmarkStart w:id="3604" w:name="_Toc516826187"/>
      <w:bookmarkStart w:id="3605" w:name="_Toc516837507"/>
      <w:bookmarkStart w:id="3606" w:name="_Toc516838066"/>
      <w:bookmarkStart w:id="3607" w:name="_Toc516838625"/>
      <w:bookmarkStart w:id="3608" w:name="_Toc516839185"/>
      <w:bookmarkStart w:id="3609" w:name="_Toc517173281"/>
      <w:bookmarkStart w:id="3610" w:name="_Toc517174955"/>
      <w:bookmarkStart w:id="3611" w:name="_Toc517175542"/>
      <w:bookmarkStart w:id="3612" w:name="_Toc517176130"/>
      <w:bookmarkStart w:id="3613" w:name="_Toc517337455"/>
      <w:bookmarkStart w:id="3614" w:name="_Toc517360250"/>
      <w:bookmarkStart w:id="3615" w:name="_Toc516825630"/>
      <w:bookmarkStart w:id="3616" w:name="_Toc516826188"/>
      <w:bookmarkStart w:id="3617" w:name="_Toc516837508"/>
      <w:bookmarkStart w:id="3618" w:name="_Toc516838067"/>
      <w:bookmarkStart w:id="3619" w:name="_Toc516838626"/>
      <w:bookmarkStart w:id="3620" w:name="_Toc516839186"/>
      <w:bookmarkStart w:id="3621" w:name="_Toc517173282"/>
      <w:bookmarkStart w:id="3622" w:name="_Toc517174956"/>
      <w:bookmarkStart w:id="3623" w:name="_Toc517175543"/>
      <w:bookmarkStart w:id="3624" w:name="_Toc517176131"/>
      <w:bookmarkStart w:id="3625" w:name="_Toc517337456"/>
      <w:bookmarkStart w:id="3626" w:name="_Toc517360251"/>
      <w:bookmarkStart w:id="3627" w:name="_Toc516825631"/>
      <w:bookmarkStart w:id="3628" w:name="_Toc516826189"/>
      <w:bookmarkStart w:id="3629" w:name="_Toc516837509"/>
      <w:bookmarkStart w:id="3630" w:name="_Toc516838068"/>
      <w:bookmarkStart w:id="3631" w:name="_Toc516838627"/>
      <w:bookmarkStart w:id="3632" w:name="_Toc516839187"/>
      <w:bookmarkStart w:id="3633" w:name="_Toc517173283"/>
      <w:bookmarkStart w:id="3634" w:name="_Toc517174957"/>
      <w:bookmarkStart w:id="3635" w:name="_Toc517175544"/>
      <w:bookmarkStart w:id="3636" w:name="_Toc517176132"/>
      <w:bookmarkStart w:id="3637" w:name="_Toc517337457"/>
      <w:bookmarkStart w:id="3638" w:name="_Toc517360252"/>
      <w:bookmarkStart w:id="3639" w:name="_Toc516825632"/>
      <w:bookmarkStart w:id="3640" w:name="_Toc516826190"/>
      <w:bookmarkStart w:id="3641" w:name="_Toc516837510"/>
      <w:bookmarkStart w:id="3642" w:name="_Toc516838069"/>
      <w:bookmarkStart w:id="3643" w:name="_Toc516838628"/>
      <w:bookmarkStart w:id="3644" w:name="_Toc516839188"/>
      <w:bookmarkStart w:id="3645" w:name="_Toc517173284"/>
      <w:bookmarkStart w:id="3646" w:name="_Toc517174958"/>
      <w:bookmarkStart w:id="3647" w:name="_Toc517175545"/>
      <w:bookmarkStart w:id="3648" w:name="_Toc517176133"/>
      <w:bookmarkStart w:id="3649" w:name="_Toc517337458"/>
      <w:bookmarkStart w:id="3650" w:name="_Toc517360253"/>
      <w:bookmarkStart w:id="3651" w:name="_Toc74557648"/>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r w:rsidRPr="001E1353">
        <w:t>Boni des exercices antérieurs</w:t>
      </w:r>
      <w:bookmarkEnd w:id="3651"/>
      <w:r w:rsidRPr="001E1353">
        <w:t xml:space="preserve"> </w:t>
      </w:r>
    </w:p>
    <w:p w14:paraId="0D6F92C1" w14:textId="77777777" w:rsidR="004A2669" w:rsidRDefault="004A2669" w:rsidP="008D7EB7">
      <w:pPr>
        <w:spacing w:after="120"/>
        <w:jc w:val="both"/>
      </w:pPr>
      <w:r w:rsidRPr="001E1353">
        <w:t>Il importe d'être prudent dans l'utilisation du boni du service extraordinaire des exercices antérieurs qui apparaît au tableau de synthèse du budget.</w:t>
      </w:r>
    </w:p>
    <w:p w14:paraId="7F262433" w14:textId="77777777" w:rsidR="004A2669" w:rsidRPr="00BA0992" w:rsidRDefault="004A2669" w:rsidP="008D7EB7">
      <w:pPr>
        <w:spacing w:after="120"/>
        <w:jc w:val="both"/>
      </w:pPr>
      <w:r w:rsidRPr="00BA0992">
        <w:t>Un tel boni ne peut jamais être affecté sans discernement à la couverture de dépenses extraordinaires. Il est absolument indispensable d'en dégager d'abord les éléments constitutifs réellement disponibles, faute de quoi l'équilibre du service peut être rompu.</w:t>
      </w:r>
    </w:p>
    <w:p w14:paraId="58BDCFC1" w14:textId="77777777" w:rsidR="004A2669" w:rsidRPr="001E1353" w:rsidRDefault="004A2669" w:rsidP="008D7EB7">
      <w:pPr>
        <w:spacing w:after="120"/>
        <w:jc w:val="both"/>
      </w:pPr>
      <w:r w:rsidRPr="001E1353">
        <w:t>Sauf circonstances particulières à justifier, une commune ne peut conserver un important boni extraordinaire inemployé, alors qu'elle pourrait éviter des emprunts et aussi éviter de conserver indéfiniment des « queues » d'emprunts inutilisées et (parfois) coûteuses. Je vous invite donc à constituer un fonds de réserve extraordinaire non affecté avec les bonis cumulés des exercices antérieurs, et de l'alimenter de cette façon chaque exercice.</w:t>
      </w:r>
    </w:p>
    <w:p w14:paraId="6B6286BA" w14:textId="6E089026" w:rsidR="004A2669" w:rsidRDefault="004A2669" w:rsidP="008D7EB7">
      <w:pPr>
        <w:spacing w:after="120"/>
        <w:jc w:val="both"/>
      </w:pPr>
      <w:r w:rsidRPr="001E1353">
        <w:lastRenderedPageBreak/>
        <w:t>J'insiste toutefois de façon générale (</w:t>
      </w:r>
      <w:r w:rsidRPr="00E063FD">
        <w:t>ceci visant les services ordinaire et extraordinaire</w:t>
      </w:r>
      <w:r w:rsidRPr="001E1353">
        <w:t>) pour qu'un fonds de réserve soit soutenu matériellement par une réalité comptable</w:t>
      </w:r>
      <w:r w:rsidR="00D93198">
        <w:t xml:space="preserve">. </w:t>
      </w:r>
    </w:p>
    <w:p w14:paraId="7DC01DDF" w14:textId="77777777" w:rsidR="00B44836" w:rsidRDefault="00B44836" w:rsidP="008D7EB7">
      <w:pPr>
        <w:spacing w:after="120"/>
        <w:jc w:val="both"/>
      </w:pPr>
    </w:p>
    <w:p w14:paraId="3DD772F3" w14:textId="52578F01" w:rsidR="004A2669" w:rsidRPr="001E1353" w:rsidRDefault="004A2669" w:rsidP="00A65F14">
      <w:pPr>
        <w:pStyle w:val="Sam2"/>
      </w:pPr>
      <w:bookmarkStart w:id="3652" w:name="_Toc40185374"/>
      <w:bookmarkStart w:id="3653" w:name="_Toc40186109"/>
      <w:bookmarkStart w:id="3654" w:name="_Toc74557649"/>
      <w:bookmarkEnd w:id="3652"/>
      <w:bookmarkEnd w:id="3653"/>
      <w:r w:rsidRPr="001E1353">
        <w:t>Réserves extraordinaires</w:t>
      </w:r>
      <w:bookmarkEnd w:id="3654"/>
    </w:p>
    <w:p w14:paraId="0D61A4FB" w14:textId="77777777" w:rsidR="004A2669" w:rsidRDefault="004A2669" w:rsidP="008D7EB7">
      <w:pPr>
        <w:spacing w:after="120"/>
        <w:jc w:val="both"/>
      </w:pPr>
      <w:r w:rsidRPr="001E1353">
        <w:t>Il</w:t>
      </w:r>
      <w:r w:rsidRPr="008D7EB7">
        <w:t xml:space="preserve"> </w:t>
      </w:r>
      <w:r w:rsidRPr="001E1353">
        <w:t>est précisé que le droit est constaté en "prélèvement de la réserve extraordinaire" au moment de l'engagement de la dépense extraordinaire.</w:t>
      </w:r>
    </w:p>
    <w:p w14:paraId="65E5F1C4" w14:textId="77777777" w:rsidR="004A2669" w:rsidRDefault="004A2669" w:rsidP="008D7EB7">
      <w:pPr>
        <w:spacing w:after="120"/>
        <w:jc w:val="both"/>
      </w:pPr>
      <w:r w:rsidRPr="001E1353">
        <w:t>Si l'imputation est inférieure à l'engagement, le droit constaté à l'article 995-51 sera rectifié dans la mesure où la correction a lieu au cours du même exercice.</w:t>
      </w:r>
    </w:p>
    <w:p w14:paraId="543DC40B" w14:textId="2AC3912B" w:rsidR="004A2669" w:rsidRDefault="004A2669">
      <w:pPr>
        <w:spacing w:after="120"/>
        <w:jc w:val="both"/>
      </w:pPr>
      <w:r w:rsidRPr="001E1353">
        <w:t>S'il s'agit d'un engagement reporté, l'excédent prélevé sera annulé par l'imputation d'une dépense extraordinaire sur l'article 955-51 et la réserve ainsi réajustée.</w:t>
      </w:r>
    </w:p>
    <w:p w14:paraId="2BA4D83E" w14:textId="77777777" w:rsidR="00B44836" w:rsidRDefault="00B44836">
      <w:pPr>
        <w:spacing w:after="120"/>
        <w:jc w:val="both"/>
      </w:pPr>
    </w:p>
    <w:p w14:paraId="6096B615" w14:textId="77777777" w:rsidR="004A2669" w:rsidRPr="001E1353" w:rsidRDefault="004A2669" w:rsidP="00581DAD">
      <w:pPr>
        <w:pStyle w:val="Sam2"/>
      </w:pPr>
      <w:bookmarkStart w:id="3655" w:name="_Toc74557650"/>
      <w:r w:rsidRPr="001E1353">
        <w:t>Marchés publics</w:t>
      </w:r>
      <w:bookmarkEnd w:id="3655"/>
      <w:r w:rsidRPr="001E1353">
        <w:t xml:space="preserve"> </w:t>
      </w:r>
    </w:p>
    <w:p w14:paraId="10D4268A" w14:textId="33C15E38" w:rsidR="004A2669" w:rsidRDefault="00945630" w:rsidP="008D7EB7">
      <w:pPr>
        <w:spacing w:after="120"/>
        <w:jc w:val="both"/>
      </w:pPr>
      <w:r>
        <w:rPr>
          <w:noProof/>
          <w:lang w:val="fr-BE" w:eastAsia="fr-BE"/>
        </w:rPr>
        <mc:AlternateContent>
          <mc:Choice Requires="wps">
            <w:drawing>
              <wp:anchor distT="0" distB="0" distL="0" distR="0" simplePos="0" relativeHeight="251641856" behindDoc="1" locked="0" layoutInCell="1" allowOverlap="1" wp14:anchorId="4AE72BB0" wp14:editId="6228A8B4">
                <wp:simplePos x="0" y="0"/>
                <wp:positionH relativeFrom="page">
                  <wp:posOffset>328930</wp:posOffset>
                </wp:positionH>
                <wp:positionV relativeFrom="page">
                  <wp:posOffset>6723380</wp:posOffset>
                </wp:positionV>
                <wp:extent cx="45085" cy="201295"/>
                <wp:effectExtent l="0" t="0" r="0" b="0"/>
                <wp:wrapSquare wrapText="bothSides"/>
                <wp:docPr id="742"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4DD1" w14:textId="77777777" w:rsidR="005B484B" w:rsidRDefault="005B484B" w:rsidP="004A2669">
                            <w:pPr>
                              <w:spacing w:after="267"/>
                              <w:ind w:right="110"/>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72BB0" id="Text Box 566" o:spid="_x0000_s1028" type="#_x0000_t202" style="position:absolute;left:0;text-align:left;margin-left:25.9pt;margin-top:529.4pt;width:3.55pt;height:15.8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" filled="f" stroked="f">
                <v:textbox inset="0,0,0,0">
                  <w:txbxContent>
                    <w:p w14:paraId="58064DD1" w14:textId="77777777" w:rsidR="005B484B" w:rsidRDefault="005B484B" w:rsidP="004A2669">
                      <w:pPr>
                        <w:spacing w:after="267"/>
                        <w:ind w:right="110"/>
                        <w:textAlignment w:val="baseline"/>
                      </w:pPr>
                    </w:p>
                  </w:txbxContent>
                </v:textbox>
                <w10:wrap type="square" anchorx="page" anchory="page"/>
              </v:shape>
            </w:pict>
          </mc:Fallback>
        </mc:AlternateContent>
      </w:r>
      <w:r w:rsidR="004A2669" w:rsidRPr="001E1353">
        <w:t xml:space="preserve">Tant que les </w:t>
      </w:r>
      <w:r w:rsidR="004A2669" w:rsidRPr="000C485C">
        <w:t xml:space="preserve">crédits nécessaires et suffisants n'auront pas été prévus au budget et n'auront pas été définitivement </w:t>
      </w:r>
      <w:r w:rsidR="004A2669" w:rsidRPr="00671240">
        <w:t>approuvés</w:t>
      </w:r>
      <w:r w:rsidR="004A2669" w:rsidRPr="000C485C">
        <w:t xml:space="preserve">, les autorités communales s'abstiendront </w:t>
      </w:r>
      <w:r w:rsidR="004A2669" w:rsidRPr="000C485C">
        <w:rPr>
          <w:u w:val="single"/>
        </w:rPr>
        <w:t>d'attribuer</w:t>
      </w:r>
      <w:r w:rsidR="004A2669" w:rsidRPr="000C485C">
        <w:t xml:space="preserve"> des marchés de travaux, de fournitures ou de services, de confier des études à des auteurs de projet ou de contracter des emprunts conformément au RGCC. Le montant comptable de l'engagement d'un marché est celui découlant de l'attribution de ce marché. Il est toutefois toléré de prévoir un montant d'engagement supérieur à 100 % de l'attribution du marché afin de tenir compte anticipativement des coûts lié</w:t>
      </w:r>
      <w:r w:rsidR="00665967">
        <w:t>s</w:t>
      </w:r>
      <w:r w:rsidR="004A2669" w:rsidRPr="000C485C">
        <w:t xml:space="preserve"> à la </w:t>
      </w:r>
      <w:r w:rsidR="004A2669" w:rsidRPr="00671240">
        <w:t xml:space="preserve">révision légale du marché, </w:t>
      </w:r>
      <w:r w:rsidR="004A2669" w:rsidRPr="000C485C">
        <w:rPr>
          <w:u w:val="single"/>
        </w:rPr>
        <w:t>si celle-ci est bien prévue textuellement dans le cahier de charges</w:t>
      </w:r>
      <w:r w:rsidR="004A2669" w:rsidRPr="000C485C">
        <w:t xml:space="preserve"> (afin de se rattacher</w:t>
      </w:r>
      <w:r w:rsidR="004A2669" w:rsidRPr="001E1353">
        <w:t xml:space="preserve"> à un élément objectif et éviter des dérives). Il conviendra évidemment que le montant total ainsi défini soit bien prévu dans la décision d'attribution du Collège communal comme montant à engager (cette tolérance ne dispensant pas la commune du respect des principes classiques de la comptabilité).</w:t>
      </w:r>
    </w:p>
    <w:p w14:paraId="19F154DE" w14:textId="36B08A0B" w:rsidR="004A2669" w:rsidRDefault="004A2669" w:rsidP="008D7EB7">
      <w:pPr>
        <w:spacing w:after="120"/>
        <w:jc w:val="both"/>
      </w:pPr>
      <w:r w:rsidRPr="001E1353">
        <w:t>Il conviendra de continuer à compléter l'annexe liée aux comptes annuels</w:t>
      </w:r>
      <w:r w:rsidR="00ED3F85" w:rsidRPr="00900C39">
        <w:rPr>
          <w:vertAlign w:val="superscript"/>
        </w:rPr>
        <w:footnoteReference w:id="32"/>
      </w:r>
      <w:r w:rsidRPr="001E1353">
        <w:t xml:space="preserve"> dont le modèle est disponible sur le Portail des Pouvoirs locaux, afin d'assurer un bon suivi des procédures.</w:t>
      </w:r>
    </w:p>
    <w:p w14:paraId="02617152" w14:textId="77777777" w:rsidR="004A2669" w:rsidRPr="001E1353" w:rsidRDefault="004A2669" w:rsidP="008D7EB7">
      <w:pPr>
        <w:spacing w:after="120"/>
        <w:jc w:val="both"/>
      </w:pPr>
      <w:r w:rsidRPr="001E1353">
        <w:t>Dans le cas d’un marché pluriannuel, il est clairement admis que seul le montant couvrant la dépense de l’exercice figure au budget (qui peut être l’ordinaire ou l’extraordinaire), ce qui vaut par voie de conséquence aussi pour l’engagement. Le même raisonnement vaut pour les reconductions tacites.</w:t>
      </w:r>
    </w:p>
    <w:p w14:paraId="44A23BA8" w14:textId="77777777" w:rsidR="004A2669" w:rsidRPr="001E1353" w:rsidRDefault="004A2669" w:rsidP="008D7EB7">
      <w:pPr>
        <w:spacing w:after="120"/>
        <w:jc w:val="both"/>
      </w:pPr>
      <w:r w:rsidRPr="001E1353">
        <w:t>Concernant l’accord-cadre : son attribution (ou sa conclusion) ne vaut pas engagement ; celui-ci a lieu à chaque commande ; il n’est donc pas nécessaire de disposer du budget couvrant tout l’accord-cadre au moment de sa conclusion.</w:t>
      </w:r>
    </w:p>
    <w:p w14:paraId="4A648299" w14:textId="77777777" w:rsidR="00C63D64" w:rsidRDefault="00C63D64" w:rsidP="008D7EB7">
      <w:pPr>
        <w:spacing w:after="120"/>
        <w:jc w:val="both"/>
      </w:pPr>
      <w:r>
        <w:t xml:space="preserve">Concernant les marchés publics contenant une ou plusieurs tranches fermes et une ou plusieurs tranches conditionnelles, l’attribution ne vaut engagement qu’en ce qui concerne les tranches fermes. L’engagement des tranches conditionnelles se fera au moment de la décision prise par le Collège en vue de les mettre en œuvre. Il en va de même en ce qui concerne les marchés contenant des options. L’engagement concernant les options se fera au </w:t>
      </w:r>
      <w:r>
        <w:lastRenderedPageBreak/>
        <w:t>moment où de la décision prise par le Collège en vue de les lever (commander). Il n’est donc pas forcément nécessaire de disposer du budget couvrant l’ensemble du marché.</w:t>
      </w:r>
    </w:p>
    <w:p w14:paraId="61F1D940" w14:textId="77777777" w:rsidR="004A2669" w:rsidRDefault="004A2669" w:rsidP="008D7EB7">
      <w:pPr>
        <w:spacing w:after="120"/>
        <w:jc w:val="both"/>
      </w:pPr>
      <w:r w:rsidRPr="001E1353">
        <w:t>Le marché d'honoraires et le marché en lui-même peuvent être rattachés au même article budgétaire (et être couverts par un seul emprunt), mais ils n'en constituent pas moins deux marchés distincts nécessitant chacun sa procédure (sauf exceptions, comme les marchés de promotion).</w:t>
      </w:r>
    </w:p>
    <w:p w14:paraId="22C7EA03" w14:textId="71FE4105" w:rsidR="004A2669" w:rsidRPr="001F727D" w:rsidRDefault="004A2669" w:rsidP="008D7EB7">
      <w:pPr>
        <w:spacing w:after="120"/>
        <w:jc w:val="both"/>
      </w:pPr>
      <w:r w:rsidRPr="001E1353">
        <w:t xml:space="preserve">Quant à l'application de la réglementation en matière de marchés publics, je vous </w:t>
      </w:r>
      <w:r w:rsidR="001F727D" w:rsidRPr="008D7EB7">
        <w:t>renvoie vers la partie Marchés publics du Portail des Pouvoirs locaux (</w:t>
      </w:r>
      <w:hyperlink r:id="rId12" w:history="1">
        <w:r w:rsidR="001F727D" w:rsidRPr="008D7EB7">
          <w:t>https://interieur.wallonie.be/marches-et-patrimoine</w:t>
        </w:r>
      </w:hyperlink>
      <w:r w:rsidR="001F727D" w:rsidRPr="008D7EB7">
        <w:t>)</w:t>
      </w:r>
      <w:r w:rsidR="00ED3F85" w:rsidRPr="00ED3F85">
        <w:t>.</w:t>
      </w:r>
    </w:p>
    <w:p w14:paraId="6128FE9F" w14:textId="77777777" w:rsidR="00C63D64" w:rsidRDefault="004A2669" w:rsidP="00900C39">
      <w:pPr>
        <w:jc w:val="both"/>
      </w:pPr>
      <w:r w:rsidRPr="001E1353">
        <w:t>L'attention des autorités locales est attirée :</w:t>
      </w:r>
    </w:p>
    <w:p w14:paraId="7783F07E" w14:textId="05954ECE" w:rsidR="00C63D64" w:rsidRPr="00C63D64" w:rsidRDefault="00C63D64" w:rsidP="008D7EB7">
      <w:pPr>
        <w:pStyle w:val="Paragraphedeliste"/>
        <w:numPr>
          <w:ilvl w:val="0"/>
          <w:numId w:val="227"/>
        </w:numPr>
        <w:ind w:hanging="273"/>
        <w:jc w:val="both"/>
      </w:pPr>
      <w:proofErr w:type="gramStart"/>
      <w:r w:rsidRPr="00C63D64">
        <w:t>sur</w:t>
      </w:r>
      <w:proofErr w:type="gramEnd"/>
      <w:r w:rsidRPr="00C63D64">
        <w:t xml:space="preserve"> les lois du 17 juin 2016 relatives aux marchés publics et aux contrats de concession</w:t>
      </w:r>
      <w:r w:rsidR="00ED3F85">
        <w:rPr>
          <w:rStyle w:val="Appelnotedebasdep"/>
        </w:rPr>
        <w:footnoteReference w:id="33"/>
      </w:r>
      <w:r w:rsidRPr="00C63D64">
        <w:t>. Les mesures d’exécution de ces lois sont fixées dans les arrêtés royaux du 18 avril 2017 relatif à la passation des marchés publics dans les secteurs classiques</w:t>
      </w:r>
      <w:r w:rsidR="00ED3F85">
        <w:rPr>
          <w:rStyle w:val="Appelnotedebasdep"/>
        </w:rPr>
        <w:footnoteReference w:id="34"/>
      </w:r>
      <w:r w:rsidRPr="00C63D64">
        <w:t>, du 18 juin 2017 relatif à la passation des marchés publics dans les secteurs spéciaux</w:t>
      </w:r>
      <w:r w:rsidR="00ED3F85">
        <w:rPr>
          <w:rStyle w:val="Appelnotedebasdep"/>
        </w:rPr>
        <w:footnoteReference w:id="35"/>
      </w:r>
      <w:r w:rsidRPr="00C63D64">
        <w:t xml:space="preserve"> et du 25 juin 2017 relatif à la passation et aux règles générales d'exécution des contrats de concession</w:t>
      </w:r>
      <w:r w:rsidR="00ED3F85">
        <w:rPr>
          <w:rStyle w:val="Appelnotedebasdep"/>
        </w:rPr>
        <w:footnoteReference w:id="36"/>
      </w:r>
      <w:r w:rsidR="00AC2EAD">
        <w:t> ;</w:t>
      </w:r>
    </w:p>
    <w:p w14:paraId="012AE79B" w14:textId="11E260AD" w:rsidR="00C63D64" w:rsidRDefault="004A2669" w:rsidP="008D7EB7">
      <w:pPr>
        <w:pStyle w:val="Paragraphedeliste"/>
        <w:numPr>
          <w:ilvl w:val="0"/>
          <w:numId w:val="227"/>
        </w:numPr>
        <w:ind w:hanging="273"/>
        <w:jc w:val="both"/>
      </w:pPr>
      <w:proofErr w:type="gramStart"/>
      <w:r w:rsidRPr="002D7ED4">
        <w:t>sur</w:t>
      </w:r>
      <w:proofErr w:type="gramEnd"/>
      <w:r w:rsidRPr="002D7ED4">
        <w:t xml:space="preserve"> la loi du 17 juin 2013 relative à la motivation, à l'information, et aux voies de recours en matière de marchés publics et de certains marchés de travaux, de fournitures et de services et de concessions</w:t>
      </w:r>
      <w:r w:rsidR="00ED3F85">
        <w:rPr>
          <w:rStyle w:val="Appelnotedebasdep"/>
        </w:rPr>
        <w:footnoteReference w:id="37"/>
      </w:r>
      <w:r w:rsidR="00C63D64" w:rsidRPr="00FA52F4">
        <w:t>.</w:t>
      </w:r>
    </w:p>
    <w:p w14:paraId="34A378FB" w14:textId="3C9FF5E0" w:rsidR="001646D9" w:rsidRPr="00FA52F4" w:rsidRDefault="001646D9" w:rsidP="008D7EB7">
      <w:pPr>
        <w:pStyle w:val="Paragraphedeliste"/>
        <w:numPr>
          <w:ilvl w:val="0"/>
          <w:numId w:val="227"/>
        </w:numPr>
        <w:ind w:hanging="273"/>
        <w:jc w:val="both"/>
      </w:pPr>
      <w:proofErr w:type="gramStart"/>
      <w:r>
        <w:t>en</w:t>
      </w:r>
      <w:proofErr w:type="gramEnd"/>
      <w:r>
        <w:t xml:space="preserve"> ce qui concerne la facturation électronique, sur la loi du 7 avril 2019</w:t>
      </w:r>
      <w:r w:rsidR="00B0035F">
        <w:t xml:space="preserve"> </w:t>
      </w:r>
      <w:r w:rsidR="00796D2C">
        <w:t>modifiant diverses lois</w:t>
      </w:r>
      <w:r>
        <w:rPr>
          <w:rStyle w:val="Appelnotedebasdep"/>
        </w:rPr>
        <w:footnoteReference w:id="38"/>
      </w:r>
      <w:r>
        <w:t xml:space="preserve"> et l’arrêté royal</w:t>
      </w:r>
      <w:r w:rsidRPr="001646D9">
        <w:t xml:space="preserve"> </w:t>
      </w:r>
      <w:r>
        <w:t xml:space="preserve">du 9 mars 2022 </w:t>
      </w:r>
      <w:r w:rsidRPr="001646D9">
        <w:t>fixant les modalités rel</w:t>
      </w:r>
      <w:r>
        <w:t>atives</w:t>
      </w:r>
      <w:r w:rsidRPr="001646D9">
        <w:t xml:space="preserve"> à l’obligation pour les opérateurs économiques en matière de facturation électronique dans le cadre des marchés publics et des contrats de concession</w:t>
      </w:r>
      <w:r>
        <w:rPr>
          <w:rStyle w:val="Appelnotedebasdep"/>
        </w:rPr>
        <w:footnoteReference w:id="39"/>
      </w:r>
    </w:p>
    <w:p w14:paraId="3E13C951" w14:textId="77777777" w:rsidR="004A2669" w:rsidRPr="001E1353" w:rsidRDefault="004A2669" w:rsidP="004A2669">
      <w:pPr>
        <w:jc w:val="both"/>
        <w:rPr>
          <w:u w:val="single"/>
        </w:rPr>
      </w:pPr>
    </w:p>
    <w:p w14:paraId="181F0EEE" w14:textId="4BD4F929" w:rsidR="004A2669" w:rsidRDefault="004A2669" w:rsidP="008D7EB7">
      <w:pPr>
        <w:spacing w:after="120"/>
        <w:jc w:val="both"/>
      </w:pPr>
      <w:r w:rsidRPr="00E063FD">
        <w:t>Dans le cas particulier des marchés annulés par l'autorité de tutelle et exécutés par l'attributaire et dont la dépense n'a pas encore trouvé une nouvelle base administrative légale (voie transactionnelle prévue par les articles 2044 et 2045 du Code civil, jugement civil...)</w:t>
      </w:r>
      <w:r w:rsidRPr="008D7EB7">
        <w:t xml:space="preserve"> </w:t>
      </w:r>
      <w:r w:rsidRPr="001E1353">
        <w:t xml:space="preserve">en application des principes retenus par le Conseil d'Etat (théorie de l'acte détachable et portée des décisions de tutelle, notamment), la dépense communale peut être exécutée à partir des articles budgétaires d'origine (celui ou ceux sur lesquels la dépense annulée était prévue). Néanmoins, l'autorité de tutelle se réserve toutes voies de droit pour pallier </w:t>
      </w:r>
      <w:r w:rsidR="008D396C" w:rsidRPr="008D7EB7">
        <w:t>les</w:t>
      </w:r>
      <w:r w:rsidRPr="001E1353">
        <w:t xml:space="preserve"> comportements négligents ou relevant du droit pénal (dans pareille hypothèse, il va de soi que la commune concernée en sera informée). </w:t>
      </w:r>
    </w:p>
    <w:p w14:paraId="7C116FC8" w14:textId="74565A50" w:rsidR="004A2669" w:rsidRDefault="004A2669" w:rsidP="008D7EB7">
      <w:pPr>
        <w:spacing w:after="120"/>
        <w:jc w:val="both"/>
      </w:pPr>
      <w:r w:rsidRPr="001E1353">
        <w:t xml:space="preserve">Cette tolérance doit bien être comprise comme visant </w:t>
      </w:r>
      <w:r w:rsidR="0000555D">
        <w:t>uniquement</w:t>
      </w:r>
      <w:r w:rsidR="0000555D" w:rsidRPr="001E1353">
        <w:t xml:space="preserve"> </w:t>
      </w:r>
      <w:r w:rsidRPr="001E1353">
        <w:t xml:space="preserve">à régler la question du paiement du marché concerné (et éviter de devoir faire preuve d’imagination pour créer un article folklorique pour héberger le montant budgétaire nécessaire). Ceci n’implique </w:t>
      </w:r>
      <w:r w:rsidR="00397D73">
        <w:t>rien</w:t>
      </w:r>
      <w:r w:rsidR="00397D73" w:rsidRPr="001E1353">
        <w:t xml:space="preserve"> </w:t>
      </w:r>
      <w:r w:rsidRPr="001E1353">
        <w:t xml:space="preserve">au niveau de la responsabilité liée audit marché et aux conséquences qui vont en découler. Ceci </w:t>
      </w:r>
      <w:r w:rsidRPr="001E1353">
        <w:lastRenderedPageBreak/>
        <w:t>n’implique surtout pas que la tutelle considère que ledit marché est régularisé grâce à ce paiement.</w:t>
      </w:r>
    </w:p>
    <w:p w14:paraId="2FD399D6" w14:textId="77777777" w:rsidR="00B44836" w:rsidRDefault="00B44836" w:rsidP="008D7EB7">
      <w:pPr>
        <w:spacing w:after="120"/>
        <w:jc w:val="both"/>
      </w:pPr>
    </w:p>
    <w:p w14:paraId="4E6B572F" w14:textId="77777777" w:rsidR="003243F5" w:rsidRPr="006843B9" w:rsidRDefault="003243F5" w:rsidP="003243F5">
      <w:pPr>
        <w:suppressAutoHyphens/>
        <w:spacing w:before="120" w:after="120"/>
        <w:jc w:val="both"/>
        <w:rPr>
          <w:rFonts w:asciiTheme="minorHAnsi" w:hAnsiTheme="minorHAnsi" w:cstheme="minorHAnsi"/>
          <w:b/>
          <w:bCs/>
          <w:kern w:val="1"/>
          <w:u w:val="single"/>
          <w:lang w:eastAsia="ar-SA"/>
        </w:rPr>
      </w:pPr>
      <w:bookmarkStart w:id="3656" w:name="_Hlk73526229"/>
      <w:bookmarkStart w:id="3657" w:name="_Hlk73526190"/>
      <w:r w:rsidRPr="006843B9">
        <w:rPr>
          <w:rFonts w:asciiTheme="minorHAnsi" w:hAnsiTheme="minorHAnsi" w:cstheme="minorHAnsi"/>
          <w:b/>
          <w:bCs/>
          <w:kern w:val="1"/>
          <w:u w:val="single"/>
          <w:lang w:eastAsia="ar-SA"/>
        </w:rPr>
        <w:t>Nouveaux modèles de cahiers des charges (insertion des clauses environnementales, sociales et éthiques (dites clauses ESE)</w:t>
      </w:r>
      <w:bookmarkEnd w:id="3656"/>
    </w:p>
    <w:p w14:paraId="06FC80AB" w14:textId="77777777" w:rsidR="003243F5" w:rsidRPr="006843B9" w:rsidRDefault="003243F5" w:rsidP="003243F5">
      <w:pPr>
        <w:suppressAutoHyphens/>
        <w:spacing w:before="120"/>
        <w:jc w:val="both"/>
        <w:rPr>
          <w:rFonts w:asciiTheme="minorHAnsi" w:hAnsiTheme="minorHAnsi" w:cstheme="minorHAnsi"/>
          <w:sz w:val="22"/>
          <w:szCs w:val="22"/>
          <w:lang w:val="fr-BE" w:eastAsia="en-US"/>
        </w:rPr>
      </w:pPr>
      <w:r w:rsidRPr="006843B9">
        <w:rPr>
          <w:rFonts w:asciiTheme="minorHAnsi" w:hAnsiTheme="minorHAnsi" w:cstheme="minorHAnsi"/>
          <w:kern w:val="1"/>
          <w:lang w:eastAsia="ar-SA"/>
        </w:rPr>
        <w:t xml:space="preserve">Les pouvoirs locaux, qui sont au fondement de l’action publique, ont un rôle clef à jouer en matière de développement durable. </w:t>
      </w:r>
    </w:p>
    <w:p w14:paraId="1FE0C464" w14:textId="77777777"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Non seulement ils peuvent montrer le chemin à suivre mais aussi l’emprunter eux-mêmes dans un souci d’exemplarité.</w:t>
      </w:r>
    </w:p>
    <w:p w14:paraId="0CDAE083" w14:textId="35269EE1"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La déclaration de politique régionale est ambitieuse en la matière, et les objectifs de développement durable couvrent de nombreux champs d’action des communes et surtout des villes.</w:t>
      </w:r>
    </w:p>
    <w:p w14:paraId="43E3AD33" w14:textId="25A9FCAD"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Elles sont les premiers acteurs à pouvoir relever concrètement ces défis transversaux sur le terrain, parmi lesquels on retrouve les achats publics responsables à travers l’insertion des clauses environnementales, sociales et éthiques (dites clauses ESE).</w:t>
      </w:r>
    </w:p>
    <w:p w14:paraId="054F31A6" w14:textId="43B6A721" w:rsidR="00872C4A" w:rsidRPr="006843B9" w:rsidRDefault="00872C4A" w:rsidP="003243F5">
      <w:pPr>
        <w:suppressAutoHyphens/>
        <w:spacing w:before="120"/>
        <w:jc w:val="both"/>
        <w:rPr>
          <w:rFonts w:asciiTheme="minorHAnsi" w:hAnsiTheme="minorHAnsi" w:cstheme="minorHAnsi"/>
          <w:b/>
          <w:bCs/>
          <w:kern w:val="1"/>
          <w:lang w:eastAsia="ar-SA"/>
        </w:rPr>
      </w:pPr>
      <w:r w:rsidRPr="006843B9">
        <w:rPr>
          <w:rFonts w:asciiTheme="minorHAnsi" w:hAnsiTheme="minorHAnsi" w:cstheme="minorHAnsi"/>
          <w:b/>
          <w:bCs/>
          <w:kern w:val="1"/>
          <w:lang w:eastAsia="ar-SA"/>
        </w:rPr>
        <w:t>Ces clauses constituent également un enjeu majeur dans le cadre du Plan de relance de la Wallonie.</w:t>
      </w:r>
    </w:p>
    <w:p w14:paraId="10784C6E" w14:textId="77777777"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C’est ainsi que je vous invite à insérer des clauses ESE dans vos marchés publics afin de favoriser les achats publics de proximité, l’économie circulaire et le « zéro déchet ».</w:t>
      </w:r>
    </w:p>
    <w:p w14:paraId="7218D5B3" w14:textId="77777777"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Ces clauses seront adaptées et proportionnées à l’objet et à l’ampleur du marché concerné.</w:t>
      </w:r>
    </w:p>
    <w:p w14:paraId="3DCB27A4" w14:textId="7B2FF751" w:rsidR="003243F5"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Afin de vous aider tant dans la rédaction de vos clauses et l’insertion de celles-ci dans les documents de marché, qu’à leur vérification – aussi bien à l’occasion de l’attribution du marché qu’à son exécution - une bo</w:t>
      </w:r>
      <w:r w:rsidR="00A705C2">
        <w:rPr>
          <w:rFonts w:asciiTheme="minorHAnsi" w:hAnsiTheme="minorHAnsi" w:cstheme="minorHAnsi"/>
          <w:kern w:val="1"/>
          <w:lang w:eastAsia="ar-SA"/>
        </w:rPr>
        <w:t>î</w:t>
      </w:r>
      <w:r w:rsidRPr="006843B9">
        <w:rPr>
          <w:rFonts w:asciiTheme="minorHAnsi" w:hAnsiTheme="minorHAnsi" w:cstheme="minorHAnsi"/>
          <w:kern w:val="1"/>
          <w:lang w:eastAsia="ar-SA"/>
        </w:rPr>
        <w:t xml:space="preserve">te à outils </w:t>
      </w:r>
      <w:r w:rsidR="00A97244">
        <w:rPr>
          <w:rFonts w:asciiTheme="minorHAnsi" w:hAnsiTheme="minorHAnsi" w:cstheme="minorHAnsi"/>
          <w:kern w:val="1"/>
          <w:lang w:eastAsia="ar-SA"/>
        </w:rPr>
        <w:t>est</w:t>
      </w:r>
      <w:r w:rsidRPr="006843B9">
        <w:rPr>
          <w:rFonts w:asciiTheme="minorHAnsi" w:hAnsiTheme="minorHAnsi" w:cstheme="minorHAnsi"/>
          <w:kern w:val="1"/>
          <w:lang w:eastAsia="ar-SA"/>
        </w:rPr>
        <w:t xml:space="preserve"> mise en ligne sur le portail </w:t>
      </w:r>
      <w:r w:rsidR="00E44D73">
        <w:rPr>
          <w:rFonts w:asciiTheme="minorHAnsi" w:hAnsiTheme="minorHAnsi" w:cstheme="minorHAnsi"/>
          <w:kern w:val="1"/>
          <w:lang w:eastAsia="ar-SA"/>
        </w:rPr>
        <w:t xml:space="preserve">des marchés publics, à </w:t>
      </w:r>
      <w:proofErr w:type="gramStart"/>
      <w:r w:rsidR="00E44D73">
        <w:rPr>
          <w:rFonts w:asciiTheme="minorHAnsi" w:hAnsiTheme="minorHAnsi" w:cstheme="minorHAnsi"/>
          <w:kern w:val="1"/>
          <w:lang w:eastAsia="ar-SA"/>
        </w:rPr>
        <w:t>l’adresse :</w:t>
      </w:r>
      <w:r w:rsidRPr="006843B9">
        <w:rPr>
          <w:rFonts w:asciiTheme="minorHAnsi" w:hAnsiTheme="minorHAnsi" w:cstheme="minorHAnsi"/>
          <w:kern w:val="1"/>
          <w:lang w:eastAsia="ar-SA"/>
        </w:rPr>
        <w:t>.</w:t>
      </w:r>
      <w:proofErr w:type="gramEnd"/>
      <w:r w:rsidRPr="006843B9">
        <w:rPr>
          <w:rFonts w:asciiTheme="minorHAnsi" w:hAnsiTheme="minorHAnsi" w:cstheme="minorHAnsi"/>
          <w:kern w:val="1"/>
          <w:lang w:eastAsia="ar-SA"/>
        </w:rPr>
        <w:t xml:space="preserve"> </w:t>
      </w:r>
      <w:r w:rsidR="00E44D73" w:rsidRPr="00E44D73">
        <w:t xml:space="preserve"> </w:t>
      </w:r>
      <w:bookmarkStart w:id="3658" w:name="_Hlk105664428"/>
      <w:r w:rsidR="00E44D73" w:rsidRPr="00E44D73">
        <w:rPr>
          <w:rFonts w:asciiTheme="minorHAnsi" w:hAnsiTheme="minorHAnsi" w:cstheme="minorHAnsi"/>
          <w:kern w:val="1"/>
          <w:lang w:eastAsia="ar-SA"/>
        </w:rPr>
        <w:fldChar w:fldCharType="begin"/>
      </w:r>
      <w:r w:rsidR="00E44D73" w:rsidRPr="00E44D73">
        <w:rPr>
          <w:rFonts w:asciiTheme="minorHAnsi" w:hAnsiTheme="minorHAnsi" w:cstheme="minorHAnsi"/>
          <w:kern w:val="1"/>
          <w:lang w:eastAsia="ar-SA"/>
        </w:rPr>
        <w:instrText xml:space="preserve"> HYPERLINK "https://eur01.safelinks.protection.outlook.com/?url=https%3A%2F%2Fmarchespublics.wallonie.be%2Fhome%2Foutils%2Fboite-a-outils-pouvoirs-locaux-clauses-ese.html&amp;data=05%7C01%7Ceric.henry%40gov.wallonie.be%7Ce3b034fb1df64faab01208da495f0d5a%7Ca289a64fca4a4f1cad3f0d971717aeb8%7C0%7C0%7C637902969834841859%7CUnknown%7CTWFpbGZsb3d8eyJWIjoiMC4wLjAwMDAiLCJQIjoiV2luMzIiLCJBTiI6Ik1haWwiLCJXVCI6Mn0%3D%7C3000%7C%7C%7C&amp;sdata=1mqNXCeMuZw165sTuziIzOXdHMvAN%2FeB%2FOaIIEcXmU4%3D&amp;reserved=0" </w:instrText>
      </w:r>
      <w:r w:rsidR="00E44D73" w:rsidRPr="00E44D73">
        <w:rPr>
          <w:rFonts w:asciiTheme="minorHAnsi" w:hAnsiTheme="minorHAnsi" w:cstheme="minorHAnsi"/>
          <w:kern w:val="1"/>
          <w:lang w:eastAsia="ar-SA"/>
        </w:rPr>
        <w:fldChar w:fldCharType="separate"/>
      </w:r>
      <w:r w:rsidR="00E44D73" w:rsidRPr="00E44D73">
        <w:rPr>
          <w:rStyle w:val="Lienhypertexte"/>
          <w:rFonts w:asciiTheme="minorHAnsi" w:hAnsiTheme="minorHAnsi" w:cstheme="minorHAnsi"/>
          <w:kern w:val="1"/>
          <w:lang w:eastAsia="ar-SA"/>
        </w:rPr>
        <w:t>https://marchespublics.wallonie.be/home/outils/boite-a-outils-pouvoirs-locaux-clauses-ese.html</w:t>
      </w:r>
      <w:r w:rsidR="00E44D73" w:rsidRPr="00E44D73">
        <w:rPr>
          <w:rFonts w:asciiTheme="minorHAnsi" w:hAnsiTheme="minorHAnsi" w:cstheme="minorHAnsi"/>
          <w:kern w:val="1"/>
          <w:lang w:eastAsia="ar-SA"/>
        </w:rPr>
        <w:fldChar w:fldCharType="end"/>
      </w:r>
      <w:bookmarkEnd w:id="3658"/>
    </w:p>
    <w:p w14:paraId="35BCA2E8" w14:textId="77777777"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 xml:space="preserve">Vous y retrouverez d’une part, des fiches reprenant les outils déjà existants et d’autre part, des clauses-types classées par marché régulier type. </w:t>
      </w:r>
    </w:p>
    <w:p w14:paraId="20C28071" w14:textId="77777777" w:rsidR="003243F5" w:rsidRPr="006843B9" w:rsidRDefault="003243F5" w:rsidP="003243F5">
      <w:pPr>
        <w:suppressAutoHyphens/>
        <w:spacing w:before="120"/>
        <w:jc w:val="both"/>
        <w:rPr>
          <w:rFonts w:asciiTheme="minorHAnsi" w:hAnsiTheme="minorHAnsi" w:cstheme="minorHAnsi"/>
          <w:kern w:val="1"/>
          <w:lang w:eastAsia="ar-SA"/>
        </w:rPr>
      </w:pPr>
      <w:r w:rsidRPr="006843B9">
        <w:rPr>
          <w:rFonts w:asciiTheme="minorHAnsi" w:hAnsiTheme="minorHAnsi" w:cstheme="minorHAnsi"/>
          <w:kern w:val="1"/>
          <w:lang w:eastAsia="ar-SA"/>
        </w:rPr>
        <w:t>Cette boite à outils est évolutive puisqu’elle sera régulièrement alimentée en fiches et clauses nouvelles.</w:t>
      </w:r>
    </w:p>
    <w:bookmarkEnd w:id="3657"/>
    <w:p w14:paraId="67B6D318" w14:textId="1111E0C2" w:rsidR="00DC617B" w:rsidRDefault="00DC617B" w:rsidP="008D7EB7">
      <w:pPr>
        <w:spacing w:after="120"/>
        <w:jc w:val="both"/>
        <w:rPr>
          <w:rFonts w:asciiTheme="minorHAnsi" w:hAnsiTheme="minorHAnsi" w:cstheme="minorHAnsi"/>
        </w:rPr>
      </w:pPr>
      <w:r w:rsidRPr="006843B9">
        <w:rPr>
          <w:rFonts w:asciiTheme="minorHAnsi" w:hAnsiTheme="minorHAnsi" w:cstheme="minorHAnsi"/>
        </w:rPr>
        <w:t xml:space="preserve">Enfin, j’attire votre attention sur la Charte pour des achats publics responsables (Green Deal achats circulaires) disponible sur le site </w:t>
      </w:r>
      <w:hyperlink r:id="rId13" w:history="1">
        <w:r w:rsidRPr="006843B9">
          <w:rPr>
            <w:rFonts w:asciiTheme="minorHAnsi" w:hAnsiTheme="minorHAnsi" w:cstheme="minorHAnsi"/>
          </w:rPr>
          <w:t>http://economiecirculaire.wallonie.be</w:t>
        </w:r>
      </w:hyperlink>
      <w:r w:rsidRPr="006843B9">
        <w:rPr>
          <w:rFonts w:asciiTheme="minorHAnsi" w:hAnsiTheme="minorHAnsi" w:cstheme="minorHAnsi"/>
        </w:rPr>
        <w:t>.</w:t>
      </w:r>
    </w:p>
    <w:p w14:paraId="43FA5959" w14:textId="77777777" w:rsidR="004A2669" w:rsidRPr="001E1353" w:rsidRDefault="004A2669" w:rsidP="00581DAD">
      <w:pPr>
        <w:pStyle w:val="Sam2"/>
      </w:pPr>
      <w:bookmarkStart w:id="3659" w:name="_Toc40185378"/>
      <w:bookmarkStart w:id="3660" w:name="_Toc40186113"/>
      <w:bookmarkStart w:id="3661" w:name="_Toc74557651"/>
      <w:bookmarkEnd w:id="3659"/>
      <w:bookmarkEnd w:id="3660"/>
      <w:r w:rsidRPr="001E1353">
        <w:t>Investissement par leasing</w:t>
      </w:r>
      <w:bookmarkEnd w:id="3661"/>
    </w:p>
    <w:p w14:paraId="76427163" w14:textId="77777777" w:rsidR="004A2669" w:rsidRDefault="004A2669" w:rsidP="008D7EB7">
      <w:pPr>
        <w:spacing w:after="120"/>
        <w:jc w:val="both"/>
      </w:pPr>
      <w:r w:rsidRPr="001E1353">
        <w:t>Les investissements financés par leasing doivent figurer au budget extraordinaire sous des articles de dépenses 748-5x pour le montant de l'investissement et sous un article de recette 961-53 pour le montant emprunté.</w:t>
      </w:r>
    </w:p>
    <w:p w14:paraId="4B97656F" w14:textId="0C6A2EB1" w:rsidR="004A2669" w:rsidRPr="001E1353" w:rsidRDefault="004A2669" w:rsidP="008D7EB7">
      <w:pPr>
        <w:spacing w:after="120"/>
        <w:jc w:val="both"/>
      </w:pPr>
      <w:r w:rsidRPr="001E1353">
        <w:t>La procédure de souscription d'un leasing est exactement similaire à celle d'un emprunt traditionnel</w:t>
      </w:r>
      <w:r w:rsidR="00397D73">
        <w:t xml:space="preserve"> et figure dans la balise d’emprunts</w:t>
      </w:r>
      <w:r w:rsidR="00435741">
        <w:t xml:space="preserve"> et pris en compte dans les ratios de charge de dette et d’endettement</w:t>
      </w:r>
      <w:r w:rsidRPr="001E1353">
        <w:t>. Les charges périodiques de leasing figurent au budget ordinaire (voir ci-avant).</w:t>
      </w:r>
    </w:p>
    <w:p w14:paraId="0A1B3FC0" w14:textId="77777777" w:rsidR="004A2669" w:rsidRPr="001E1353" w:rsidRDefault="004A2669" w:rsidP="00581DAD">
      <w:pPr>
        <w:pStyle w:val="Sam2"/>
      </w:pPr>
      <w:bookmarkStart w:id="3662" w:name="_Toc74557652"/>
      <w:r w:rsidRPr="001E1353">
        <w:lastRenderedPageBreak/>
        <w:t>Achat et vente de biens immobiliers</w:t>
      </w:r>
      <w:bookmarkEnd w:id="3662"/>
      <w:r w:rsidRPr="001E1353">
        <w:t xml:space="preserve"> </w:t>
      </w:r>
    </w:p>
    <w:p w14:paraId="751EFEBB" w14:textId="0A4D97D5" w:rsidR="00B02070" w:rsidRDefault="004A2669" w:rsidP="008D7EB7">
      <w:pPr>
        <w:spacing w:after="200" w:line="276" w:lineRule="auto"/>
        <w:jc w:val="both"/>
      </w:pPr>
      <w:r w:rsidRPr="001E1353">
        <w:t>Je vous invite à vous référer à la circulaire du 23 février 2016 portant sur les opérations immobilières des pouvoirs locaux</w:t>
      </w:r>
      <w:r w:rsidR="00ED3F85">
        <w:rPr>
          <w:rStyle w:val="Appelnotedebasdep"/>
        </w:rPr>
        <w:footnoteReference w:id="40"/>
      </w:r>
      <w:r w:rsidRPr="001E1353">
        <w:t>.</w:t>
      </w:r>
    </w:p>
    <w:p w14:paraId="35959BF2" w14:textId="77777777" w:rsidR="00B44836" w:rsidRDefault="00B44836" w:rsidP="008D7EB7">
      <w:pPr>
        <w:spacing w:after="200" w:line="276" w:lineRule="auto"/>
        <w:jc w:val="both"/>
      </w:pPr>
    </w:p>
    <w:p w14:paraId="6818B7A6" w14:textId="77777777" w:rsidR="00DC5EFB" w:rsidRDefault="00467E48" w:rsidP="00541AFA">
      <w:pPr>
        <w:pStyle w:val="Sam1"/>
        <w:spacing w:after="480"/>
      </w:pPr>
      <w:bookmarkStart w:id="3663" w:name="_Toc40185381"/>
      <w:bookmarkStart w:id="3664" w:name="_Toc40186116"/>
      <w:bookmarkStart w:id="3665" w:name="_Toc6415705"/>
      <w:bookmarkStart w:id="3666" w:name="_Toc6416014"/>
      <w:bookmarkStart w:id="3667" w:name="_Toc6995619"/>
      <w:bookmarkStart w:id="3668" w:name="_Toc6995923"/>
      <w:bookmarkStart w:id="3669" w:name="_Toc6996218"/>
      <w:bookmarkStart w:id="3670" w:name="_Toc6997709"/>
      <w:bookmarkStart w:id="3671" w:name="_Toc7016485"/>
      <w:bookmarkStart w:id="3672" w:name="_Toc7020653"/>
      <w:bookmarkStart w:id="3673" w:name="_Toc7094714"/>
      <w:bookmarkStart w:id="3674" w:name="_Toc8121745"/>
      <w:bookmarkStart w:id="3675" w:name="_Toc8129686"/>
      <w:bookmarkStart w:id="3676" w:name="_Toc516245038"/>
      <w:bookmarkStart w:id="3677" w:name="_Toc516473610"/>
      <w:bookmarkStart w:id="3678" w:name="_Toc516473920"/>
      <w:bookmarkStart w:id="3679" w:name="_Toc516474230"/>
      <w:bookmarkStart w:id="3680" w:name="_Toc516474538"/>
      <w:bookmarkStart w:id="3681" w:name="_Toc516474870"/>
      <w:bookmarkStart w:id="3682" w:name="_Toc516478901"/>
      <w:bookmarkStart w:id="3683" w:name="_Toc516479364"/>
      <w:bookmarkStart w:id="3684" w:name="_Toc516479681"/>
      <w:bookmarkStart w:id="3685" w:name="_Toc516480003"/>
      <w:bookmarkStart w:id="3686" w:name="_Toc516480317"/>
      <w:bookmarkStart w:id="3687" w:name="_Toc516480631"/>
      <w:bookmarkStart w:id="3688" w:name="_Toc516480945"/>
      <w:bookmarkStart w:id="3689" w:name="_Toc516481259"/>
      <w:bookmarkStart w:id="3690" w:name="_Toc516481573"/>
      <w:bookmarkStart w:id="3691" w:name="_Toc516481887"/>
      <w:bookmarkStart w:id="3692" w:name="_Toc516482201"/>
      <w:bookmarkStart w:id="3693" w:name="_Toc516482515"/>
      <w:bookmarkStart w:id="3694" w:name="_Toc516739637"/>
      <w:bookmarkStart w:id="3695" w:name="_Toc516751550"/>
      <w:bookmarkStart w:id="3696" w:name="_Toc516825638"/>
      <w:bookmarkStart w:id="3697" w:name="_Toc516826196"/>
      <w:bookmarkStart w:id="3698" w:name="_Toc516837516"/>
      <w:bookmarkStart w:id="3699" w:name="_Toc516838075"/>
      <w:bookmarkStart w:id="3700" w:name="_Toc516838634"/>
      <w:bookmarkStart w:id="3701" w:name="_Toc516839194"/>
      <w:bookmarkStart w:id="3702" w:name="_Toc517173290"/>
      <w:bookmarkStart w:id="3703" w:name="_Toc517174964"/>
      <w:bookmarkStart w:id="3704" w:name="_Toc517175551"/>
      <w:bookmarkStart w:id="3705" w:name="_Toc517176139"/>
      <w:bookmarkStart w:id="3706" w:name="_Toc517337464"/>
      <w:bookmarkStart w:id="3707" w:name="_Toc517360259"/>
      <w:bookmarkStart w:id="3708" w:name="_Toc6415706"/>
      <w:bookmarkStart w:id="3709" w:name="_Toc6416015"/>
      <w:bookmarkStart w:id="3710" w:name="_Toc6995620"/>
      <w:bookmarkStart w:id="3711" w:name="_Toc6995924"/>
      <w:bookmarkStart w:id="3712" w:name="_Toc6996219"/>
      <w:bookmarkStart w:id="3713" w:name="_Toc6997710"/>
      <w:bookmarkStart w:id="3714" w:name="_Toc7016486"/>
      <w:bookmarkStart w:id="3715" w:name="_Toc7020654"/>
      <w:bookmarkStart w:id="3716" w:name="_Toc7094715"/>
      <w:bookmarkStart w:id="3717" w:name="_Toc8121746"/>
      <w:bookmarkStart w:id="3718" w:name="_Toc8129687"/>
      <w:bookmarkStart w:id="3719" w:name="_Toc6415707"/>
      <w:bookmarkStart w:id="3720" w:name="_Toc6416016"/>
      <w:bookmarkStart w:id="3721" w:name="_Toc6995621"/>
      <w:bookmarkStart w:id="3722" w:name="_Toc6995925"/>
      <w:bookmarkStart w:id="3723" w:name="_Toc6996220"/>
      <w:bookmarkStart w:id="3724" w:name="_Toc6997711"/>
      <w:bookmarkStart w:id="3725" w:name="_Toc7016487"/>
      <w:bookmarkStart w:id="3726" w:name="_Toc7020655"/>
      <w:bookmarkStart w:id="3727" w:name="_Toc7094716"/>
      <w:bookmarkStart w:id="3728" w:name="_Toc8121747"/>
      <w:bookmarkStart w:id="3729" w:name="_Toc8129688"/>
      <w:bookmarkStart w:id="3730" w:name="_Toc517360261"/>
      <w:bookmarkStart w:id="3731" w:name="_Toc74557653"/>
      <w:bookmarkStart w:id="3732" w:name="_Toc512523760"/>
      <w:bookmarkStart w:id="3733" w:name="_Toc512525450"/>
      <w:bookmarkStart w:id="3734" w:name="_Toc515896757"/>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r>
        <w:t>Fiscalité communale : r</w:t>
      </w:r>
      <w:r w:rsidR="002F45FA">
        <w:t>ecommandations générales</w:t>
      </w:r>
      <w:bookmarkEnd w:id="3731"/>
    </w:p>
    <w:p w14:paraId="174A5CC9" w14:textId="77777777" w:rsidR="009B153C" w:rsidRPr="00DC5EFB" w:rsidRDefault="009B153C" w:rsidP="00900C39">
      <w:pPr>
        <w:pStyle w:val="Sam2"/>
        <w:spacing w:before="120" w:after="120"/>
      </w:pPr>
      <w:bookmarkStart w:id="3735" w:name="_Toc516229645"/>
      <w:bookmarkStart w:id="3736" w:name="_Toc516229940"/>
      <w:bookmarkStart w:id="3737" w:name="_Toc516230235"/>
      <w:bookmarkStart w:id="3738" w:name="_Toc516230530"/>
      <w:bookmarkStart w:id="3739" w:name="_Toc516230824"/>
      <w:bookmarkStart w:id="3740" w:name="_Toc516231118"/>
      <w:bookmarkStart w:id="3741" w:name="_Toc516231413"/>
      <w:bookmarkStart w:id="3742" w:name="_Toc516231709"/>
      <w:bookmarkStart w:id="3743" w:name="_Toc516242804"/>
      <w:bookmarkStart w:id="3744" w:name="_Toc516243107"/>
      <w:bookmarkStart w:id="3745" w:name="_Toc516245041"/>
      <w:bookmarkStart w:id="3746" w:name="_Toc516473613"/>
      <w:bookmarkStart w:id="3747" w:name="_Toc516473923"/>
      <w:bookmarkStart w:id="3748" w:name="_Toc516474233"/>
      <w:bookmarkStart w:id="3749" w:name="_Toc516474541"/>
      <w:bookmarkStart w:id="3750" w:name="_Toc516474873"/>
      <w:bookmarkStart w:id="3751" w:name="_Toc516478904"/>
      <w:bookmarkStart w:id="3752" w:name="_Toc516479367"/>
      <w:bookmarkStart w:id="3753" w:name="_Toc516479684"/>
      <w:bookmarkStart w:id="3754" w:name="_Toc516480006"/>
      <w:bookmarkStart w:id="3755" w:name="_Toc516480320"/>
      <w:bookmarkStart w:id="3756" w:name="_Toc516480634"/>
      <w:bookmarkStart w:id="3757" w:name="_Toc516480948"/>
      <w:bookmarkStart w:id="3758" w:name="_Toc516481262"/>
      <w:bookmarkStart w:id="3759" w:name="_Toc516481576"/>
      <w:bookmarkStart w:id="3760" w:name="_Toc516481890"/>
      <w:bookmarkStart w:id="3761" w:name="_Toc516482204"/>
      <w:bookmarkStart w:id="3762" w:name="_Toc516482518"/>
      <w:bookmarkStart w:id="3763" w:name="_Toc516739640"/>
      <w:bookmarkStart w:id="3764" w:name="_Toc516751553"/>
      <w:bookmarkStart w:id="3765" w:name="_Toc516825641"/>
      <w:bookmarkStart w:id="3766" w:name="_Toc516826199"/>
      <w:bookmarkStart w:id="3767" w:name="_Toc516837519"/>
      <w:bookmarkStart w:id="3768" w:name="_Toc516838078"/>
      <w:bookmarkStart w:id="3769" w:name="_Toc516838637"/>
      <w:bookmarkStart w:id="3770" w:name="_Toc516839197"/>
      <w:bookmarkStart w:id="3771" w:name="_Toc517173293"/>
      <w:bookmarkStart w:id="3772" w:name="_Toc517174967"/>
      <w:bookmarkStart w:id="3773" w:name="_Toc517175554"/>
      <w:bookmarkStart w:id="3774" w:name="_Toc517176142"/>
      <w:bookmarkStart w:id="3775" w:name="_Toc517337467"/>
      <w:bookmarkStart w:id="3776" w:name="_Toc517360263"/>
      <w:bookmarkStart w:id="3777" w:name="_Toc512523761"/>
      <w:bookmarkStart w:id="3778" w:name="_Toc512525451"/>
      <w:bookmarkStart w:id="3779" w:name="_Toc515896758"/>
      <w:bookmarkStart w:id="3780" w:name="_Toc74557654"/>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r w:rsidRPr="00DC5EFB">
        <w:t>Introduction</w:t>
      </w:r>
      <w:bookmarkEnd w:id="3777"/>
      <w:bookmarkEnd w:id="3778"/>
      <w:bookmarkEnd w:id="3779"/>
      <w:bookmarkEnd w:id="3780"/>
      <w:r w:rsidRPr="00DC5EFB">
        <w:t xml:space="preserve"> </w:t>
      </w:r>
    </w:p>
    <w:p w14:paraId="1AD639B4"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L'autonomie fiscale dévolue aux pouvoirs locaux doit se concilier avec la responsabilité que s'est donnée le Gouvernement wallon de veiller à la préservation de l'intérêt général qui implique de veiller à ce que la politique fiscale des pouvoirs locaux s'intègre dans le cadre plus global de l'ensemble des fiscalités qui pèsent sur les entreprises et les citoyens wallons.</w:t>
      </w:r>
    </w:p>
    <w:p w14:paraId="27706816"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Il convient donc que les pouvoirs locaux veillent à pratiquer des politiques cohérentes et raisonnables et que l'effort financier demandé aux contribuables conserve un caractère de juste participation à la vie de la Région.</w:t>
      </w:r>
    </w:p>
    <w:p w14:paraId="1E55E897" w14:textId="640C7B41"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Je souhaite que les Conseils communaux maintiennent leur collaboration à la poursuite de cet objectif lors de l'exercice </w:t>
      </w:r>
      <w:r w:rsidR="00B37BFF">
        <w:rPr>
          <w:rFonts w:asciiTheme="minorHAnsi" w:hAnsiTheme="minorHAnsi" w:cs="Calibri Light"/>
        </w:rPr>
        <w:t>2023</w:t>
      </w:r>
      <w:r w:rsidRPr="00DA6BD2">
        <w:rPr>
          <w:rFonts w:asciiTheme="minorHAnsi" w:hAnsiTheme="minorHAnsi" w:cs="Calibri Light"/>
        </w:rPr>
        <w:t>.</w:t>
      </w:r>
    </w:p>
    <w:p w14:paraId="60C89F1A" w14:textId="3AD615CA" w:rsidR="009B153C" w:rsidRPr="00DA6BD2" w:rsidRDefault="009B153C" w:rsidP="00541AFA">
      <w:pPr>
        <w:spacing w:before="120" w:after="120"/>
        <w:jc w:val="both"/>
        <w:textAlignment w:val="baseline"/>
        <w:rPr>
          <w:rFonts w:asciiTheme="minorHAnsi" w:hAnsiTheme="minorHAnsi" w:cs="Calibri Light"/>
        </w:rPr>
      </w:pPr>
      <w:r w:rsidRPr="00DA6BD2">
        <w:rPr>
          <w:rFonts w:asciiTheme="minorHAnsi" w:hAnsiTheme="minorHAnsi" w:cs="Calibri Light"/>
        </w:rPr>
        <w:t xml:space="preserve">J'invite ainsi ces Conseils à limiter les champs de leur fiscalité aux taxes reprises à la nomenclature figurant </w:t>
      </w:r>
      <w:r w:rsidR="006402A2">
        <w:rPr>
          <w:rFonts w:asciiTheme="minorHAnsi" w:hAnsiTheme="minorHAnsi" w:cs="Calibri Light"/>
        </w:rPr>
        <w:t>ci-après</w:t>
      </w:r>
      <w:r w:rsidRPr="00DA6BD2">
        <w:rPr>
          <w:rFonts w:asciiTheme="minorHAnsi" w:hAnsiTheme="minorHAnsi" w:cs="Calibri Light"/>
        </w:rPr>
        <w:t>. La pratique a démontré que le choix de ces taxes, communément appliquées aux taux recommandés, garantit une plus grande sécurité juridique et ne risque pas de blesser l'intérêt général. Pour rappel, hormis lorsque de nouvelles recommandations sont apparues depuis 1</w:t>
      </w:r>
      <w:r w:rsidRPr="00DA6BD2">
        <w:rPr>
          <w:rFonts w:asciiTheme="minorHAnsi" w:hAnsiTheme="minorHAnsi" w:cs="Calibri Light"/>
          <w:vertAlign w:val="superscript"/>
        </w:rPr>
        <w:t>er</w:t>
      </w:r>
      <w:r w:rsidRPr="00DA6BD2">
        <w:rPr>
          <w:rFonts w:asciiTheme="minorHAnsi" w:hAnsiTheme="minorHAnsi" w:cs="Calibri Light"/>
        </w:rPr>
        <w:t xml:space="preserve"> janvier 1998, les taxes qui ne sont plus reprises dans la nomenclature ci-annexée ainsi que les taux supérieurs à ceux figurant dans ladite nomenclature, que les communes possédaient au 1</w:t>
      </w:r>
      <w:r w:rsidRPr="00DA6BD2">
        <w:rPr>
          <w:rFonts w:asciiTheme="minorHAnsi" w:hAnsiTheme="minorHAnsi" w:cs="Calibri Light"/>
          <w:vertAlign w:val="superscript"/>
        </w:rPr>
        <w:t>er</w:t>
      </w:r>
      <w:r w:rsidRPr="00DA6BD2">
        <w:rPr>
          <w:rFonts w:asciiTheme="minorHAnsi" w:hAnsiTheme="minorHAnsi" w:cs="Calibri Light"/>
        </w:rPr>
        <w:t xml:space="preserve"> janvier 1998, peuvent néanmoins être maintenus sans obstacle sauf les taxes relatives :</w:t>
      </w:r>
    </w:p>
    <w:p w14:paraId="0B8C95C5" w14:textId="74858E0F" w:rsidR="009B153C" w:rsidRPr="009A66C7" w:rsidRDefault="00ED3F85" w:rsidP="008D7EB7">
      <w:pPr>
        <w:pStyle w:val="Paragraphedeliste"/>
        <w:numPr>
          <w:ilvl w:val="0"/>
          <w:numId w:val="227"/>
        </w:numPr>
        <w:ind w:hanging="273"/>
        <w:jc w:val="both"/>
      </w:pPr>
      <w:proofErr w:type="gramStart"/>
      <w:r w:rsidRPr="009A66C7">
        <w:t>a</w:t>
      </w:r>
      <w:r w:rsidR="009B153C" w:rsidRPr="009A66C7">
        <w:t>ux</w:t>
      </w:r>
      <w:proofErr w:type="gramEnd"/>
      <w:r w:rsidR="009B153C" w:rsidRPr="009A66C7">
        <w:t xml:space="preserve"> automates </w:t>
      </w:r>
      <w:r w:rsidR="001E10A5">
        <w:t>de toute nature (les pompes à carburant, les appareils délivrant des boissons, des aliments, des tabacs, des billets de banque, les guichets automatisés des banques, les lecteurs optiques, ..)</w:t>
      </w:r>
      <w:r w:rsidR="009B153C" w:rsidRPr="009A66C7">
        <w:t xml:space="preserve"> ;</w:t>
      </w:r>
    </w:p>
    <w:p w14:paraId="2B5A5A91" w14:textId="011C0E9B" w:rsidR="009B153C" w:rsidRPr="00AC2EAD" w:rsidRDefault="00ED3F85" w:rsidP="008D7EB7">
      <w:pPr>
        <w:pStyle w:val="Paragraphedeliste"/>
        <w:numPr>
          <w:ilvl w:val="0"/>
          <w:numId w:val="227"/>
        </w:numPr>
        <w:ind w:hanging="273"/>
        <w:jc w:val="both"/>
      </w:pPr>
      <w:proofErr w:type="gramStart"/>
      <w:r w:rsidRPr="00AC2EAD">
        <w:t>a</w:t>
      </w:r>
      <w:r w:rsidR="009B153C" w:rsidRPr="00AC2EAD">
        <w:t>u</w:t>
      </w:r>
      <w:proofErr w:type="gramEnd"/>
      <w:r w:rsidR="009B153C" w:rsidRPr="00AC2EAD">
        <w:t xml:space="preserve"> personnel occupé ;</w:t>
      </w:r>
    </w:p>
    <w:p w14:paraId="445148C3" w14:textId="2C68FB05" w:rsidR="009B153C" w:rsidRPr="00AC2EAD" w:rsidRDefault="00ED3F85" w:rsidP="008D7EB7">
      <w:pPr>
        <w:pStyle w:val="Paragraphedeliste"/>
        <w:numPr>
          <w:ilvl w:val="0"/>
          <w:numId w:val="227"/>
        </w:numPr>
        <w:ind w:hanging="273"/>
        <w:jc w:val="both"/>
      </w:pPr>
      <w:proofErr w:type="gramStart"/>
      <w:r w:rsidRPr="00AC2EAD">
        <w:t>a</w:t>
      </w:r>
      <w:r w:rsidR="009B153C" w:rsidRPr="00AC2EAD">
        <w:t>ux</w:t>
      </w:r>
      <w:proofErr w:type="gramEnd"/>
      <w:r w:rsidR="009B153C" w:rsidRPr="00AC2EAD">
        <w:t xml:space="preserve"> immeubles exonérés du précompte immobilier par la Région wallonne.</w:t>
      </w:r>
    </w:p>
    <w:p w14:paraId="7D6143BE" w14:textId="78C4945A" w:rsidR="004E1E5D" w:rsidRDefault="009B153C" w:rsidP="00E063FD">
      <w:pPr>
        <w:spacing w:before="120"/>
        <w:jc w:val="both"/>
        <w:textAlignment w:val="baseline"/>
        <w:rPr>
          <w:rFonts w:asciiTheme="minorHAnsi" w:hAnsiTheme="minorHAnsi" w:cs="Calibri Light"/>
          <w:b/>
        </w:rPr>
      </w:pPr>
      <w:r w:rsidRPr="00DA6BD2">
        <w:rPr>
          <w:rFonts w:asciiTheme="minorHAnsi" w:hAnsiTheme="minorHAnsi" w:cs="Calibri Light"/>
        </w:rPr>
        <w:t xml:space="preserve">Pour tout renouvellement d’un règlement-taxe en vigueur à la date de la présente circulaire existant et présentant un taux supérieur à celui repris dans la présente nomenclature, la commune concernée devra m’adresser une note détaillant l’historique ayant mené la commune à adopter ce taux, ainsi que les éventuelles raisons l’empêchant </w:t>
      </w:r>
      <w:r w:rsidR="00046CE1">
        <w:rPr>
          <w:rFonts w:asciiTheme="minorHAnsi" w:hAnsiTheme="minorHAnsi" w:cs="Calibri Light"/>
        </w:rPr>
        <w:t>d’</w:t>
      </w:r>
      <w:r w:rsidRPr="00DA6BD2">
        <w:rPr>
          <w:rFonts w:asciiTheme="minorHAnsi" w:hAnsiTheme="minorHAnsi" w:cs="Calibri Light"/>
        </w:rPr>
        <w:t xml:space="preserve">amener le taux de la taxe concernée dans la limite énoncée dans cette nomenclature. </w:t>
      </w:r>
      <w:r w:rsidRPr="00ED3F85">
        <w:rPr>
          <w:rFonts w:asciiTheme="minorHAnsi" w:hAnsiTheme="minorHAnsi" w:cs="Calibri Light"/>
        </w:rPr>
        <w:t>Cette disposition</w:t>
      </w:r>
      <w:r w:rsidRPr="00DA6BD2">
        <w:rPr>
          <w:rFonts w:asciiTheme="minorHAnsi" w:hAnsiTheme="minorHAnsi" w:cs="Calibri Light"/>
        </w:rPr>
        <w:t xml:space="preserve"> ne concerne que les dérogations octroyées depuis 2009.</w:t>
      </w:r>
    </w:p>
    <w:p w14:paraId="1770C73D" w14:textId="685C5AB2" w:rsidR="00D9118E" w:rsidRDefault="00D9118E" w:rsidP="00E063FD">
      <w:pPr>
        <w:spacing w:before="120"/>
        <w:jc w:val="both"/>
        <w:textAlignment w:val="baseline"/>
        <w:rPr>
          <w:rFonts w:asciiTheme="minorHAnsi" w:hAnsiTheme="minorHAnsi" w:cs="Calibri Light"/>
        </w:rPr>
      </w:pPr>
      <w:r w:rsidRPr="00E063FD">
        <w:rPr>
          <w:rFonts w:asciiTheme="minorHAnsi" w:hAnsiTheme="minorHAnsi" w:cs="Calibri Light"/>
        </w:rPr>
        <w:t xml:space="preserve">Le respect de la paix fiscale par les pouvoirs locaux s’inscrit dans les objectifs que poursuit le Gouvernement wallon. Il apparaît évident d’assurer la cohérence entre les politiques régionales et les politiques locales en matière de prélèvement de taxes et de redevances. Dans ce cadre, </w:t>
      </w:r>
      <w:r w:rsidR="002A6C9F" w:rsidRPr="002A6C9F">
        <w:rPr>
          <w:rFonts w:asciiTheme="minorHAnsi" w:hAnsiTheme="minorHAnsi" w:cs="Calibri Light"/>
        </w:rPr>
        <w:t xml:space="preserve">compte tenu notamment des récents jugements intervenus dans le cadre des </w:t>
      </w:r>
      <w:r w:rsidR="002A6C9F" w:rsidRPr="002A6C9F">
        <w:rPr>
          <w:rFonts w:asciiTheme="minorHAnsi" w:hAnsiTheme="minorHAnsi" w:cs="Calibri Light"/>
        </w:rPr>
        <w:lastRenderedPageBreak/>
        <w:t>mesures fiscales liées au Plan Marshal</w:t>
      </w:r>
      <w:r w:rsidR="002A6C9F">
        <w:rPr>
          <w:rFonts w:asciiTheme="minorHAnsi" w:hAnsiTheme="minorHAnsi" w:cs="Calibri Light"/>
        </w:rPr>
        <w:t xml:space="preserve">, </w:t>
      </w:r>
      <w:r w:rsidR="0000347E" w:rsidRPr="0000347E">
        <w:rPr>
          <w:rFonts w:asciiTheme="minorHAnsi" w:hAnsiTheme="minorHAnsi" w:cs="Calibri Light"/>
        </w:rPr>
        <w:t>le Gouvernement réfléchit aux modalités permettant de faire évoluer les dispositifs actuels et de trouver un point d’équilibre entre les intérêts de chacune des parties.</w:t>
      </w:r>
    </w:p>
    <w:p w14:paraId="7AF4CF14" w14:textId="2B452E32" w:rsidR="006E344A" w:rsidRPr="00256E9F" w:rsidRDefault="006E344A" w:rsidP="00E063FD">
      <w:pPr>
        <w:spacing w:before="120"/>
        <w:jc w:val="both"/>
        <w:textAlignment w:val="baseline"/>
        <w:rPr>
          <w:rFonts w:asciiTheme="minorHAnsi" w:hAnsiTheme="minorHAnsi" w:cs="Calibri Light"/>
          <w:b/>
          <w:bCs/>
        </w:rPr>
      </w:pPr>
      <w:r w:rsidRPr="00256E9F">
        <w:rPr>
          <w:rFonts w:asciiTheme="minorHAnsi" w:hAnsiTheme="minorHAnsi" w:cs="Calibri Light"/>
          <w:b/>
          <w:bCs/>
        </w:rPr>
        <w:t>Dès lors qu’une décision aura été prise concernant celle-ci, une information spécifique vous sera transmise.</w:t>
      </w:r>
    </w:p>
    <w:p w14:paraId="5C982256" w14:textId="76E45FFD"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autorités locales seront attentives au fait que l'établissement d'une taxe doit non seulement tenir compte de son rendement net réel, du coût du recensement, de l'enrôlement et de la perception, mais aussi de ses répercussions sociales</w:t>
      </w:r>
      <w:r w:rsidR="00227086">
        <w:rPr>
          <w:rFonts w:asciiTheme="minorHAnsi" w:hAnsiTheme="minorHAnsi" w:cs="Calibri Light"/>
        </w:rPr>
        <w:t>,</w:t>
      </w:r>
      <w:r w:rsidRPr="00DA6BD2">
        <w:rPr>
          <w:rFonts w:asciiTheme="minorHAnsi" w:hAnsiTheme="minorHAnsi" w:cs="Calibri Light"/>
        </w:rPr>
        <w:t xml:space="preserve"> environnementales</w:t>
      </w:r>
      <w:r w:rsidR="00227086">
        <w:rPr>
          <w:rFonts w:asciiTheme="minorHAnsi" w:hAnsiTheme="minorHAnsi" w:cs="Calibri Light"/>
        </w:rPr>
        <w:t xml:space="preserve"> et </w:t>
      </w:r>
      <w:r w:rsidR="00227086" w:rsidRPr="00227086">
        <w:rPr>
          <w:rFonts w:asciiTheme="minorHAnsi" w:hAnsiTheme="minorHAnsi" w:cs="Calibri Light"/>
        </w:rPr>
        <w:t>économiques</w:t>
      </w:r>
      <w:r w:rsidRPr="00DA6BD2">
        <w:rPr>
          <w:rFonts w:asciiTheme="minorHAnsi" w:hAnsiTheme="minorHAnsi" w:cs="Calibri Light"/>
        </w:rPr>
        <w:t xml:space="preserve">. </w:t>
      </w:r>
      <w:r w:rsidRPr="00256E9F">
        <w:rPr>
          <w:rFonts w:asciiTheme="minorHAnsi" w:hAnsiTheme="minorHAnsi" w:cs="Calibri Light"/>
          <w:b/>
          <w:bCs/>
          <w:u w:val="single"/>
        </w:rPr>
        <w:t>Ceci n'exclut évidemment pas le rôle d'outil politique de la fiscalité</w:t>
      </w:r>
      <w:r w:rsidRPr="00DA6BD2">
        <w:rPr>
          <w:rFonts w:asciiTheme="minorHAnsi" w:hAnsiTheme="minorHAnsi" w:cs="Calibri Light"/>
        </w:rPr>
        <w:t>.</w:t>
      </w:r>
    </w:p>
    <w:p w14:paraId="536A1967" w14:textId="215C603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La déclaration de politique régionale </w:t>
      </w:r>
      <w:r>
        <w:rPr>
          <w:rFonts w:asciiTheme="minorHAnsi" w:hAnsiTheme="minorHAnsi" w:cs="Calibri Light"/>
        </w:rPr>
        <w:t>vise à</w:t>
      </w:r>
      <w:r w:rsidRPr="00DA6BD2">
        <w:rPr>
          <w:rFonts w:asciiTheme="minorHAnsi" w:hAnsiTheme="minorHAnsi" w:cs="Calibri Light"/>
        </w:rPr>
        <w:t xml:space="preserve"> satisfaire à la demande de logements et </w:t>
      </w:r>
      <w:r>
        <w:rPr>
          <w:rFonts w:asciiTheme="minorHAnsi" w:hAnsiTheme="minorHAnsi" w:cs="Calibri Light"/>
        </w:rPr>
        <w:t xml:space="preserve">à </w:t>
      </w:r>
      <w:r w:rsidRPr="00DA6BD2">
        <w:rPr>
          <w:rFonts w:asciiTheme="minorHAnsi" w:hAnsiTheme="minorHAnsi" w:cs="Calibri Light"/>
        </w:rPr>
        <w:t>lutter contre les logements inoccupés</w:t>
      </w:r>
      <w:r>
        <w:rPr>
          <w:rFonts w:asciiTheme="minorHAnsi" w:hAnsiTheme="minorHAnsi" w:cs="Calibri Light"/>
        </w:rPr>
        <w:t xml:space="preserve">. </w:t>
      </w:r>
      <w:r w:rsidRPr="00DA6BD2">
        <w:rPr>
          <w:rFonts w:asciiTheme="minorHAnsi" w:hAnsiTheme="minorHAnsi" w:cs="Calibri Light"/>
        </w:rPr>
        <w:t xml:space="preserve">Ainsi, il est loisible aux communes d'instaurer une taxe sur les </w:t>
      </w:r>
      <w:r w:rsidRPr="00DA6BD2">
        <w:rPr>
          <w:rFonts w:asciiTheme="minorHAnsi" w:hAnsiTheme="minorHAnsi" w:cs="Calibri Light"/>
          <w:u w:val="single"/>
        </w:rPr>
        <w:t>immeubles bâtis inoccupés.</w:t>
      </w:r>
      <w:r w:rsidRPr="00DA6BD2">
        <w:rPr>
          <w:rFonts w:asciiTheme="minorHAnsi" w:hAnsiTheme="minorHAnsi" w:cs="Calibri Light"/>
        </w:rPr>
        <w:t xml:space="preserve"> En effet, les communes constituent le niveau de pouvoir le plus adapté pour apprécier l'opportunité de mettre en place le recouvrement d'une telle taxe et mener les investigations propres à dresser l'inventaire des biens concernés. </w:t>
      </w:r>
    </w:p>
    <w:p w14:paraId="285D6E4B" w14:textId="140F2E59" w:rsidR="009B153C" w:rsidRPr="00ED3F85" w:rsidRDefault="00046CE1" w:rsidP="00E063FD">
      <w:pPr>
        <w:spacing w:before="120"/>
        <w:jc w:val="both"/>
        <w:textAlignment w:val="baseline"/>
        <w:rPr>
          <w:rFonts w:asciiTheme="minorHAnsi" w:hAnsiTheme="minorHAnsi" w:cs="Calibri Light"/>
        </w:rPr>
      </w:pPr>
      <w:r w:rsidRPr="00ED3F85">
        <w:rPr>
          <w:rFonts w:asciiTheme="minorHAnsi" w:hAnsiTheme="minorHAnsi" w:cs="Calibri Light"/>
        </w:rPr>
        <w:t>U</w:t>
      </w:r>
      <w:r w:rsidR="009B153C" w:rsidRPr="00ED3F85">
        <w:rPr>
          <w:rFonts w:asciiTheme="minorHAnsi" w:hAnsiTheme="minorHAnsi" w:cs="Calibri Light"/>
        </w:rPr>
        <w:t xml:space="preserve">n site internet relatif à la fiscalité communale </w:t>
      </w:r>
      <w:r w:rsidR="00D442A1" w:rsidRPr="00ED3F85">
        <w:rPr>
          <w:rFonts w:asciiTheme="minorHAnsi" w:hAnsiTheme="minorHAnsi" w:cs="Calibri Light"/>
        </w:rPr>
        <w:t>existe et qu’il est hébergé sur le site</w:t>
      </w:r>
      <w:r w:rsidR="009B153C" w:rsidRPr="00ED3F85">
        <w:rPr>
          <w:rFonts w:asciiTheme="minorHAnsi" w:hAnsiTheme="minorHAnsi" w:cs="Calibri Light"/>
        </w:rPr>
        <w:t xml:space="preserve"> : </w:t>
      </w:r>
      <w:hyperlink w:history="1"/>
      <w:r w:rsidR="006402A2" w:rsidRPr="00ED3F85">
        <w:rPr>
          <w:rFonts w:asciiTheme="minorHAnsi" w:hAnsiTheme="minorHAnsi" w:cs="Calibri Light"/>
          <w:u w:val="single"/>
        </w:rPr>
        <w:t xml:space="preserve"> </w:t>
      </w:r>
      <w:r w:rsidR="006402A2" w:rsidRPr="008D7EB7">
        <w:rPr>
          <w:rFonts w:asciiTheme="minorHAnsi" w:hAnsiTheme="minorHAnsi" w:cs="Calibri Light"/>
        </w:rPr>
        <w:t>https://interieur.wallonie.be (finances &gt; fiscalité &gt; Taxes &amp; Redevances communales)</w:t>
      </w:r>
      <w:r w:rsidR="00ED3F85">
        <w:rPr>
          <w:rFonts w:asciiTheme="minorHAnsi" w:hAnsiTheme="minorHAnsi" w:cs="Calibri Light"/>
        </w:rPr>
        <w:t>.</w:t>
      </w:r>
    </w:p>
    <w:p w14:paraId="235CFFFA" w14:textId="4A4338BB"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Vous y trouverez notamment une partie comprenant une liste de modèles de règlements-taxes destinés à aider les communes dans leur travail de réglementation. Ils sont toutefois indicatifs et donc non contraignants. </w:t>
      </w:r>
    </w:p>
    <w:p w14:paraId="41D4CD4C"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Il est néanmoins important de bien structurer sa délibération et, à cet effet, je vous invite à veiller à ce que le préambule respecte rigoureusement la hiérarchie des normes, que le quorum de présence et de vote soient bien spécifiés et que la mention du caractère public de la séance soit </w:t>
      </w:r>
      <w:r>
        <w:rPr>
          <w:rFonts w:asciiTheme="minorHAnsi" w:hAnsiTheme="minorHAnsi" w:cs="Calibri Light"/>
        </w:rPr>
        <w:t>inscrite</w:t>
      </w:r>
      <w:r w:rsidRPr="00DA6BD2">
        <w:rPr>
          <w:rFonts w:asciiTheme="minorHAnsi" w:hAnsiTheme="minorHAnsi" w:cs="Calibri Light"/>
        </w:rPr>
        <w:t>.</w:t>
      </w:r>
    </w:p>
    <w:p w14:paraId="70CA46CC" w14:textId="3F7EECA6" w:rsidR="002017D0" w:rsidRDefault="002017D0" w:rsidP="002017D0">
      <w:pPr>
        <w:spacing w:before="120"/>
        <w:jc w:val="both"/>
        <w:textAlignment w:val="baseline"/>
        <w:rPr>
          <w:rFonts w:asciiTheme="minorHAnsi" w:hAnsiTheme="minorHAnsi" w:cs="Calibri Light"/>
        </w:rPr>
      </w:pPr>
      <w:r w:rsidRPr="00C80C14">
        <w:rPr>
          <w:rFonts w:asciiTheme="minorHAnsi" w:hAnsiTheme="minorHAnsi" w:cs="Calibri Light"/>
        </w:rPr>
        <w:t xml:space="preserve">Si l'autonomie de la commune reste pleine et entière en matière de réglementation fiscale, sous réserve du respect des lois et décrets, ainsi que de l'exercice du contrôle de tutelle, je </w:t>
      </w:r>
      <w:r w:rsidRPr="00DA6BD2">
        <w:rPr>
          <w:rFonts w:asciiTheme="minorHAnsi" w:hAnsiTheme="minorHAnsi" w:cs="Calibri Light"/>
        </w:rPr>
        <w:t xml:space="preserve">me dois d'insister sur la nécessité absolue pour les administrations locales d'apporter un soin tout particulier à </w:t>
      </w:r>
      <w:r w:rsidRPr="008D7EB7">
        <w:rPr>
          <w:rFonts w:asciiTheme="minorHAnsi" w:hAnsiTheme="minorHAnsi" w:cs="Calibri Light"/>
          <w:b/>
          <w:bCs/>
          <w:u w:val="single"/>
        </w:rPr>
        <w:t>définir les objectifs</w:t>
      </w:r>
      <w:r w:rsidRPr="00DA6BD2">
        <w:rPr>
          <w:rFonts w:asciiTheme="minorHAnsi" w:hAnsiTheme="minorHAnsi" w:cs="Calibri Light"/>
        </w:rPr>
        <w:t xml:space="preserve"> qu'elles entendent poursuivre par le vote d'un règlement-taxe. En effet, ce n'est qu'au travers de ces objectifs que </w:t>
      </w:r>
      <w:r w:rsidRPr="00C80C14">
        <w:rPr>
          <w:rFonts w:asciiTheme="minorHAnsi" w:hAnsiTheme="minorHAnsi" w:cs="Calibri Light"/>
        </w:rPr>
        <w:t>non seulement</w:t>
      </w:r>
      <w:r w:rsidRPr="00DA6BD2">
        <w:rPr>
          <w:rFonts w:asciiTheme="minorHAnsi" w:hAnsiTheme="minorHAnsi" w:cs="Calibri Light"/>
        </w:rPr>
        <w:t xml:space="preserve"> les juridictions pourront juger de la légalité du règlement qui leur est soumis</w:t>
      </w:r>
      <w:r w:rsidRPr="00C80C14">
        <w:rPr>
          <w:rFonts w:asciiTheme="minorHAnsi" w:hAnsiTheme="minorHAnsi" w:cs="Calibri Light"/>
        </w:rPr>
        <w:t xml:space="preserve"> mais aussi, que l’autorité de tutelle pourra effectuer un examen concret et individualisé des circonstances de l'espèce, lorsqu'elle est amenée à apprécier les motifs qui ont justifié l’adoption du règlement qui est soumis à son contrôle.</w:t>
      </w:r>
    </w:p>
    <w:p w14:paraId="7A1CB687" w14:textId="2951AE0E" w:rsidR="00801A2B" w:rsidRDefault="00EB720B" w:rsidP="002017D0">
      <w:pPr>
        <w:spacing w:before="120"/>
        <w:jc w:val="both"/>
        <w:textAlignment w:val="baseline"/>
        <w:rPr>
          <w:rFonts w:asciiTheme="minorHAnsi" w:hAnsiTheme="minorHAnsi" w:cs="Calibri Light"/>
          <w:b/>
          <w:bCs/>
        </w:rPr>
      </w:pPr>
      <w:bookmarkStart w:id="3781" w:name="_Hlk38962661"/>
      <w:r w:rsidRPr="008D7EB7">
        <w:rPr>
          <w:rFonts w:asciiTheme="minorHAnsi" w:hAnsiTheme="minorHAnsi" w:cs="Calibri Light"/>
          <w:b/>
          <w:bCs/>
        </w:rPr>
        <w:t xml:space="preserve">C’est donc </w:t>
      </w:r>
      <w:r w:rsidR="00801A2B">
        <w:rPr>
          <w:rFonts w:asciiTheme="minorHAnsi" w:hAnsiTheme="minorHAnsi" w:cs="Calibri Light"/>
          <w:b/>
          <w:bCs/>
        </w:rPr>
        <w:t xml:space="preserve">à la fois </w:t>
      </w:r>
      <w:r w:rsidRPr="008D7EB7">
        <w:rPr>
          <w:rFonts w:asciiTheme="minorHAnsi" w:hAnsiTheme="minorHAnsi" w:cs="Calibri Light"/>
          <w:b/>
          <w:bCs/>
        </w:rPr>
        <w:t xml:space="preserve">au niveau du préambule du règlement et dans le dossier administratif </w:t>
      </w:r>
      <w:r w:rsidR="00A42D14" w:rsidRPr="008D7EB7">
        <w:rPr>
          <w:rFonts w:asciiTheme="minorHAnsi" w:hAnsiTheme="minorHAnsi" w:cs="Calibri Light"/>
          <w:b/>
          <w:bCs/>
        </w:rPr>
        <w:t>éventuel</w:t>
      </w:r>
      <w:r w:rsidR="00A42D14">
        <w:rPr>
          <w:rFonts w:asciiTheme="minorHAnsi" w:hAnsiTheme="minorHAnsi" w:cs="Calibri Light"/>
          <w:b/>
          <w:bCs/>
        </w:rPr>
        <w:t xml:space="preserve"> </w:t>
      </w:r>
      <w:r w:rsidRPr="008D7EB7">
        <w:rPr>
          <w:rFonts w:asciiTheme="minorHAnsi" w:hAnsiTheme="minorHAnsi" w:cs="Calibri Light"/>
          <w:b/>
          <w:bCs/>
        </w:rPr>
        <w:t>que doivent se retrouver non seulement les objectifs, mais également les motivations des règles particulières (exceptions, exonérations, différenciation, etc.).</w:t>
      </w:r>
    </w:p>
    <w:p w14:paraId="0378508C" w14:textId="56F9D0E4" w:rsidR="00EB720B" w:rsidRPr="008D7EB7" w:rsidRDefault="00A42D14" w:rsidP="002017D0">
      <w:pPr>
        <w:spacing w:before="120"/>
        <w:jc w:val="both"/>
        <w:textAlignment w:val="baseline"/>
        <w:rPr>
          <w:rFonts w:asciiTheme="minorHAnsi" w:hAnsiTheme="minorHAnsi" w:cs="Calibri Light"/>
          <w:b/>
          <w:bCs/>
        </w:rPr>
      </w:pPr>
      <w:r w:rsidRPr="008D7EB7">
        <w:rPr>
          <w:rFonts w:asciiTheme="minorHAnsi" w:hAnsiTheme="minorHAnsi" w:cs="Calibri Light"/>
          <w:b/>
          <w:bCs/>
        </w:rPr>
        <w:t xml:space="preserve">Je vous invite à être particulièrement attentifs à cette exigence qui s’avère essentiel en cas de contentieux. </w:t>
      </w:r>
    </w:p>
    <w:bookmarkEnd w:id="3781"/>
    <w:p w14:paraId="492ED98C" w14:textId="3232730A"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Je rappelle qu'à l'exception des taxes additionnelles à l'impôt des personnes physiques et aux centimes additionnels au précompte immobilier, les règlements relatifs aux impositions communales sont soumis à </w:t>
      </w:r>
      <w:r w:rsidR="00D442A1">
        <w:rPr>
          <w:rFonts w:asciiTheme="minorHAnsi" w:hAnsiTheme="minorHAnsi" w:cs="Calibri Light"/>
        </w:rPr>
        <w:t xml:space="preserve">la </w:t>
      </w:r>
      <w:r w:rsidRPr="00DA6BD2">
        <w:rPr>
          <w:rFonts w:asciiTheme="minorHAnsi" w:hAnsiTheme="minorHAnsi" w:cs="Calibri Light"/>
        </w:rPr>
        <w:t>tutelle spéciale d'approbation.</w:t>
      </w:r>
    </w:p>
    <w:p w14:paraId="255C9E16" w14:textId="7A50BD35"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 régime fiscal pesant s</w:t>
      </w:r>
      <w:r w:rsidRPr="002F45FA">
        <w:rPr>
          <w:rFonts w:asciiTheme="minorHAnsi" w:hAnsiTheme="minorHAnsi" w:cs="Calibri Light"/>
        </w:rPr>
        <w:t xml:space="preserve">ur les revenus </w:t>
      </w:r>
      <w:r w:rsidR="00046E7D">
        <w:rPr>
          <w:rFonts w:asciiTheme="minorHAnsi" w:hAnsiTheme="minorHAnsi" w:cs="Calibri Light"/>
        </w:rPr>
        <w:t>202</w:t>
      </w:r>
      <w:r w:rsidR="00227086">
        <w:rPr>
          <w:rFonts w:asciiTheme="minorHAnsi" w:hAnsiTheme="minorHAnsi" w:cs="Calibri Light"/>
        </w:rPr>
        <w:t>2</w:t>
      </w:r>
      <w:r w:rsidR="00046E7D" w:rsidRPr="002F45FA">
        <w:rPr>
          <w:rFonts w:asciiTheme="minorHAnsi" w:hAnsiTheme="minorHAnsi" w:cs="Calibri Light"/>
        </w:rPr>
        <w:t xml:space="preserve"> </w:t>
      </w:r>
      <w:r w:rsidRPr="002F45FA">
        <w:rPr>
          <w:rFonts w:asciiTheme="minorHAnsi" w:hAnsiTheme="minorHAnsi" w:cs="Calibri Light"/>
        </w:rPr>
        <w:t xml:space="preserve">(c’est-à-dire sur l'exercice d'imposition </w:t>
      </w:r>
      <w:r w:rsidR="00F73BD7" w:rsidRPr="00E063FD">
        <w:rPr>
          <w:rFonts w:asciiTheme="minorHAnsi" w:hAnsiTheme="minorHAnsi" w:cs="Calibri Light"/>
        </w:rPr>
        <w:t>20</w:t>
      </w:r>
      <w:r w:rsidR="00F73BD7">
        <w:rPr>
          <w:rFonts w:asciiTheme="minorHAnsi" w:hAnsiTheme="minorHAnsi" w:cs="Calibri Light"/>
        </w:rPr>
        <w:t>2</w:t>
      </w:r>
      <w:r w:rsidR="00227086">
        <w:rPr>
          <w:rFonts w:asciiTheme="minorHAnsi" w:hAnsiTheme="minorHAnsi" w:cs="Calibri Light"/>
        </w:rPr>
        <w:t>3</w:t>
      </w:r>
      <w:r w:rsidRPr="002F45FA">
        <w:rPr>
          <w:rFonts w:asciiTheme="minorHAnsi" w:hAnsiTheme="minorHAnsi" w:cs="Calibri Light"/>
        </w:rPr>
        <w:t xml:space="preserve">), permet de justifier que le taux maximum recommandé de la taxe additionnelle à l'impôt des personnes physiques soit fixé à 8,8% pour l'année </w:t>
      </w:r>
      <w:r w:rsidR="00046E7D">
        <w:rPr>
          <w:rFonts w:asciiTheme="minorHAnsi" w:hAnsiTheme="minorHAnsi" w:cs="Calibri Light"/>
        </w:rPr>
        <w:t>202</w:t>
      </w:r>
      <w:r w:rsidR="00227086">
        <w:rPr>
          <w:rFonts w:asciiTheme="minorHAnsi" w:hAnsiTheme="minorHAnsi" w:cs="Calibri Light"/>
        </w:rPr>
        <w:t>3</w:t>
      </w:r>
      <w:r w:rsidRPr="002F45FA">
        <w:rPr>
          <w:rFonts w:asciiTheme="minorHAnsi" w:hAnsiTheme="minorHAnsi" w:cs="Calibri Light"/>
        </w:rPr>
        <w:t>.</w:t>
      </w:r>
    </w:p>
    <w:p w14:paraId="6D297DBE"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lastRenderedPageBreak/>
        <w:t>Le taux maximum recommandé pour les centimes additionnels au précompte immobilier est fixé à 2.600 centimes.</w:t>
      </w:r>
    </w:p>
    <w:p w14:paraId="38E4D4D1" w14:textId="50612340" w:rsidR="002A1B92" w:rsidRDefault="00EB720B" w:rsidP="00900C39">
      <w:pPr>
        <w:spacing w:before="120" w:after="120"/>
        <w:jc w:val="both"/>
        <w:textAlignment w:val="baseline"/>
        <w:rPr>
          <w:rFonts w:asciiTheme="minorHAnsi" w:hAnsiTheme="minorHAnsi" w:cs="Calibri Light"/>
        </w:rPr>
      </w:pPr>
      <w:r>
        <w:rPr>
          <w:rFonts w:asciiTheme="minorHAnsi" w:hAnsiTheme="minorHAnsi" w:cs="Calibri Light"/>
        </w:rPr>
        <w:t>P</w:t>
      </w:r>
      <w:r w:rsidR="009B153C" w:rsidRPr="00DA6BD2">
        <w:rPr>
          <w:rFonts w:asciiTheme="minorHAnsi" w:hAnsiTheme="minorHAnsi" w:cs="Calibri Light"/>
        </w:rPr>
        <w:t xml:space="preserve">our avoir un règlement opposable aux tiers, </w:t>
      </w:r>
      <w:r w:rsidR="009B153C" w:rsidRPr="00DA6BD2">
        <w:rPr>
          <w:rFonts w:asciiTheme="minorHAnsi" w:hAnsiTheme="minorHAnsi" w:cs="Calibri Light"/>
          <w:b/>
        </w:rPr>
        <w:t xml:space="preserve">la ligne du temps </w:t>
      </w:r>
      <w:r w:rsidR="009B153C" w:rsidRPr="00DA6BD2">
        <w:rPr>
          <w:rFonts w:asciiTheme="minorHAnsi" w:hAnsiTheme="minorHAnsi" w:cs="Calibri Light"/>
        </w:rPr>
        <w:t>suivante doit être respectée pour les règlements relatifs aux impositions communales (à l'exception, des règlements relatifs aux taxes additionnelles à l'impôt des personnes physiques et aux centimes additionnels au précompte immobilier).</w:t>
      </w:r>
    </w:p>
    <w:p w14:paraId="5213B4DF" w14:textId="77777777" w:rsidR="009B153C" w:rsidRPr="00DA6BD2" w:rsidRDefault="009B153C" w:rsidP="00256E9F">
      <w:pPr>
        <w:spacing w:after="240"/>
        <w:rPr>
          <w:rFonts w:asciiTheme="minorHAnsi" w:hAnsiTheme="minorHAnsi" w:cs="Calibri Light"/>
          <w:b/>
          <w:u w:val="single"/>
          <w:lang w:val="fr-BE"/>
        </w:rPr>
      </w:pPr>
      <w:r w:rsidRPr="00DA6BD2">
        <w:rPr>
          <w:rFonts w:asciiTheme="minorHAnsi" w:hAnsiTheme="minorHAnsi" w:cs="Calibri Light"/>
          <w:b/>
          <w:u w:val="single"/>
          <w:lang w:val="fr-BE"/>
        </w:rPr>
        <w:t>La ligne du temps peut se schématiser comme suit :</w:t>
      </w:r>
    </w:p>
    <w:p w14:paraId="2578A1F3" w14:textId="60189577"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3120" behindDoc="0" locked="0" layoutInCell="1" allowOverlap="1" wp14:anchorId="5C2584AF" wp14:editId="4CFB38C6">
                <wp:simplePos x="0" y="0"/>
                <wp:positionH relativeFrom="column">
                  <wp:posOffset>2818766</wp:posOffset>
                </wp:positionH>
                <wp:positionV relativeFrom="paragraph">
                  <wp:posOffset>86361</wp:posOffset>
                </wp:positionV>
                <wp:extent cx="45719" cy="7429500"/>
                <wp:effectExtent l="76200" t="0" r="50165" b="57150"/>
                <wp:wrapNone/>
                <wp:docPr id="739" name="Connecteur droit avec flèch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429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A3A2F" id="_x0000_t32" coordsize="21600,21600" o:spt="32" o:oned="t" path="m,l21600,21600e" filled="f">
                <v:path arrowok="t" fillok="f" o:connecttype="none"/>
                <o:lock v:ext="edit" shapetype="t"/>
              </v:shapetype>
              <v:shape id="Connecteur droit avec flèche 739" o:spid="_x0000_s1026" type="#_x0000_t32" style="position:absolute;margin-left:221.95pt;margin-top:6.8pt;width:3.6pt;height:58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">
                <v:stroke endarrow="block"/>
              </v:shape>
            </w:pict>
          </mc:Fallback>
        </mc:AlternateContent>
      </w:r>
      <w:r w:rsidR="00945630">
        <w:rPr>
          <w:rFonts w:asciiTheme="minorHAnsi" w:hAnsiTheme="minorHAnsi" w:cs="Calibri Light"/>
          <w:noProof/>
          <w:sz w:val="20"/>
          <w:szCs w:val="20"/>
          <w:lang w:val="fr-BE" w:eastAsia="fr-BE"/>
        </w:rPr>
        <mc:AlternateContent>
          <mc:Choice Requires="wps">
            <w:drawing>
              <wp:anchor distT="0" distB="0" distL="114300" distR="114300" simplePos="0" relativeHeight="251673600" behindDoc="0" locked="0" layoutInCell="1" allowOverlap="1" wp14:anchorId="2183E644" wp14:editId="646C0D2D">
                <wp:simplePos x="0" y="0"/>
                <wp:positionH relativeFrom="column">
                  <wp:posOffset>304165</wp:posOffset>
                </wp:positionH>
                <wp:positionV relativeFrom="paragraph">
                  <wp:posOffset>86360</wp:posOffset>
                </wp:positionV>
                <wp:extent cx="1958975" cy="883920"/>
                <wp:effectExtent l="0" t="0" r="22225" b="11430"/>
                <wp:wrapNone/>
                <wp:docPr id="740" name="Zone de texte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883920"/>
                        </a:xfrm>
                        <a:prstGeom prst="rect">
                          <a:avLst/>
                        </a:prstGeom>
                        <a:solidFill>
                          <a:srgbClr val="FFFFFF"/>
                        </a:solidFill>
                        <a:ln w="9525">
                          <a:solidFill>
                            <a:srgbClr val="000000"/>
                          </a:solidFill>
                          <a:miter lim="800000"/>
                          <a:headEnd/>
                          <a:tailEnd/>
                        </a:ln>
                      </wps:spPr>
                      <wps:txbx>
                        <w:txbxContent>
                          <w:p w14:paraId="3F43A64C" w14:textId="1BF5E313" w:rsidR="005B484B" w:rsidRPr="00F76A91" w:rsidRDefault="005B484B" w:rsidP="009B153C">
                            <w:pPr>
                              <w:rPr>
                                <w:lang w:val="fr-BE"/>
                              </w:rPr>
                            </w:pPr>
                            <w:r w:rsidRPr="00F76A91">
                              <w:rPr>
                                <w:lang w:val="fr-BE"/>
                              </w:rPr>
                              <w:t>Communication du dossier (projet de délibération et annexes) au DF pour avis de légalité</w:t>
                            </w:r>
                            <w:r w:rsidR="0065625F">
                              <w:rPr>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E644" id="Zone de texte 740" o:spid="_x0000_s1029" type="#_x0000_t202" style="position:absolute;left:0;text-align:left;margin-left:23.95pt;margin-top:6.8pt;width:154.25pt;height:6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">
                <v:textbox>
                  <w:txbxContent>
                    <w:p w14:paraId="3F43A64C" w14:textId="1BF5E313" w:rsidR="005B484B" w:rsidRPr="00F76A91" w:rsidRDefault="005B484B" w:rsidP="009B153C">
                      <w:pPr>
                        <w:rPr>
                          <w:lang w:val="fr-BE"/>
                        </w:rPr>
                      </w:pPr>
                      <w:r w:rsidRPr="00F76A91">
                        <w:rPr>
                          <w:lang w:val="fr-BE"/>
                        </w:rPr>
                        <w:t>Communication du dossier (projet de délibération et annexes) au DF pour avis de légalité</w:t>
                      </w:r>
                      <w:r w:rsidR="0065625F">
                        <w:rPr>
                          <w:lang w:val="fr-BE"/>
                        </w:rPr>
                        <w:t xml:space="preserve"> </w:t>
                      </w:r>
                    </w:p>
                  </w:txbxContent>
                </v:textbox>
              </v:shape>
            </w:pict>
          </mc:Fallback>
        </mc:AlternateContent>
      </w:r>
    </w:p>
    <w:p w14:paraId="1FE9C085" w14:textId="00F02DBD" w:rsidR="009B153C" w:rsidRPr="00E063FD" w:rsidRDefault="00945630">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74624" behindDoc="0" locked="0" layoutInCell="1" allowOverlap="1" wp14:anchorId="26602071" wp14:editId="06DE8AE5">
                <wp:simplePos x="0" y="0"/>
                <wp:positionH relativeFrom="column">
                  <wp:posOffset>3548380</wp:posOffset>
                </wp:positionH>
                <wp:positionV relativeFrom="paragraph">
                  <wp:posOffset>52070</wp:posOffset>
                </wp:positionV>
                <wp:extent cx="1714500" cy="1038225"/>
                <wp:effectExtent l="0" t="0" r="19050" b="28575"/>
                <wp:wrapNone/>
                <wp:docPr id="738" name="Zone de texte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14:paraId="049FA134" w14:textId="24ABCFCF" w:rsidR="005B484B" w:rsidRPr="00F76A91" w:rsidRDefault="008B0A44" w:rsidP="009B153C">
                            <w:r>
                              <w:rPr>
                                <w:lang w:val="fr-BE"/>
                              </w:rPr>
                              <w:t>Minimum 10 jours ouvrables avant l</w:t>
                            </w:r>
                            <w:r w:rsidR="00F07F7E">
                              <w:rPr>
                                <w:lang w:val="fr-BE"/>
                              </w:rPr>
                              <w:t>’envoi de la convocation</w:t>
                            </w:r>
                            <w:r w:rsidR="005B484B" w:rsidRPr="00F76A91">
                              <w:t xml:space="preserve"> du Conseil communal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02071" id="Zone de texte 738" o:spid="_x0000_s1030" type="#_x0000_t202" style="position:absolute;left:0;text-align:left;margin-left:279.4pt;margin-top:4.1pt;width:135pt;height:8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">
                <v:textbox>
                  <w:txbxContent>
                    <w:p w14:paraId="049FA134" w14:textId="24ABCFCF" w:rsidR="005B484B" w:rsidRPr="00F76A91" w:rsidRDefault="008B0A44" w:rsidP="009B153C">
                      <w:r>
                        <w:rPr>
                          <w:lang w:val="fr-BE"/>
                        </w:rPr>
                        <w:t>Minimum 10 jours ouvrables avant l</w:t>
                      </w:r>
                      <w:r w:rsidR="00F07F7E">
                        <w:rPr>
                          <w:lang w:val="fr-BE"/>
                        </w:rPr>
                        <w:t>’envoi de la convocation</w:t>
                      </w:r>
                      <w:r w:rsidR="005B484B" w:rsidRPr="00F76A91">
                        <w:t xml:space="preserve"> du Conseil communal </w:t>
                      </w:r>
                    </w:p>
                  </w:txbxContent>
                </v:textbox>
              </v:shape>
            </w:pict>
          </mc:Fallback>
        </mc:AlternateContent>
      </w:r>
    </w:p>
    <w:p w14:paraId="658B6E9A" w14:textId="5EA7C050" w:rsidR="009B153C" w:rsidRPr="00E063FD" w:rsidRDefault="00945630">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72576" behindDoc="0" locked="0" layoutInCell="1" allowOverlap="1" wp14:anchorId="50C953FC" wp14:editId="2D99C045">
                <wp:simplePos x="0" y="0"/>
                <wp:positionH relativeFrom="column">
                  <wp:posOffset>2263775</wp:posOffset>
                </wp:positionH>
                <wp:positionV relativeFrom="paragraph">
                  <wp:posOffset>132080</wp:posOffset>
                </wp:positionV>
                <wp:extent cx="1095375" cy="635"/>
                <wp:effectExtent l="0" t="76200" r="9525" b="75565"/>
                <wp:wrapNone/>
                <wp:docPr id="737" name="Connecteur droit avec flèch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49E7F" id="Connecteur droit avec flèche 737" o:spid="_x0000_s1026" type="#_x0000_t32" style="position:absolute;margin-left:178.25pt;margin-top:10.4pt;width:86.2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">
                <v:stroke endarrow="block"/>
              </v:shape>
            </w:pict>
          </mc:Fallback>
        </mc:AlternateContent>
      </w:r>
    </w:p>
    <w:p w14:paraId="311F044E" w14:textId="77777777" w:rsidR="009B153C" w:rsidRPr="00E063FD" w:rsidRDefault="009B153C">
      <w:pPr>
        <w:jc w:val="both"/>
        <w:rPr>
          <w:rFonts w:asciiTheme="minorHAnsi" w:hAnsiTheme="minorHAnsi" w:cs="Calibri Light"/>
          <w:sz w:val="20"/>
          <w:szCs w:val="20"/>
          <w:lang w:val="fr-BE"/>
        </w:rPr>
      </w:pPr>
    </w:p>
    <w:p w14:paraId="0DF4EF91" w14:textId="77777777" w:rsidR="009B153C" w:rsidRPr="00E063FD" w:rsidRDefault="009B153C">
      <w:pPr>
        <w:jc w:val="both"/>
        <w:rPr>
          <w:rFonts w:asciiTheme="minorHAnsi" w:hAnsiTheme="minorHAnsi" w:cs="Calibri Light"/>
          <w:sz w:val="20"/>
          <w:szCs w:val="20"/>
          <w:lang w:val="fr-BE"/>
        </w:rPr>
      </w:pPr>
    </w:p>
    <w:p w14:paraId="08974F3E" w14:textId="2670C8A4" w:rsidR="009B153C" w:rsidRPr="00E063FD" w:rsidRDefault="009B153C">
      <w:pPr>
        <w:jc w:val="both"/>
        <w:rPr>
          <w:rFonts w:asciiTheme="minorHAnsi" w:hAnsiTheme="minorHAnsi" w:cs="Calibri Light"/>
          <w:sz w:val="20"/>
          <w:szCs w:val="20"/>
          <w:lang w:val="fr-BE"/>
        </w:rPr>
      </w:pPr>
    </w:p>
    <w:p w14:paraId="2FC7AE87" w14:textId="55C7E949" w:rsidR="009B153C" w:rsidRPr="00E063FD" w:rsidRDefault="009B153C">
      <w:pPr>
        <w:jc w:val="both"/>
        <w:rPr>
          <w:rFonts w:asciiTheme="minorHAnsi" w:hAnsiTheme="minorHAnsi" w:cs="Calibri Light"/>
          <w:sz w:val="20"/>
          <w:szCs w:val="20"/>
          <w:lang w:val="fr-BE"/>
        </w:rPr>
      </w:pPr>
    </w:p>
    <w:p w14:paraId="1A7F42F1" w14:textId="680AAA3C"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46976" behindDoc="0" locked="0" layoutInCell="1" allowOverlap="1" wp14:anchorId="56A7C895" wp14:editId="2805E9AB">
                <wp:simplePos x="0" y="0"/>
                <wp:positionH relativeFrom="column">
                  <wp:posOffset>260985</wp:posOffset>
                </wp:positionH>
                <wp:positionV relativeFrom="paragraph">
                  <wp:posOffset>4445</wp:posOffset>
                </wp:positionV>
                <wp:extent cx="1958975" cy="495300"/>
                <wp:effectExtent l="0" t="0" r="3175" b="0"/>
                <wp:wrapNone/>
                <wp:docPr id="736" name="Zone de texte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495300"/>
                        </a:xfrm>
                        <a:prstGeom prst="rect">
                          <a:avLst/>
                        </a:prstGeom>
                        <a:solidFill>
                          <a:srgbClr val="FFFFFF"/>
                        </a:solidFill>
                        <a:ln w="9525">
                          <a:solidFill>
                            <a:srgbClr val="000000"/>
                          </a:solidFill>
                          <a:miter lim="800000"/>
                          <a:headEnd/>
                          <a:tailEnd/>
                        </a:ln>
                      </wps:spPr>
                      <wps:txbx>
                        <w:txbxContent>
                          <w:p w14:paraId="14650E7D" w14:textId="78BBF531" w:rsidR="005B484B" w:rsidRPr="00F76A91" w:rsidRDefault="005B484B" w:rsidP="009B153C">
                            <w:pPr>
                              <w:jc w:val="center"/>
                              <w:rPr>
                                <w:lang w:val="fr-BE"/>
                              </w:rPr>
                            </w:pPr>
                            <w:r w:rsidRPr="00F76A91">
                              <w:rPr>
                                <w:lang w:val="fr-BE"/>
                              </w:rPr>
                              <w:t xml:space="preserve">Fixation de l’ordre du jour du </w:t>
                            </w:r>
                            <w:r>
                              <w:rPr>
                                <w:lang w:val="fr-BE"/>
                              </w:rPr>
                              <w:t>C</w:t>
                            </w:r>
                            <w:r w:rsidRPr="00F76A91">
                              <w:rPr>
                                <w:lang w:val="fr-BE"/>
                              </w:rPr>
                              <w:t>onseil communal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C895" id="Zone de texte 736" o:spid="_x0000_s1031" type="#_x0000_t202" style="position:absolute;left:0;text-align:left;margin-left:20.55pt;margin-top:.35pt;width:154.25pt;height: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">
                <v:textbox>
                  <w:txbxContent>
                    <w:p w14:paraId="14650E7D" w14:textId="78BBF531" w:rsidR="005B484B" w:rsidRPr="00F76A91" w:rsidRDefault="005B484B" w:rsidP="009B153C">
                      <w:pPr>
                        <w:jc w:val="center"/>
                        <w:rPr>
                          <w:lang w:val="fr-BE"/>
                        </w:rPr>
                      </w:pPr>
                      <w:r w:rsidRPr="00F76A91">
                        <w:rPr>
                          <w:lang w:val="fr-BE"/>
                        </w:rPr>
                        <w:t xml:space="preserve">Fixation de l’ordre du jour du </w:t>
                      </w:r>
                      <w:r>
                        <w:rPr>
                          <w:lang w:val="fr-BE"/>
                        </w:rPr>
                        <w:t>C</w:t>
                      </w:r>
                      <w:r w:rsidRPr="00F76A91">
                        <w:rPr>
                          <w:lang w:val="fr-BE"/>
                        </w:rPr>
                        <w:t>onseil communal</w:t>
                      </w:r>
                    </w:p>
                  </w:txbxContent>
                </v:textbox>
              </v:shape>
            </w:pict>
          </mc:Fallback>
        </mc:AlternateContent>
      </w:r>
    </w:p>
    <w:p w14:paraId="1F37DF7C" w14:textId="236723D5"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62336" behindDoc="0" locked="0" layoutInCell="1" allowOverlap="1" wp14:anchorId="532BF4F6" wp14:editId="61FAED2A">
                <wp:simplePos x="0" y="0"/>
                <wp:positionH relativeFrom="column">
                  <wp:posOffset>3375025</wp:posOffset>
                </wp:positionH>
                <wp:positionV relativeFrom="paragraph">
                  <wp:posOffset>127000</wp:posOffset>
                </wp:positionV>
                <wp:extent cx="137160" cy="762000"/>
                <wp:effectExtent l="0" t="0" r="15240" b="19050"/>
                <wp:wrapNone/>
                <wp:docPr id="29" name="Accolade fermant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62000"/>
                        </a:xfrm>
                        <a:prstGeom prst="rightBrace">
                          <a:avLst>
                            <a:gd name="adj1" fmla="val 602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11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9" o:spid="_x0000_s1026" type="#_x0000_t88" style="position:absolute;margin-left:265.75pt;margin-top:10pt;width:10.8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" adj="2341"/>
            </w:pict>
          </mc:Fallback>
        </mc:AlternateContent>
      </w:r>
      <w:r>
        <w:rPr>
          <w:rFonts w:asciiTheme="minorHAnsi" w:hAnsiTheme="minorHAnsi" w:cs="Calibri Light"/>
          <w:noProof/>
          <w:sz w:val="20"/>
          <w:szCs w:val="20"/>
          <w:lang w:val="fr-BE" w:eastAsia="fr-BE"/>
        </w:rPr>
        <mc:AlternateContent>
          <mc:Choice Requires="wps">
            <w:drawing>
              <wp:anchor distT="0" distB="0" distL="114300" distR="114300" simplePos="0" relativeHeight="251671552" behindDoc="0" locked="0" layoutInCell="1" allowOverlap="1" wp14:anchorId="7DC6D464" wp14:editId="52889419">
                <wp:simplePos x="0" y="0"/>
                <wp:positionH relativeFrom="column">
                  <wp:posOffset>2221230</wp:posOffset>
                </wp:positionH>
                <wp:positionV relativeFrom="paragraph">
                  <wp:posOffset>127000</wp:posOffset>
                </wp:positionV>
                <wp:extent cx="1095375" cy="635"/>
                <wp:effectExtent l="0" t="76200" r="9525" b="75565"/>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1B5AF" id="Connecteur droit avec flèche 31" o:spid="_x0000_s1026" type="#_x0000_t32" style="position:absolute;margin-left:174.9pt;margin-top:10pt;width:86.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">
                <v:stroke endarrow="block"/>
              </v:shape>
            </w:pict>
          </mc:Fallback>
        </mc:AlternateContent>
      </w:r>
    </w:p>
    <w:p w14:paraId="3D8559E9" w14:textId="5F2ED9D2" w:rsidR="009B153C" w:rsidRPr="00E063FD" w:rsidRDefault="009B153C">
      <w:pPr>
        <w:jc w:val="both"/>
        <w:rPr>
          <w:rFonts w:asciiTheme="minorHAnsi" w:hAnsiTheme="minorHAnsi" w:cs="Calibri Light"/>
          <w:sz w:val="20"/>
          <w:szCs w:val="20"/>
          <w:lang w:val="fr-BE"/>
        </w:rPr>
      </w:pPr>
    </w:p>
    <w:p w14:paraId="3FD70C85" w14:textId="2D5337B1"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65408" behindDoc="0" locked="0" layoutInCell="1" allowOverlap="1" wp14:anchorId="2DD4854F" wp14:editId="32193A6E">
                <wp:simplePos x="0" y="0"/>
                <wp:positionH relativeFrom="column">
                  <wp:posOffset>3582035</wp:posOffset>
                </wp:positionH>
                <wp:positionV relativeFrom="paragraph">
                  <wp:posOffset>16510</wp:posOffset>
                </wp:positionV>
                <wp:extent cx="1736090" cy="288925"/>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288925"/>
                        </a:xfrm>
                        <a:prstGeom prst="rect">
                          <a:avLst/>
                        </a:prstGeom>
                        <a:solidFill>
                          <a:srgbClr val="FFFFFF"/>
                        </a:solidFill>
                        <a:ln w="9525">
                          <a:solidFill>
                            <a:srgbClr val="000000"/>
                          </a:solidFill>
                          <a:miter lim="800000"/>
                          <a:headEnd/>
                          <a:tailEnd/>
                        </a:ln>
                      </wps:spPr>
                      <wps:txbx>
                        <w:txbxContent>
                          <w:p w14:paraId="4B9F2F5A" w14:textId="77777777" w:rsidR="005B484B" w:rsidRPr="00F22B08" w:rsidRDefault="005B484B" w:rsidP="009B153C">
                            <w:r w:rsidRPr="00F22B08">
                              <w:t>Minimum 7 jours francs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4854F" id="Zone de texte 27" o:spid="_x0000_s1032" type="#_x0000_t202" style="position:absolute;left:0;text-align:left;margin-left:282.05pt;margin-top:1.3pt;width:136.7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">
                <v:textbox>
                  <w:txbxContent>
                    <w:p w14:paraId="4B9F2F5A" w14:textId="77777777" w:rsidR="005B484B" w:rsidRPr="00F22B08" w:rsidRDefault="005B484B" w:rsidP="009B153C">
                      <w:r w:rsidRPr="00F22B08">
                        <w:t>Minimum 7 jours francs</w:t>
                      </w:r>
                    </w:p>
                  </w:txbxContent>
                </v:textbox>
              </v:shape>
            </w:pict>
          </mc:Fallback>
        </mc:AlternateContent>
      </w:r>
    </w:p>
    <w:p w14:paraId="38083218" w14:textId="5370E6CD"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48000" behindDoc="0" locked="0" layoutInCell="1" allowOverlap="1" wp14:anchorId="4FCEFF7B" wp14:editId="222F444F">
                <wp:simplePos x="0" y="0"/>
                <wp:positionH relativeFrom="column">
                  <wp:posOffset>280670</wp:posOffset>
                </wp:positionH>
                <wp:positionV relativeFrom="paragraph">
                  <wp:posOffset>1270</wp:posOffset>
                </wp:positionV>
                <wp:extent cx="1938655" cy="849630"/>
                <wp:effectExtent l="0" t="0" r="4445" b="762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849630"/>
                        </a:xfrm>
                        <a:prstGeom prst="rect">
                          <a:avLst/>
                        </a:prstGeom>
                        <a:solidFill>
                          <a:srgbClr val="FFFFFF"/>
                        </a:solidFill>
                        <a:ln w="9525">
                          <a:solidFill>
                            <a:srgbClr val="000000"/>
                          </a:solidFill>
                          <a:miter lim="800000"/>
                          <a:headEnd/>
                          <a:tailEnd/>
                        </a:ln>
                      </wps:spPr>
                      <wps:txbx>
                        <w:txbxContent>
                          <w:p w14:paraId="34561F34" w14:textId="5DBA60CB" w:rsidR="005B484B" w:rsidRPr="00F76A91" w:rsidRDefault="005B484B" w:rsidP="009B153C">
                            <w:pPr>
                              <w:jc w:val="center"/>
                              <w:rPr>
                                <w:lang w:val="fr-BE"/>
                              </w:rPr>
                            </w:pPr>
                            <w:r w:rsidRPr="00F76A91">
                              <w:rPr>
                                <w:lang w:val="fr-BE"/>
                              </w:rPr>
                              <w:t xml:space="preserve">Convocation du </w:t>
                            </w:r>
                            <w:r>
                              <w:rPr>
                                <w:lang w:val="fr-BE"/>
                              </w:rPr>
                              <w:t>C</w:t>
                            </w:r>
                            <w:r w:rsidRPr="00F76A91">
                              <w:rPr>
                                <w:lang w:val="fr-BE"/>
                              </w:rPr>
                              <w:t>onseil communal minimum 7 jours francs avant la date du conseil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FF7B" id="Zone de texte 30" o:spid="_x0000_s1033" type="#_x0000_t202" style="position:absolute;left:0;text-align:left;margin-left:22.1pt;margin-top:.1pt;width:152.65pt;height:6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">
                <v:textbox>
                  <w:txbxContent>
                    <w:p w14:paraId="34561F34" w14:textId="5DBA60CB" w:rsidR="005B484B" w:rsidRPr="00F76A91" w:rsidRDefault="005B484B" w:rsidP="009B153C">
                      <w:pPr>
                        <w:jc w:val="center"/>
                        <w:rPr>
                          <w:lang w:val="fr-BE"/>
                        </w:rPr>
                      </w:pPr>
                      <w:r w:rsidRPr="00F76A91">
                        <w:rPr>
                          <w:lang w:val="fr-BE"/>
                        </w:rPr>
                        <w:t xml:space="preserve">Convocation du </w:t>
                      </w:r>
                      <w:r>
                        <w:rPr>
                          <w:lang w:val="fr-BE"/>
                        </w:rPr>
                        <w:t>C</w:t>
                      </w:r>
                      <w:r w:rsidRPr="00F76A91">
                        <w:rPr>
                          <w:lang w:val="fr-BE"/>
                        </w:rPr>
                        <w:t>onseil communal minimum 7 jours francs avant la date du conseil</w:t>
                      </w:r>
                    </w:p>
                  </w:txbxContent>
                </v:textbox>
              </v:shape>
            </w:pict>
          </mc:Fallback>
        </mc:AlternateContent>
      </w:r>
    </w:p>
    <w:p w14:paraId="2D768C26" w14:textId="35748A4A" w:rsidR="009B153C" w:rsidRPr="00E063FD" w:rsidRDefault="009B153C">
      <w:pPr>
        <w:jc w:val="both"/>
        <w:rPr>
          <w:rFonts w:asciiTheme="minorHAnsi" w:hAnsiTheme="minorHAnsi" w:cs="Calibri Light"/>
          <w:sz w:val="20"/>
          <w:szCs w:val="20"/>
          <w:lang w:val="fr-BE"/>
        </w:rPr>
      </w:pPr>
    </w:p>
    <w:p w14:paraId="37EB67F2" w14:textId="585FC874"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4294967293" distB="4294967293" distL="114300" distR="114300" simplePos="0" relativeHeight="251656192" behindDoc="0" locked="0" layoutInCell="1" allowOverlap="1" wp14:anchorId="5861750E" wp14:editId="38DBAF52">
                <wp:simplePos x="0" y="0"/>
                <wp:positionH relativeFrom="column">
                  <wp:posOffset>2221230</wp:posOffset>
                </wp:positionH>
                <wp:positionV relativeFrom="paragraph">
                  <wp:posOffset>81280</wp:posOffset>
                </wp:positionV>
                <wp:extent cx="1095375" cy="0"/>
                <wp:effectExtent l="0" t="76200" r="0" b="76200"/>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FC935" id="Connecteur droit avec flèche 28" o:spid="_x0000_s1026" type="#_x0000_t32" style="position:absolute;margin-left:174.9pt;margin-top:6.4pt;width:86.2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">
                <v:stroke endarrow="block"/>
              </v:shape>
            </w:pict>
          </mc:Fallback>
        </mc:AlternateContent>
      </w:r>
    </w:p>
    <w:p w14:paraId="5CFF7618" w14:textId="7670970D" w:rsidR="009B153C" w:rsidRPr="00E063FD" w:rsidRDefault="009B153C">
      <w:pPr>
        <w:jc w:val="both"/>
        <w:rPr>
          <w:rFonts w:asciiTheme="minorHAnsi" w:hAnsiTheme="minorHAnsi" w:cs="Calibri Light"/>
          <w:sz w:val="20"/>
          <w:szCs w:val="20"/>
          <w:lang w:val="fr-BE"/>
        </w:rPr>
      </w:pPr>
    </w:p>
    <w:p w14:paraId="4F6265FD" w14:textId="04E9EC64" w:rsidR="009B153C" w:rsidRPr="00E063FD" w:rsidRDefault="009B153C">
      <w:pPr>
        <w:jc w:val="both"/>
        <w:rPr>
          <w:rFonts w:asciiTheme="minorHAnsi" w:hAnsiTheme="minorHAnsi" w:cs="Calibri Light"/>
          <w:sz w:val="20"/>
          <w:szCs w:val="20"/>
          <w:lang w:val="fr-BE"/>
        </w:rPr>
      </w:pPr>
    </w:p>
    <w:p w14:paraId="0CEF6AA3" w14:textId="239AFC91" w:rsidR="009B153C" w:rsidRPr="00E063FD" w:rsidRDefault="009B153C">
      <w:pPr>
        <w:jc w:val="both"/>
        <w:rPr>
          <w:rFonts w:asciiTheme="minorHAnsi" w:hAnsiTheme="minorHAnsi" w:cs="Calibri Light"/>
          <w:sz w:val="20"/>
          <w:szCs w:val="20"/>
          <w:lang w:val="fr-BE"/>
        </w:rPr>
      </w:pPr>
    </w:p>
    <w:p w14:paraId="7B272062" w14:textId="25A6D19E" w:rsidR="009B153C" w:rsidRPr="00E063FD" w:rsidRDefault="009B153C">
      <w:pPr>
        <w:jc w:val="both"/>
        <w:rPr>
          <w:rFonts w:asciiTheme="minorHAnsi" w:hAnsiTheme="minorHAnsi" w:cs="Calibri Light"/>
          <w:sz w:val="20"/>
          <w:szCs w:val="20"/>
          <w:lang w:val="fr-BE"/>
        </w:rPr>
      </w:pPr>
    </w:p>
    <w:p w14:paraId="271237FB" w14:textId="0817D34C" w:rsidR="009B153C" w:rsidRPr="00E063FD" w:rsidRDefault="0065625F">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49024" behindDoc="0" locked="0" layoutInCell="1" allowOverlap="1" wp14:anchorId="4D0AFEC4" wp14:editId="764D55DE">
                <wp:simplePos x="0" y="0"/>
                <wp:positionH relativeFrom="column">
                  <wp:posOffset>304800</wp:posOffset>
                </wp:positionH>
                <wp:positionV relativeFrom="paragraph">
                  <wp:posOffset>158750</wp:posOffset>
                </wp:positionV>
                <wp:extent cx="1938655" cy="496570"/>
                <wp:effectExtent l="0" t="0" r="4445"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496570"/>
                        </a:xfrm>
                        <a:prstGeom prst="rect">
                          <a:avLst/>
                        </a:prstGeom>
                        <a:solidFill>
                          <a:srgbClr val="FFFFFF"/>
                        </a:solidFill>
                        <a:ln w="9525">
                          <a:solidFill>
                            <a:srgbClr val="000000"/>
                          </a:solidFill>
                          <a:miter lim="800000"/>
                          <a:headEnd/>
                          <a:tailEnd/>
                        </a:ln>
                      </wps:spPr>
                      <wps:txbx>
                        <w:txbxContent>
                          <w:p w14:paraId="540B7418" w14:textId="77777777" w:rsidR="005B484B" w:rsidRPr="00F76A91" w:rsidRDefault="005B484B" w:rsidP="009B153C">
                            <w:pPr>
                              <w:jc w:val="center"/>
                            </w:pPr>
                            <w:r w:rsidRPr="00F76A91">
                              <w:t>Débat au Conseil communal + vote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AFEC4" id="Zone de texte 26" o:spid="_x0000_s1034" type="#_x0000_t202" style="position:absolute;left:0;text-align:left;margin-left:24pt;margin-top:12.5pt;width:152.65pt;height:3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">
                <v:textbox>
                  <w:txbxContent>
                    <w:p w14:paraId="540B7418" w14:textId="77777777" w:rsidR="005B484B" w:rsidRPr="00F76A91" w:rsidRDefault="005B484B" w:rsidP="009B153C">
                      <w:pPr>
                        <w:jc w:val="center"/>
                      </w:pPr>
                      <w:r w:rsidRPr="00F76A91">
                        <w:t>Débat au Conseil communal + vote</w:t>
                      </w:r>
                    </w:p>
                  </w:txbxContent>
                </v:textbox>
              </v:shape>
            </w:pict>
          </mc:Fallback>
        </mc:AlternateContent>
      </w:r>
    </w:p>
    <w:p w14:paraId="00FA4CB6" w14:textId="05167496" w:rsidR="009B153C" w:rsidRPr="00E063FD" w:rsidRDefault="009B153C">
      <w:pPr>
        <w:jc w:val="both"/>
        <w:rPr>
          <w:rFonts w:asciiTheme="minorHAnsi" w:hAnsiTheme="minorHAnsi" w:cs="Calibri Light"/>
          <w:sz w:val="20"/>
          <w:szCs w:val="20"/>
          <w:lang w:val="fr-BE"/>
        </w:rPr>
      </w:pPr>
    </w:p>
    <w:p w14:paraId="1D5DA242" w14:textId="7E929951"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7216" behindDoc="0" locked="0" layoutInCell="1" allowOverlap="1" wp14:anchorId="39DC8197" wp14:editId="0FF4166B">
                <wp:simplePos x="0" y="0"/>
                <wp:positionH relativeFrom="column">
                  <wp:posOffset>2244090</wp:posOffset>
                </wp:positionH>
                <wp:positionV relativeFrom="paragraph">
                  <wp:posOffset>83820</wp:posOffset>
                </wp:positionV>
                <wp:extent cx="1095375" cy="635"/>
                <wp:effectExtent l="0" t="76200" r="9525" b="75565"/>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441F2" id="Connecteur droit avec flèche 25" o:spid="_x0000_s1026" type="#_x0000_t32" style="position:absolute;margin-left:176.7pt;margin-top:6.6pt;width:86.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">
                <v:stroke endarrow="block"/>
              </v:shape>
            </w:pict>
          </mc:Fallback>
        </mc:AlternateContent>
      </w:r>
      <w:r w:rsidR="0065625F">
        <w:rPr>
          <w:rFonts w:asciiTheme="minorHAnsi" w:hAnsiTheme="minorHAnsi" w:cs="Calibri Light"/>
          <w:noProof/>
          <w:sz w:val="20"/>
          <w:szCs w:val="20"/>
          <w:lang w:val="fr-BE" w:eastAsia="fr-BE"/>
        </w:rPr>
        <mc:AlternateContent>
          <mc:Choice Requires="wps">
            <w:drawing>
              <wp:anchor distT="0" distB="0" distL="114300" distR="114300" simplePos="0" relativeHeight="251663360" behindDoc="0" locked="0" layoutInCell="1" allowOverlap="1" wp14:anchorId="5B645645" wp14:editId="3C44B74F">
                <wp:simplePos x="0" y="0"/>
                <wp:positionH relativeFrom="column">
                  <wp:posOffset>3443605</wp:posOffset>
                </wp:positionH>
                <wp:positionV relativeFrom="paragraph">
                  <wp:posOffset>122555</wp:posOffset>
                </wp:positionV>
                <wp:extent cx="129540" cy="676910"/>
                <wp:effectExtent l="0" t="0" r="22860" b="27940"/>
                <wp:wrapNone/>
                <wp:docPr id="24" name="Accolade fermant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676910"/>
                        </a:xfrm>
                        <a:prstGeom prst="rightBrace">
                          <a:avLst>
                            <a:gd name="adj1" fmla="val 481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A127" id="Accolade fermante 24" o:spid="_x0000_s1026" type="#_x0000_t88" style="position:absolute;margin-left:271.15pt;margin-top:9.65pt;width:10.2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" adj="1991"/>
            </w:pict>
          </mc:Fallback>
        </mc:AlternateContent>
      </w:r>
    </w:p>
    <w:p w14:paraId="2C26840A" w14:textId="49835796" w:rsidR="009B153C" w:rsidRPr="00E063FD" w:rsidRDefault="0065625F">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66432" behindDoc="0" locked="0" layoutInCell="1" allowOverlap="1" wp14:anchorId="334E7BCB" wp14:editId="720F81D1">
                <wp:simplePos x="0" y="0"/>
                <wp:positionH relativeFrom="column">
                  <wp:posOffset>3693795</wp:posOffset>
                </wp:positionH>
                <wp:positionV relativeFrom="paragraph">
                  <wp:posOffset>144780</wp:posOffset>
                </wp:positionV>
                <wp:extent cx="1414145" cy="320040"/>
                <wp:effectExtent l="0" t="0" r="0" b="381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20040"/>
                        </a:xfrm>
                        <a:prstGeom prst="rect">
                          <a:avLst/>
                        </a:prstGeom>
                        <a:solidFill>
                          <a:srgbClr val="FFFFFF"/>
                        </a:solidFill>
                        <a:ln w="9525">
                          <a:solidFill>
                            <a:srgbClr val="000000"/>
                          </a:solidFill>
                          <a:miter lim="800000"/>
                          <a:headEnd/>
                          <a:tailEnd/>
                        </a:ln>
                      </wps:spPr>
                      <wps:txbx>
                        <w:txbxContent>
                          <w:p w14:paraId="60EE637F" w14:textId="77777777" w:rsidR="005B484B" w:rsidRPr="00F76A91" w:rsidRDefault="005B484B" w:rsidP="009B153C">
                            <w:r w:rsidRPr="00F76A91">
                              <w:t>Maximum 15 jours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E7BCB" id="Zone de texte 23" o:spid="_x0000_s1035" type="#_x0000_t202" style="position:absolute;left:0;text-align:left;margin-left:290.85pt;margin-top:11.4pt;width:111.3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">
                <v:textbox>
                  <w:txbxContent>
                    <w:p w14:paraId="60EE637F" w14:textId="77777777" w:rsidR="005B484B" w:rsidRPr="00F76A91" w:rsidRDefault="005B484B" w:rsidP="009B153C">
                      <w:r w:rsidRPr="00F76A91">
                        <w:t>Maximum 15 jours</w:t>
                      </w:r>
                    </w:p>
                  </w:txbxContent>
                </v:textbox>
              </v:shape>
            </w:pict>
          </mc:Fallback>
        </mc:AlternateContent>
      </w:r>
    </w:p>
    <w:p w14:paraId="5CA42C3D" w14:textId="3D43AF05" w:rsidR="009B153C" w:rsidRPr="00E063FD" w:rsidRDefault="009B153C">
      <w:pPr>
        <w:jc w:val="both"/>
        <w:rPr>
          <w:rFonts w:asciiTheme="minorHAnsi" w:hAnsiTheme="minorHAnsi" w:cs="Calibri Light"/>
          <w:sz w:val="20"/>
          <w:szCs w:val="20"/>
          <w:lang w:val="fr-BE"/>
        </w:rPr>
      </w:pPr>
    </w:p>
    <w:p w14:paraId="214215FD" w14:textId="609010DE" w:rsidR="009B153C" w:rsidRPr="00E063FD" w:rsidRDefault="0065625F">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0048" behindDoc="0" locked="0" layoutInCell="1" allowOverlap="1" wp14:anchorId="64EFF5B5" wp14:editId="0F433B9D">
                <wp:simplePos x="0" y="0"/>
                <wp:positionH relativeFrom="column">
                  <wp:posOffset>312420</wp:posOffset>
                </wp:positionH>
                <wp:positionV relativeFrom="paragraph">
                  <wp:posOffset>7620</wp:posOffset>
                </wp:positionV>
                <wp:extent cx="1938655" cy="694055"/>
                <wp:effectExtent l="0" t="0" r="4445"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694055"/>
                        </a:xfrm>
                        <a:prstGeom prst="rect">
                          <a:avLst/>
                        </a:prstGeom>
                        <a:solidFill>
                          <a:srgbClr val="FFFFFF"/>
                        </a:solidFill>
                        <a:ln w="9525">
                          <a:solidFill>
                            <a:srgbClr val="000000"/>
                          </a:solidFill>
                          <a:miter lim="800000"/>
                          <a:headEnd/>
                          <a:tailEnd/>
                        </a:ln>
                      </wps:spPr>
                      <wps:txbx>
                        <w:txbxContent>
                          <w:p w14:paraId="2A192D5B" w14:textId="77777777" w:rsidR="005B484B" w:rsidRPr="00F76A91" w:rsidRDefault="005B484B" w:rsidP="009B153C">
                            <w:pPr>
                              <w:jc w:val="center"/>
                              <w:rPr>
                                <w:lang w:val="fr-BE"/>
                              </w:rPr>
                            </w:pPr>
                            <w:r w:rsidRPr="00F76A91">
                              <w:rPr>
                                <w:lang w:val="fr-BE"/>
                              </w:rPr>
                              <w:t>Transmission du règlement fiscal au Gouvernement wallon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F5B5" id="Zone de texte 22" o:spid="_x0000_s1036" type="#_x0000_t202" style="position:absolute;left:0;text-align:left;margin-left:24.6pt;margin-top:.6pt;width:152.65pt;height:5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">
                <v:textbox>
                  <w:txbxContent>
                    <w:p w14:paraId="2A192D5B" w14:textId="77777777" w:rsidR="005B484B" w:rsidRPr="00F76A91" w:rsidRDefault="005B484B" w:rsidP="009B153C">
                      <w:pPr>
                        <w:jc w:val="center"/>
                        <w:rPr>
                          <w:lang w:val="fr-BE"/>
                        </w:rPr>
                      </w:pPr>
                      <w:r w:rsidRPr="00F76A91">
                        <w:rPr>
                          <w:lang w:val="fr-BE"/>
                        </w:rPr>
                        <w:t>Transmission du règlement fiscal au Gouvernement wallon</w:t>
                      </w:r>
                    </w:p>
                  </w:txbxContent>
                </v:textbox>
              </v:shape>
            </w:pict>
          </mc:Fallback>
        </mc:AlternateContent>
      </w:r>
    </w:p>
    <w:p w14:paraId="7F524367" w14:textId="6F827AA6" w:rsidR="009B153C" w:rsidRPr="00E063FD" w:rsidRDefault="009B153C">
      <w:pPr>
        <w:jc w:val="both"/>
        <w:rPr>
          <w:rFonts w:asciiTheme="minorHAnsi" w:hAnsiTheme="minorHAnsi" w:cs="Calibri Light"/>
          <w:sz w:val="20"/>
          <w:szCs w:val="20"/>
          <w:lang w:val="fr-BE"/>
        </w:rPr>
      </w:pPr>
    </w:p>
    <w:p w14:paraId="11F0C4FA" w14:textId="7BA828B0" w:rsidR="009B153C" w:rsidRPr="00E063FD" w:rsidRDefault="008B0A44">
      <w:pPr>
        <w:jc w:val="both"/>
        <w:rPr>
          <w:rFonts w:asciiTheme="minorHAnsi" w:hAnsiTheme="minorHAnsi" w:cs="Calibri Light"/>
          <w:sz w:val="20"/>
          <w:szCs w:val="20"/>
          <w:lang w:val="fr-BE"/>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8240" behindDoc="0" locked="0" layoutInCell="1" allowOverlap="1" wp14:anchorId="1DD88902" wp14:editId="18C4ACB5">
                <wp:simplePos x="0" y="0"/>
                <wp:positionH relativeFrom="column">
                  <wp:posOffset>2244090</wp:posOffset>
                </wp:positionH>
                <wp:positionV relativeFrom="paragraph">
                  <wp:posOffset>24765</wp:posOffset>
                </wp:positionV>
                <wp:extent cx="1095375" cy="635"/>
                <wp:effectExtent l="0" t="76200" r="9525" b="75565"/>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52536" id="Connecteur droit avec flèche 20" o:spid="_x0000_s1026" type="#_x0000_t32" style="position:absolute;margin-left:176.7pt;margin-top:1.95pt;width:8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">
                <v:stroke endarrow="block"/>
              </v:shape>
            </w:pict>
          </mc:Fallback>
        </mc:AlternateContent>
      </w:r>
    </w:p>
    <w:p w14:paraId="5CC1565A" w14:textId="76B35EBC" w:rsidR="009B153C" w:rsidRPr="00E063FD" w:rsidRDefault="009B153C">
      <w:pPr>
        <w:jc w:val="both"/>
        <w:rPr>
          <w:rFonts w:asciiTheme="minorHAnsi" w:hAnsiTheme="minorHAnsi" w:cs="Calibri Light"/>
          <w:sz w:val="20"/>
          <w:szCs w:val="20"/>
          <w:lang w:val="fr-BE"/>
        </w:rPr>
      </w:pPr>
    </w:p>
    <w:p w14:paraId="001AA8FE" w14:textId="4FE04D11" w:rsidR="009B153C" w:rsidRPr="009A66C7" w:rsidRDefault="009B153C">
      <w:pPr>
        <w:jc w:val="both"/>
        <w:rPr>
          <w:rFonts w:asciiTheme="minorHAnsi" w:hAnsiTheme="minorHAnsi" w:cs="Calibri Light"/>
          <w:sz w:val="6"/>
          <w:szCs w:val="6"/>
          <w:lang w:val="fr-BE"/>
        </w:rPr>
      </w:pPr>
    </w:p>
    <w:p w14:paraId="19D1DA23" w14:textId="6A1392F4" w:rsidR="009B153C" w:rsidRPr="009A66C7" w:rsidRDefault="009B153C">
      <w:pPr>
        <w:jc w:val="both"/>
        <w:rPr>
          <w:rFonts w:asciiTheme="minorHAnsi" w:hAnsiTheme="minorHAnsi" w:cs="Calibri Light"/>
          <w:sz w:val="6"/>
          <w:szCs w:val="6"/>
          <w:lang w:val="fr-BE"/>
        </w:rPr>
      </w:pPr>
    </w:p>
    <w:p w14:paraId="22AA3D98" w14:textId="7CF528F3" w:rsidR="009B153C" w:rsidRPr="009A66C7" w:rsidRDefault="009B153C">
      <w:pPr>
        <w:pStyle w:val="WW-Standard"/>
        <w:rPr>
          <w:rFonts w:asciiTheme="minorHAnsi" w:hAnsiTheme="minorHAnsi" w:cs="Calibri Light"/>
          <w:sz w:val="6"/>
          <w:szCs w:val="6"/>
        </w:rPr>
      </w:pPr>
    </w:p>
    <w:p w14:paraId="7809BFFF" w14:textId="7EE605A2" w:rsidR="009B153C" w:rsidRPr="00E063FD" w:rsidRDefault="0065625F">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1072" behindDoc="0" locked="0" layoutInCell="1" allowOverlap="1" wp14:anchorId="64CFF5B1" wp14:editId="2C60C603">
                <wp:simplePos x="0" y="0"/>
                <wp:positionH relativeFrom="column">
                  <wp:posOffset>309245</wp:posOffset>
                </wp:positionH>
                <wp:positionV relativeFrom="paragraph">
                  <wp:posOffset>77470</wp:posOffset>
                </wp:positionV>
                <wp:extent cx="1938655" cy="382905"/>
                <wp:effectExtent l="0" t="0" r="4445"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382905"/>
                        </a:xfrm>
                        <a:prstGeom prst="rect">
                          <a:avLst/>
                        </a:prstGeom>
                        <a:solidFill>
                          <a:srgbClr val="FFFFFF"/>
                        </a:solidFill>
                        <a:ln w="9525">
                          <a:solidFill>
                            <a:srgbClr val="000000"/>
                          </a:solidFill>
                          <a:miter lim="800000"/>
                          <a:headEnd/>
                          <a:tailEnd/>
                        </a:ln>
                      </wps:spPr>
                      <wps:txbx>
                        <w:txbxContent>
                          <w:p w14:paraId="67961A9A" w14:textId="77777777" w:rsidR="005B484B" w:rsidRPr="00F76A91" w:rsidRDefault="005B484B" w:rsidP="009B153C">
                            <w:pPr>
                              <w:jc w:val="center"/>
                            </w:pPr>
                            <w:r w:rsidRPr="00F76A91">
                              <w:t>Approbation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F5B1" id="Zone de texte 18" o:spid="_x0000_s1037" type="#_x0000_t202" style="position:absolute;left:0;text-align:left;margin-left:24.35pt;margin-top:6.1pt;width:152.65pt;height:3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">
                <v:textbox>
                  <w:txbxContent>
                    <w:p w14:paraId="67961A9A" w14:textId="77777777" w:rsidR="005B484B" w:rsidRPr="00F76A91" w:rsidRDefault="005B484B" w:rsidP="009B153C">
                      <w:pPr>
                        <w:jc w:val="center"/>
                      </w:pPr>
                      <w:r w:rsidRPr="00F76A91">
                        <w:t>Approbation</w:t>
                      </w:r>
                    </w:p>
                  </w:txbxContent>
                </v:textbox>
              </v:shape>
            </w:pict>
          </mc:Fallback>
        </mc:AlternateContent>
      </w:r>
    </w:p>
    <w:p w14:paraId="29178C81" w14:textId="656054D6"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64384" behindDoc="0" locked="0" layoutInCell="1" allowOverlap="1" wp14:anchorId="64B20E39" wp14:editId="2F1DA43F">
                <wp:simplePos x="0" y="0"/>
                <wp:positionH relativeFrom="column">
                  <wp:posOffset>3405505</wp:posOffset>
                </wp:positionH>
                <wp:positionV relativeFrom="paragraph">
                  <wp:posOffset>85725</wp:posOffset>
                </wp:positionV>
                <wp:extent cx="152400" cy="664210"/>
                <wp:effectExtent l="0" t="0" r="19050" b="21590"/>
                <wp:wrapNone/>
                <wp:docPr id="21" name="Accolade fermant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4210"/>
                        </a:xfrm>
                        <a:prstGeom prst="rightBrace">
                          <a:avLst>
                            <a:gd name="adj1" fmla="val 41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ECE8C" id="Accolade fermante 21" o:spid="_x0000_s1026" type="#_x0000_t88" style="position:absolute;margin-left:268.15pt;margin-top:6.75pt;width:12pt;height: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" adj="2080"/>
            </w:pict>
          </mc:Fallback>
        </mc:AlternateContent>
      </w:r>
      <w:r w:rsidR="0065625F">
        <w:rPr>
          <w:rFonts w:asciiTheme="minorHAnsi" w:hAnsiTheme="minorHAnsi" w:cs="Calibri Light"/>
          <w:noProof/>
          <w:sz w:val="20"/>
          <w:szCs w:val="20"/>
          <w:lang w:val="fr-BE" w:eastAsia="fr-BE"/>
        </w:rPr>
        <mc:AlternateContent>
          <mc:Choice Requires="wps">
            <w:drawing>
              <wp:anchor distT="0" distB="0" distL="114300" distR="114300" simplePos="0" relativeHeight="251667456" behindDoc="0" locked="0" layoutInCell="1" allowOverlap="1" wp14:anchorId="170CE593" wp14:editId="655A863E">
                <wp:simplePos x="0" y="0"/>
                <wp:positionH relativeFrom="column">
                  <wp:posOffset>3669665</wp:posOffset>
                </wp:positionH>
                <wp:positionV relativeFrom="paragraph">
                  <wp:posOffset>123825</wp:posOffset>
                </wp:positionV>
                <wp:extent cx="1590675" cy="514350"/>
                <wp:effectExtent l="0" t="0" r="9525"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solidFill>
                          <a:srgbClr val="FFFFFF"/>
                        </a:solidFill>
                        <a:ln w="9525">
                          <a:solidFill>
                            <a:srgbClr val="000000"/>
                          </a:solidFill>
                          <a:miter lim="800000"/>
                          <a:headEnd/>
                          <a:tailEnd/>
                        </a:ln>
                      </wps:spPr>
                      <wps:txbx>
                        <w:txbxContent>
                          <w:p w14:paraId="13F8267F" w14:textId="77777777" w:rsidR="005B484B" w:rsidRPr="00F76A91" w:rsidRDefault="005B484B" w:rsidP="009B153C">
                            <w:r w:rsidRPr="00F76A91">
                              <w:t>Délai de 30 jours sauf prorogation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E593" id="Zone de texte 19" o:spid="_x0000_s1038" type="#_x0000_t202" style="position:absolute;left:0;text-align:left;margin-left:288.95pt;margin-top:9.75pt;width:125.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">
                <v:textbox>
                  <w:txbxContent>
                    <w:p w14:paraId="13F8267F" w14:textId="77777777" w:rsidR="005B484B" w:rsidRPr="00F76A91" w:rsidRDefault="005B484B" w:rsidP="009B153C">
                      <w:r w:rsidRPr="00F76A91">
                        <w:t>Délai de 30 jours sauf prorogation</w:t>
                      </w:r>
                    </w:p>
                  </w:txbxContent>
                </v:textbox>
              </v:shape>
            </w:pict>
          </mc:Fallback>
        </mc:AlternateContent>
      </w:r>
      <w:r w:rsidR="0065625F">
        <w:rPr>
          <w:rFonts w:asciiTheme="minorHAnsi" w:hAnsiTheme="minorHAnsi" w:cs="Calibri Light"/>
          <w:noProof/>
          <w:sz w:val="20"/>
          <w:szCs w:val="20"/>
          <w:lang w:val="fr-BE" w:eastAsia="fr-BE"/>
        </w:rPr>
        <mc:AlternateContent>
          <mc:Choice Requires="wps">
            <w:drawing>
              <wp:anchor distT="0" distB="0" distL="114300" distR="114300" simplePos="0" relativeHeight="251659264" behindDoc="0" locked="0" layoutInCell="1" allowOverlap="1" wp14:anchorId="19117779" wp14:editId="6380BB53">
                <wp:simplePos x="0" y="0"/>
                <wp:positionH relativeFrom="column">
                  <wp:posOffset>2212975</wp:posOffset>
                </wp:positionH>
                <wp:positionV relativeFrom="paragraph">
                  <wp:posOffset>62865</wp:posOffset>
                </wp:positionV>
                <wp:extent cx="1095375" cy="635"/>
                <wp:effectExtent l="0" t="76200" r="9525" b="75565"/>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227E1" id="Connecteur droit avec flèche 17" o:spid="_x0000_s1026" type="#_x0000_t32" style="position:absolute;margin-left:174.25pt;margin-top:4.95pt;width:8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">
                <v:stroke endarrow="block"/>
              </v:shape>
            </w:pict>
          </mc:Fallback>
        </mc:AlternateContent>
      </w:r>
    </w:p>
    <w:p w14:paraId="0775F5E0" w14:textId="350964F3" w:rsidR="009B153C" w:rsidRPr="00E063FD" w:rsidRDefault="00945630">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4144" behindDoc="0" locked="0" layoutInCell="1" allowOverlap="1" wp14:anchorId="4E210D36" wp14:editId="77C770A9">
                <wp:simplePos x="0" y="0"/>
                <wp:positionH relativeFrom="column">
                  <wp:posOffset>304800</wp:posOffset>
                </wp:positionH>
                <wp:positionV relativeFrom="paragraph">
                  <wp:posOffset>180340</wp:posOffset>
                </wp:positionV>
                <wp:extent cx="1938655" cy="668020"/>
                <wp:effectExtent l="0" t="0" r="4445"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668020"/>
                        </a:xfrm>
                        <a:prstGeom prst="rect">
                          <a:avLst/>
                        </a:prstGeom>
                        <a:solidFill>
                          <a:srgbClr val="FFFFFF"/>
                        </a:solidFill>
                        <a:ln w="9525">
                          <a:solidFill>
                            <a:srgbClr val="000000"/>
                          </a:solidFill>
                          <a:miter lim="800000"/>
                          <a:headEnd/>
                          <a:tailEnd/>
                        </a:ln>
                      </wps:spPr>
                      <wps:txbx>
                        <w:txbxContent>
                          <w:p w14:paraId="5ACE1888" w14:textId="77777777" w:rsidR="005B484B" w:rsidRPr="00F76A91" w:rsidRDefault="005B484B" w:rsidP="009B153C">
                            <w:pPr>
                              <w:jc w:val="center"/>
                              <w:rPr>
                                <w:lang w:val="fr-BE"/>
                              </w:rPr>
                            </w:pPr>
                            <w:r w:rsidRPr="00F76A91">
                              <w:rPr>
                                <w:lang w:val="fr-BE"/>
                              </w:rPr>
                              <w:t>Réception de l’arrêté ministériel au Collège communal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0D36" id="Zone de texte 16" o:spid="_x0000_s1039" type="#_x0000_t202" style="position:absolute;left:0;text-align:left;margin-left:24pt;margin-top:14.2pt;width:152.65pt;height:5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">
                <v:textbox>
                  <w:txbxContent>
                    <w:p w14:paraId="5ACE1888" w14:textId="77777777" w:rsidR="005B484B" w:rsidRPr="00F76A91" w:rsidRDefault="005B484B" w:rsidP="009B153C">
                      <w:pPr>
                        <w:jc w:val="center"/>
                        <w:rPr>
                          <w:lang w:val="fr-BE"/>
                        </w:rPr>
                      </w:pPr>
                      <w:r w:rsidRPr="00F76A91">
                        <w:rPr>
                          <w:lang w:val="fr-BE"/>
                        </w:rPr>
                        <w:t>Réception de l’arrêté ministériel au Collège communal</w:t>
                      </w:r>
                    </w:p>
                  </w:txbxContent>
                </v:textbox>
              </v:shape>
            </w:pict>
          </mc:Fallback>
        </mc:AlternateContent>
      </w:r>
    </w:p>
    <w:p w14:paraId="53665104" w14:textId="603B426C" w:rsidR="009B153C" w:rsidRPr="00E063FD" w:rsidRDefault="009B153C">
      <w:pPr>
        <w:pStyle w:val="WW-Standard"/>
        <w:rPr>
          <w:rFonts w:asciiTheme="minorHAnsi" w:hAnsiTheme="minorHAnsi" w:cs="Calibri Light"/>
          <w:sz w:val="20"/>
          <w:szCs w:val="20"/>
        </w:rPr>
      </w:pPr>
    </w:p>
    <w:p w14:paraId="173EDA9A" w14:textId="75B5C68A"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78720" behindDoc="0" locked="0" layoutInCell="1" allowOverlap="1" wp14:anchorId="5FC84A75" wp14:editId="4FBFB906">
                <wp:simplePos x="0" y="0"/>
                <wp:positionH relativeFrom="margin">
                  <wp:posOffset>3390265</wp:posOffset>
                </wp:positionH>
                <wp:positionV relativeFrom="paragraph">
                  <wp:posOffset>123825</wp:posOffset>
                </wp:positionV>
                <wp:extent cx="144780" cy="876935"/>
                <wp:effectExtent l="0" t="0" r="26670" b="18415"/>
                <wp:wrapNone/>
                <wp:docPr id="32" name="Accolade fermant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876935"/>
                        </a:xfrm>
                        <a:prstGeom prst="rightBrace">
                          <a:avLst>
                            <a:gd name="adj1" fmla="val 41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43D1" id="Accolade fermante 32" o:spid="_x0000_s1026" type="#_x0000_t88" style="position:absolute;margin-left:266.95pt;margin-top:9.75pt;width:11.4pt;height:69.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" adj="1497">
                <w10:wrap anchorx="margin"/>
              </v:shape>
            </w:pict>
          </mc:Fallback>
        </mc:AlternateContent>
      </w:r>
      <w:r w:rsidR="0065625F">
        <w:rPr>
          <w:rFonts w:asciiTheme="minorHAnsi" w:hAnsiTheme="minorHAnsi" w:cs="Calibri Light"/>
          <w:noProof/>
          <w:sz w:val="20"/>
          <w:szCs w:val="20"/>
          <w:lang w:val="fr-BE" w:eastAsia="fr-BE"/>
        </w:rPr>
        <mc:AlternateContent>
          <mc:Choice Requires="wps">
            <w:drawing>
              <wp:anchor distT="0" distB="0" distL="114300" distR="114300" simplePos="0" relativeHeight="251660288" behindDoc="0" locked="0" layoutInCell="1" allowOverlap="1" wp14:anchorId="6504A98E" wp14:editId="07EAD68A">
                <wp:simplePos x="0" y="0"/>
                <wp:positionH relativeFrom="column">
                  <wp:posOffset>2231390</wp:posOffset>
                </wp:positionH>
                <wp:positionV relativeFrom="paragraph">
                  <wp:posOffset>51435</wp:posOffset>
                </wp:positionV>
                <wp:extent cx="1071245" cy="635"/>
                <wp:effectExtent l="0" t="76200" r="0" b="7556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E9DAC" id="Connecteur droit avec flèche 15" o:spid="_x0000_s1026" type="#_x0000_t32" style="position:absolute;margin-left:175.7pt;margin-top:4.05pt;width:84.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">
                <v:stroke endarrow="block"/>
              </v:shape>
            </w:pict>
          </mc:Fallback>
        </mc:AlternateContent>
      </w:r>
    </w:p>
    <w:p w14:paraId="6154F8BF" w14:textId="681AE7BF"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68480" behindDoc="0" locked="0" layoutInCell="1" allowOverlap="1" wp14:anchorId="2B5152A9" wp14:editId="28284AE7">
                <wp:simplePos x="0" y="0"/>
                <wp:positionH relativeFrom="column">
                  <wp:posOffset>3646805</wp:posOffset>
                </wp:positionH>
                <wp:positionV relativeFrom="paragraph">
                  <wp:posOffset>82550</wp:posOffset>
                </wp:positionV>
                <wp:extent cx="1675765" cy="485775"/>
                <wp:effectExtent l="0" t="0" r="635"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85775"/>
                        </a:xfrm>
                        <a:prstGeom prst="rect">
                          <a:avLst/>
                        </a:prstGeom>
                        <a:solidFill>
                          <a:srgbClr val="FFFFFF"/>
                        </a:solidFill>
                        <a:ln w="9525">
                          <a:solidFill>
                            <a:srgbClr val="000000"/>
                          </a:solidFill>
                          <a:miter lim="800000"/>
                          <a:headEnd/>
                          <a:tailEnd/>
                        </a:ln>
                      </wps:spPr>
                      <wps:txbx>
                        <w:txbxContent>
                          <w:p w14:paraId="00882072" w14:textId="77777777" w:rsidR="005B484B" w:rsidRPr="00F76A91" w:rsidRDefault="005B484B" w:rsidP="009B153C">
                            <w:r w:rsidRPr="00F76A91">
                              <w:t>5 jours sauf disposition contraire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152A9" id="Zone de texte 11" o:spid="_x0000_s1040" type="#_x0000_t202" style="position:absolute;left:0;text-align:left;margin-left:287.15pt;margin-top:6.5pt;width:131.9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">
                <v:textbox>
                  <w:txbxContent>
                    <w:p w14:paraId="00882072" w14:textId="77777777" w:rsidR="005B484B" w:rsidRPr="00F76A91" w:rsidRDefault="005B484B" w:rsidP="009B153C">
                      <w:r w:rsidRPr="00F76A91">
                        <w:t>5 jours sauf disposition contraire</w:t>
                      </w:r>
                    </w:p>
                  </w:txbxContent>
                </v:textbox>
              </v:shape>
            </w:pict>
          </mc:Fallback>
        </mc:AlternateContent>
      </w:r>
    </w:p>
    <w:p w14:paraId="13D79713" w14:textId="4E565E78" w:rsidR="009B153C" w:rsidRPr="00E063FD" w:rsidRDefault="009B153C">
      <w:pPr>
        <w:pStyle w:val="WW-Standard"/>
        <w:rPr>
          <w:rFonts w:asciiTheme="minorHAnsi" w:hAnsiTheme="minorHAnsi" w:cs="Calibri Light"/>
          <w:sz w:val="20"/>
          <w:szCs w:val="20"/>
        </w:rPr>
      </w:pPr>
    </w:p>
    <w:p w14:paraId="50CB65A7" w14:textId="0F19B3FF"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5168" behindDoc="0" locked="0" layoutInCell="1" allowOverlap="1" wp14:anchorId="7EE99DB9" wp14:editId="6C1CC223">
                <wp:simplePos x="0" y="0"/>
                <wp:positionH relativeFrom="column">
                  <wp:posOffset>278765</wp:posOffset>
                </wp:positionH>
                <wp:positionV relativeFrom="paragraph">
                  <wp:posOffset>66040</wp:posOffset>
                </wp:positionV>
                <wp:extent cx="1938655" cy="504825"/>
                <wp:effectExtent l="0" t="0" r="4445" b="952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04825"/>
                        </a:xfrm>
                        <a:prstGeom prst="rect">
                          <a:avLst/>
                        </a:prstGeom>
                        <a:solidFill>
                          <a:srgbClr val="FFFFFF"/>
                        </a:solidFill>
                        <a:ln w="9525">
                          <a:solidFill>
                            <a:srgbClr val="000000"/>
                          </a:solidFill>
                          <a:miter lim="800000"/>
                          <a:headEnd/>
                          <a:tailEnd/>
                        </a:ln>
                      </wps:spPr>
                      <wps:txbx>
                        <w:txbxContent>
                          <w:p w14:paraId="42EBED1B" w14:textId="77777777" w:rsidR="005B484B" w:rsidRPr="00F76A91" w:rsidRDefault="005B484B" w:rsidP="009B153C">
                            <w:pPr>
                              <w:jc w:val="center"/>
                              <w:rPr>
                                <w:lang w:val="fr-BE"/>
                              </w:rPr>
                            </w:pPr>
                            <w:r w:rsidRPr="00F76A91">
                              <w:rPr>
                                <w:lang w:val="fr-BE"/>
                              </w:rPr>
                              <w:t>Publication et inscription au registre des publications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9DB9" id="Zone de texte 14" o:spid="_x0000_s1041" type="#_x0000_t202" style="position:absolute;left:0;text-align:left;margin-left:21.95pt;margin-top:5.2pt;width:152.6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">
                <v:textbox>
                  <w:txbxContent>
                    <w:p w14:paraId="42EBED1B" w14:textId="77777777" w:rsidR="005B484B" w:rsidRPr="00F76A91" w:rsidRDefault="005B484B" w:rsidP="009B153C">
                      <w:pPr>
                        <w:jc w:val="center"/>
                        <w:rPr>
                          <w:lang w:val="fr-BE"/>
                        </w:rPr>
                      </w:pPr>
                      <w:r w:rsidRPr="00F76A91">
                        <w:rPr>
                          <w:lang w:val="fr-BE"/>
                        </w:rPr>
                        <w:t>Publication et inscription au registre des publications</w:t>
                      </w:r>
                    </w:p>
                  </w:txbxContent>
                </v:textbox>
              </v:shape>
            </w:pict>
          </mc:Fallback>
        </mc:AlternateContent>
      </w:r>
    </w:p>
    <w:p w14:paraId="2607A8E3" w14:textId="0D6AE9F8"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76672" behindDoc="0" locked="0" layoutInCell="1" allowOverlap="1" wp14:anchorId="0DD20CE0" wp14:editId="5A67D41E">
                <wp:simplePos x="0" y="0"/>
                <wp:positionH relativeFrom="column">
                  <wp:posOffset>2232660</wp:posOffset>
                </wp:positionH>
                <wp:positionV relativeFrom="paragraph">
                  <wp:posOffset>78105</wp:posOffset>
                </wp:positionV>
                <wp:extent cx="1071245" cy="635"/>
                <wp:effectExtent l="0" t="76200" r="0" b="7556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93F66" id="Connecteur droit avec flèche 5" o:spid="_x0000_s1026" type="#_x0000_t32" style="position:absolute;margin-left:175.8pt;margin-top:6.15pt;width:84.3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">
                <v:stroke endarrow="block"/>
              </v:shape>
            </w:pict>
          </mc:Fallback>
        </mc:AlternateContent>
      </w:r>
    </w:p>
    <w:p w14:paraId="0EE6D18D" w14:textId="77DA0420" w:rsidR="009B153C" w:rsidRPr="00E063FD" w:rsidRDefault="009B153C">
      <w:pPr>
        <w:pStyle w:val="WW-Standard"/>
        <w:rPr>
          <w:rFonts w:asciiTheme="minorHAnsi" w:hAnsiTheme="minorHAnsi" w:cs="Calibri Light"/>
          <w:sz w:val="20"/>
          <w:szCs w:val="20"/>
        </w:rPr>
      </w:pPr>
    </w:p>
    <w:p w14:paraId="4801D3D5" w14:textId="30376E8F" w:rsidR="009B153C" w:rsidRPr="00E063FD" w:rsidRDefault="008B0A44">
      <w:pPr>
        <w:pStyle w:val="WW-Standard"/>
        <w:rPr>
          <w:rFonts w:asciiTheme="minorHAnsi" w:hAnsiTheme="minorHAnsi" w:cs="Calibri Light"/>
          <w:sz w:val="20"/>
          <w:szCs w:val="20"/>
        </w:rPr>
      </w:pPr>
      <w:r>
        <w:rPr>
          <w:rFonts w:asciiTheme="minorHAnsi" w:hAnsiTheme="minorHAnsi" w:cs="Calibri Light"/>
          <w:noProof/>
          <w:sz w:val="20"/>
          <w:szCs w:val="20"/>
          <w:lang w:val="fr-BE" w:eastAsia="fr-BE"/>
        </w:rPr>
        <mc:AlternateContent>
          <mc:Choice Requires="wps">
            <w:drawing>
              <wp:anchor distT="0" distB="0" distL="114300" distR="114300" simplePos="0" relativeHeight="251652096" behindDoc="0" locked="0" layoutInCell="1" allowOverlap="1" wp14:anchorId="5CE30C05" wp14:editId="26403947">
                <wp:simplePos x="0" y="0"/>
                <wp:positionH relativeFrom="margin">
                  <wp:posOffset>1971040</wp:posOffset>
                </wp:positionH>
                <wp:positionV relativeFrom="paragraph">
                  <wp:posOffset>161925</wp:posOffset>
                </wp:positionV>
                <wp:extent cx="1724660" cy="342900"/>
                <wp:effectExtent l="0" t="0" r="27940"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42900"/>
                        </a:xfrm>
                        <a:prstGeom prst="rect">
                          <a:avLst/>
                        </a:prstGeom>
                        <a:solidFill>
                          <a:srgbClr val="FFFFFF"/>
                        </a:solidFill>
                        <a:ln w="9525">
                          <a:solidFill>
                            <a:srgbClr val="000000"/>
                          </a:solidFill>
                          <a:miter lim="800000"/>
                          <a:headEnd/>
                          <a:tailEnd/>
                        </a:ln>
                      </wps:spPr>
                      <wps:txbx>
                        <w:txbxContent>
                          <w:p w14:paraId="27F5E9C0" w14:textId="77777777" w:rsidR="005B484B" w:rsidRPr="00F76A91" w:rsidRDefault="005B484B" w:rsidP="009B153C">
                            <w:pPr>
                              <w:jc w:val="center"/>
                              <w:rPr>
                                <w:b/>
                              </w:rPr>
                            </w:pPr>
                            <w:r w:rsidRPr="00F76A91">
                              <w:rPr>
                                <w:b/>
                              </w:rPr>
                              <w:t>Entrée en vigueur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0C05" id="Zone de texte 9" o:spid="_x0000_s1042" type="#_x0000_t202" style="position:absolute;left:0;text-align:left;margin-left:155.2pt;margin-top:12.75pt;width:135.8pt;height:2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">
                <v:textbox>
                  <w:txbxContent>
                    <w:p w14:paraId="27F5E9C0" w14:textId="77777777" w:rsidR="005B484B" w:rsidRPr="00F76A91" w:rsidRDefault="005B484B" w:rsidP="009B153C">
                      <w:pPr>
                        <w:jc w:val="center"/>
                        <w:rPr>
                          <w:b/>
                        </w:rPr>
                      </w:pPr>
                      <w:r w:rsidRPr="00F76A91">
                        <w:rPr>
                          <w:b/>
                        </w:rPr>
                        <w:t>Entrée en vigueur</w:t>
                      </w:r>
                    </w:p>
                  </w:txbxContent>
                </v:textbox>
                <w10:wrap anchorx="margin"/>
              </v:shape>
            </w:pict>
          </mc:Fallback>
        </mc:AlternateContent>
      </w:r>
    </w:p>
    <w:p w14:paraId="2BA2A3F8" w14:textId="19793803" w:rsidR="00453CB4" w:rsidRDefault="00453CB4" w:rsidP="00E063FD">
      <w:pPr>
        <w:rPr>
          <w:sz w:val="20"/>
          <w:szCs w:val="20"/>
        </w:rPr>
      </w:pPr>
    </w:p>
    <w:p w14:paraId="3A9E0E48" w14:textId="77777777" w:rsidR="00700A6A" w:rsidRDefault="00700A6A" w:rsidP="00581DAD">
      <w:pPr>
        <w:pStyle w:val="Sam2"/>
      </w:pPr>
      <w:bookmarkStart w:id="3782" w:name="_Toc40185384"/>
      <w:bookmarkStart w:id="3783" w:name="_Toc40186119"/>
      <w:bookmarkStart w:id="3784" w:name="_Toc74557655"/>
      <w:bookmarkEnd w:id="3782"/>
      <w:bookmarkEnd w:id="3783"/>
      <w:r>
        <w:lastRenderedPageBreak/>
        <w:t>Définitions</w:t>
      </w:r>
      <w:bookmarkEnd w:id="3784"/>
    </w:p>
    <w:p w14:paraId="5C96BAD1" w14:textId="560292AE" w:rsidR="00892FFC" w:rsidRPr="00DA6BD2" w:rsidRDefault="00C20C0E" w:rsidP="00256E9F">
      <w:pPr>
        <w:pStyle w:val="Sam3"/>
      </w:pPr>
      <w:bookmarkStart w:id="3785" w:name="_Toc74557656"/>
      <w:r>
        <w:t xml:space="preserve">VI.2.1 </w:t>
      </w:r>
      <w:r w:rsidR="00892FFC">
        <w:t>Impôt communal et redevance</w:t>
      </w:r>
      <w:bookmarkEnd w:id="3785"/>
      <w:r w:rsidR="00892FFC">
        <w:t xml:space="preserve"> </w:t>
      </w:r>
    </w:p>
    <w:p w14:paraId="6D2AE37D" w14:textId="77777777" w:rsidR="002F4432" w:rsidRDefault="002F4432" w:rsidP="002F4432">
      <w:pPr>
        <w:spacing w:before="120"/>
        <w:jc w:val="both"/>
        <w:textAlignment w:val="baseline"/>
      </w:pPr>
      <w:bookmarkStart w:id="3786" w:name="_Toc516231121"/>
      <w:bookmarkStart w:id="3787" w:name="_Toc516231416"/>
      <w:bookmarkStart w:id="3788" w:name="_Toc516231712"/>
      <w:bookmarkStart w:id="3789" w:name="_Toc516242807"/>
      <w:bookmarkStart w:id="3790" w:name="_Toc516243110"/>
      <w:bookmarkStart w:id="3791" w:name="_Toc516229649"/>
      <w:bookmarkStart w:id="3792" w:name="_Toc516229944"/>
      <w:bookmarkStart w:id="3793" w:name="_Toc516230239"/>
      <w:bookmarkStart w:id="3794" w:name="_Toc516230534"/>
      <w:bookmarkStart w:id="3795" w:name="_Toc516230827"/>
      <w:bookmarkStart w:id="3796" w:name="_Toc516231122"/>
      <w:bookmarkStart w:id="3797" w:name="_Toc516231417"/>
      <w:bookmarkStart w:id="3798" w:name="_Toc516231713"/>
      <w:bookmarkStart w:id="3799" w:name="_Toc516242808"/>
      <w:bookmarkStart w:id="3800" w:name="_Toc516243111"/>
      <w:bookmarkStart w:id="3801" w:name="_Toc516227838"/>
      <w:bookmarkStart w:id="3802" w:name="_Toc516229650"/>
      <w:bookmarkStart w:id="3803" w:name="_Toc516229945"/>
      <w:bookmarkStart w:id="3804" w:name="_Toc516230240"/>
      <w:bookmarkStart w:id="3805" w:name="_Toc516230535"/>
      <w:bookmarkStart w:id="3806" w:name="_Toc516230828"/>
      <w:bookmarkStart w:id="3807" w:name="_Toc516231123"/>
      <w:bookmarkStart w:id="3808" w:name="_Toc516231418"/>
      <w:bookmarkStart w:id="3809" w:name="_Toc516231714"/>
      <w:bookmarkStart w:id="3810" w:name="_Toc516242809"/>
      <w:bookmarkStart w:id="3811" w:name="_Toc516243112"/>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r>
        <w:t xml:space="preserve">Le législateur ne donne pas de définition des notions « d’impôt communal » et de « redevance ». </w:t>
      </w:r>
    </w:p>
    <w:p w14:paraId="216611DF" w14:textId="370C749F" w:rsidR="002F4432" w:rsidRDefault="002F4432" w:rsidP="002F4432">
      <w:pPr>
        <w:spacing w:before="120"/>
        <w:jc w:val="both"/>
        <w:textAlignment w:val="baseline"/>
      </w:pPr>
      <w:r>
        <w:t xml:space="preserve">La distinction entre un règlement-taxe et un règlement-redevance s’effectue sur la base des principes généraux qui découlent de la Constitution, des principes généraux de droit et de la jurisprudence en la matière. Ces principes s'imposent à l'ensemble des communes du Royaume et, par conséquent </w:t>
      </w:r>
      <w:r w:rsidR="00E96525" w:rsidRPr="008D7EB7">
        <w:t>aux</w:t>
      </w:r>
      <w:r>
        <w:t xml:space="preserve"> communes qui font partie de la Région Wallonne.</w:t>
      </w:r>
    </w:p>
    <w:p w14:paraId="63C85B5F" w14:textId="77777777" w:rsidR="002F4432" w:rsidRDefault="002F4432" w:rsidP="00256E9F">
      <w:pPr>
        <w:spacing w:before="120" w:after="240"/>
        <w:jc w:val="both"/>
        <w:textAlignment w:val="baseline"/>
      </w:pPr>
      <w:r>
        <w:t>En dernière ressort, c'est au juge qu'il appartient de trancher sur la base des conditions concrètes du règlement si celui-ci concerne un impôt communal ou une redevance.</w:t>
      </w:r>
    </w:p>
    <w:p w14:paraId="412ECAA8" w14:textId="2B5E0F03" w:rsidR="00DB0DFD" w:rsidRDefault="00DB0DFD" w:rsidP="002F4432">
      <w:pPr>
        <w:spacing w:before="120"/>
        <w:jc w:val="both"/>
        <w:textAlignment w:val="baseline"/>
      </w:pPr>
      <w:r w:rsidRPr="008D7EB7">
        <w:rPr>
          <w:b/>
          <w:bCs/>
          <w:u w:val="single"/>
        </w:rPr>
        <w:t>Impôt communal</w:t>
      </w:r>
      <w:r w:rsidRPr="008D7EB7">
        <w:rPr>
          <w:b/>
          <w:bCs/>
        </w:rPr>
        <w:t> </w:t>
      </w:r>
      <w:r w:rsidRPr="00DB0DFD">
        <w:t>:</w:t>
      </w:r>
    </w:p>
    <w:p w14:paraId="186630AB" w14:textId="73E2D9C4" w:rsidR="002F4432" w:rsidRDefault="002F4432" w:rsidP="00256E9F">
      <w:pPr>
        <w:spacing w:before="120" w:after="240"/>
        <w:ind w:left="284"/>
        <w:jc w:val="both"/>
        <w:textAlignment w:val="baseline"/>
      </w:pPr>
      <w:r>
        <w:t xml:space="preserve">Sur la base </w:t>
      </w:r>
      <w:r w:rsidR="00DB0DFD">
        <w:t xml:space="preserve">de </w:t>
      </w:r>
      <w:r>
        <w:t xml:space="preserve">la jurisprudence concordante de la Cour de </w:t>
      </w:r>
      <w:proofErr w:type="gramStart"/>
      <w:r>
        <w:t>Cassation</w:t>
      </w:r>
      <w:proofErr w:type="gramEnd"/>
      <w:r w:rsidR="007855E9">
        <w:rPr>
          <w:rStyle w:val="Appelnotedebasdep"/>
        </w:rPr>
        <w:footnoteReference w:id="41"/>
      </w:r>
      <w:r>
        <w:t xml:space="preserve">, l'impôt communal peut être défini comme un prélèvement pratiqué </w:t>
      </w:r>
      <w:bookmarkStart w:id="3812" w:name="_Hlk35429461"/>
      <w:r>
        <w:t xml:space="preserve">par voie d'autorité par la commune </w:t>
      </w:r>
      <w:bookmarkEnd w:id="3812"/>
      <w:r>
        <w:t>sur les ressources des personnes (de droit public ou de droit privé), des sociétés sans personnification civile et des associations de fait ou communautés existant sur leur territoire ou possédant des intérêts, pour être affecté aux services d'utilité générale.</w:t>
      </w:r>
    </w:p>
    <w:p w14:paraId="13A20885" w14:textId="1A1D23C4" w:rsidR="00DB0DFD" w:rsidRDefault="00DB0DFD" w:rsidP="002F4432">
      <w:pPr>
        <w:spacing w:before="120"/>
        <w:jc w:val="both"/>
        <w:textAlignment w:val="baseline"/>
      </w:pPr>
      <w:r w:rsidRPr="008D7EB7">
        <w:rPr>
          <w:b/>
          <w:bCs/>
          <w:u w:val="single"/>
        </w:rPr>
        <w:t>Redevance</w:t>
      </w:r>
      <w:r>
        <w:t> :</w:t>
      </w:r>
    </w:p>
    <w:p w14:paraId="2365CBD7" w14:textId="1F8AE6F3" w:rsidR="002F4432" w:rsidRDefault="002F4432" w:rsidP="008D7EB7">
      <w:pPr>
        <w:spacing w:before="120"/>
        <w:ind w:left="284"/>
        <w:jc w:val="both"/>
        <w:textAlignment w:val="baseline"/>
      </w:pPr>
      <w:r>
        <w:t xml:space="preserve">Selon la jurisprudence concordante de la Cour de </w:t>
      </w:r>
      <w:proofErr w:type="gramStart"/>
      <w:r>
        <w:t>Cassation</w:t>
      </w:r>
      <w:proofErr w:type="gramEnd"/>
      <w:r w:rsidR="007855E9">
        <w:rPr>
          <w:rStyle w:val="Appelnotedebasdep"/>
        </w:rPr>
        <w:footnoteReference w:id="42"/>
      </w:r>
      <w:r>
        <w:t xml:space="preserve"> et de la Cour Constitutionnelle</w:t>
      </w:r>
      <w:r w:rsidR="007855E9">
        <w:rPr>
          <w:rStyle w:val="Appelnotedebasdep"/>
        </w:rPr>
        <w:footnoteReference w:id="43"/>
      </w:r>
      <w:r>
        <w:t>, une redevance peut être décrite comme suit : une redevance est l’indemnisation que les autorités réclament à certains redevables en contrepartie d’un service spécial presté ou d’un avantage direct et particulier accordé dans leur intérêt personnel.  Il est sans importance que le service presté par voie d'autorité par la commune soit demandé librement par le particulier ou lui soit imposé par une réglementation quelconque.</w:t>
      </w:r>
    </w:p>
    <w:p w14:paraId="1349C808" w14:textId="77777777" w:rsidR="002F4432" w:rsidRDefault="002F4432" w:rsidP="008D7EB7">
      <w:pPr>
        <w:spacing w:before="120"/>
        <w:ind w:left="284"/>
        <w:jc w:val="both"/>
        <w:textAlignment w:val="baseline"/>
      </w:pPr>
      <w:r>
        <w:t xml:space="preserve">Autrement dit, la redevance est essentiellement la rémunération que la commune réclame à certains redevables en contrepartie d’une prestation spéciale qu’elle a effectuée à leur profit personnel ou d’un avantage direct et particulier qu’elle leur a accordé. </w:t>
      </w:r>
    </w:p>
    <w:p w14:paraId="108B94FB" w14:textId="2FD88089" w:rsidR="002F4432" w:rsidRDefault="002F4432" w:rsidP="008D7EB7">
      <w:pPr>
        <w:spacing w:before="120"/>
        <w:ind w:left="284"/>
        <w:jc w:val="both"/>
        <w:textAlignment w:val="baseline"/>
      </w:pPr>
      <w:r>
        <w:t>Vu son caractère d’indemnisation, je recommande à l’autorité d’être attentive à établir un rapport raisonnable entre, d’une part, le coût ou la valeur réel du service fourni et, d’autre part</w:t>
      </w:r>
      <w:r w:rsidRPr="00ED3F85">
        <w:t>,</w:t>
      </w:r>
      <w:r w:rsidR="00E96525" w:rsidRPr="00ED3F85">
        <w:t xml:space="preserve"> </w:t>
      </w:r>
      <w:r w:rsidRPr="00ED3F85">
        <w:t>l</w:t>
      </w:r>
      <w:r>
        <w:t xml:space="preserve">’indemnité due par le redevable. </w:t>
      </w:r>
    </w:p>
    <w:p w14:paraId="55DF0BE4" w14:textId="77777777" w:rsidR="002F4432" w:rsidRDefault="002F4432" w:rsidP="008D7EB7">
      <w:pPr>
        <w:spacing w:before="120"/>
        <w:ind w:left="284"/>
        <w:jc w:val="both"/>
        <w:textAlignment w:val="baseline"/>
      </w:pPr>
      <w:r>
        <w:t xml:space="preserve">J’attire l’attention sur le fait que cette adéquation entre le coût réel du service et la redevance demandée, n'exclut pas l'établissement de forfaits pour la récupération de montants peu élevés. </w:t>
      </w:r>
    </w:p>
    <w:p w14:paraId="68D81832" w14:textId="77777777" w:rsidR="002F4432" w:rsidRDefault="002F4432" w:rsidP="008D7EB7">
      <w:pPr>
        <w:spacing w:before="120"/>
        <w:ind w:left="284"/>
        <w:jc w:val="both"/>
        <w:textAlignment w:val="baseline"/>
      </w:pPr>
      <w:r>
        <w:t xml:space="preserve">Cependant, en cas d'adoption de taux forfaitaire, la commune doit pouvoir, sur demande des services de tutelle, justifier ce taux. Les services de la tutelle vérifieront si le montant perçu sur la base du règlement doit être qualifié de redevance ou, d’impôt. Si au terme de cette analyse, il s’avère que le forfait demandé ne présente pas de rapport raisonnable avec le service rendu au redevable, la redevance sera considérée comme un impôt communal. </w:t>
      </w:r>
    </w:p>
    <w:p w14:paraId="1E50E122" w14:textId="7FC9FEDD" w:rsidR="00D840B3" w:rsidRPr="00D840B3" w:rsidRDefault="00D840B3" w:rsidP="00E063FD">
      <w:pPr>
        <w:spacing w:before="120"/>
        <w:jc w:val="both"/>
        <w:textAlignment w:val="baseline"/>
        <w:rPr>
          <w:rFonts w:asciiTheme="minorHAnsi" w:hAnsiTheme="minorHAnsi" w:cs="Calibri Light"/>
        </w:rPr>
      </w:pPr>
      <w:r w:rsidRPr="008D7EB7">
        <w:rPr>
          <w:rFonts w:asciiTheme="minorHAnsi" w:hAnsiTheme="minorHAnsi" w:cs="Calibri Light"/>
          <w:b/>
          <w:bCs/>
          <w:u w:val="single"/>
        </w:rPr>
        <w:lastRenderedPageBreak/>
        <w:t>Remarque</w:t>
      </w:r>
      <w:r w:rsidRPr="008D7EB7">
        <w:rPr>
          <w:rFonts w:asciiTheme="minorHAnsi" w:hAnsiTheme="minorHAnsi" w:cs="Calibri Light"/>
          <w:b/>
          <w:bCs/>
        </w:rPr>
        <w:t xml:space="preserve"> : </w:t>
      </w:r>
      <w:r w:rsidRPr="008D7EB7">
        <w:rPr>
          <w:rFonts w:asciiTheme="minorHAnsi" w:hAnsiTheme="minorHAnsi" w:cs="Calibri Light"/>
        </w:rPr>
        <w:t>Intérêt de la distinction entre impôt communal et redevance</w:t>
      </w:r>
    </w:p>
    <w:p w14:paraId="04F663A1" w14:textId="52BF487D" w:rsidR="00D840B3" w:rsidRDefault="00D840B3" w:rsidP="00D840B3">
      <w:pPr>
        <w:spacing w:before="120"/>
        <w:jc w:val="both"/>
        <w:textAlignment w:val="baseline"/>
        <w:rPr>
          <w:lang w:val="fr-BE"/>
        </w:rPr>
      </w:pPr>
      <w:r>
        <w:t xml:space="preserve">Dans le cadre d’une redevance, l’administration fiscale fédérale est susceptible d’examiner si les sommes versées en exécution du règlement-taxe ne constituent pas, sur la base des éléments de droit et de fait, des revenus mobiliers visés à l’article </w:t>
      </w:r>
      <w:r w:rsidR="001044C0">
        <w:t>17, §</w:t>
      </w:r>
      <w:r>
        <w:t xml:space="preserve"> 1er, 3° du code des impôts sur les revenus.</w:t>
      </w:r>
    </w:p>
    <w:p w14:paraId="7B58C843" w14:textId="77777777" w:rsidR="00D840B3" w:rsidRDefault="00D840B3" w:rsidP="00D840B3">
      <w:pPr>
        <w:spacing w:before="120"/>
        <w:jc w:val="both"/>
        <w:textAlignment w:val="baseline"/>
      </w:pPr>
      <w:r>
        <w:t>Cet article prévoit que les revenus des capitaux et biens mobiliers sont tous les produits d'</w:t>
      </w:r>
      <w:proofErr w:type="spellStart"/>
      <w:r>
        <w:t>avoirs</w:t>
      </w:r>
      <w:proofErr w:type="spellEnd"/>
      <w:r>
        <w:t xml:space="preserve"> mobiliers engagés à quelque titre que ce soit, à savoir notamment les revenus de la location, de l'affermage, de l'usage et de la concession de biens mobiliers.</w:t>
      </w:r>
    </w:p>
    <w:p w14:paraId="1807BC10" w14:textId="78367FFF" w:rsidR="00D840B3" w:rsidRDefault="00D840B3" w:rsidP="00D840B3">
      <w:pPr>
        <w:spacing w:before="120"/>
        <w:jc w:val="both"/>
        <w:textAlignment w:val="baseline"/>
      </w:pPr>
      <w:r>
        <w:t xml:space="preserve">Dans l’éventualité où les rétributions issues d’un règlement-redevance doivent être considérées comme des revenus mobiliers, le débiteur des revenus serait en principe redevable dans les 15 jours de la </w:t>
      </w:r>
      <w:r w:rsidR="001044C0">
        <w:t>mis</w:t>
      </w:r>
      <w:r w:rsidR="001044C0" w:rsidRPr="00ED3F85">
        <w:t>e en</w:t>
      </w:r>
      <w:r>
        <w:t xml:space="preserve"> paiement des revenus d’un précompte </w:t>
      </w:r>
      <w:r w:rsidR="001044C0">
        <w:t>mobilie</w:t>
      </w:r>
      <w:r w:rsidR="001044C0" w:rsidRPr="00ED3F85">
        <w:t>r de</w:t>
      </w:r>
      <w:r>
        <w:t xml:space="preserve"> 30% sur un montant qui </w:t>
      </w:r>
      <w:r w:rsidR="00E96525" w:rsidRPr="00ED3F85">
        <w:t>est</w:t>
      </w:r>
      <w:r w:rsidR="00E96525">
        <w:t xml:space="preserve"> </w:t>
      </w:r>
      <w:r>
        <w:t>égal au montant brut diminué des frais exposés en vue d’acquérir ou de conserver ces revenus.</w:t>
      </w:r>
    </w:p>
    <w:p w14:paraId="7BC65FE4" w14:textId="5DD944B5" w:rsidR="00D840B3" w:rsidRDefault="00D840B3" w:rsidP="00D840B3">
      <w:pPr>
        <w:spacing w:before="120"/>
        <w:jc w:val="both"/>
        <w:textAlignment w:val="baseline"/>
      </w:pPr>
      <w:r>
        <w:t>Le cas échéant, les frais qui ont en principe servis à déterminer le montant des redevances figurant dans le règlement-redevance en cause peuvent être considérées comme des frais réels</w:t>
      </w:r>
      <w:r w:rsidR="007855E9">
        <w:rPr>
          <w:rStyle w:val="Appelnotedebasdep"/>
        </w:rPr>
        <w:footnoteReference w:id="44"/>
      </w:r>
      <w:r>
        <w:t>.</w:t>
      </w:r>
    </w:p>
    <w:p w14:paraId="0459A2DF" w14:textId="77777777" w:rsidR="00D840B3" w:rsidRDefault="00D840B3" w:rsidP="00D840B3">
      <w:pPr>
        <w:spacing w:before="120"/>
        <w:jc w:val="both"/>
        <w:textAlignment w:val="baseline"/>
      </w:pPr>
      <w:r>
        <w:t xml:space="preserve">Par conséquent, lorsqu’il peut être démontré que les redevances n’excèdent pas les frais réels qui s’y rapportent, le règlement-taxe peut donner lieu à la mise en paiement de revenus sur lequel aucun précompte mobilier ne sera dû. </w:t>
      </w:r>
    </w:p>
    <w:p w14:paraId="7DC9EDFE" w14:textId="77777777" w:rsidR="00D840B3" w:rsidRPr="008D7EB7" w:rsidRDefault="00D840B3" w:rsidP="00D840B3">
      <w:pPr>
        <w:rPr>
          <w:strike/>
          <w:sz w:val="22"/>
          <w:szCs w:val="22"/>
          <w:lang w:eastAsia="en-US"/>
        </w:rPr>
      </w:pPr>
    </w:p>
    <w:p w14:paraId="0C344A0E" w14:textId="588B2E7E" w:rsidR="009B153C" w:rsidRPr="00DA6BD2" w:rsidRDefault="00C20C0E" w:rsidP="00256E9F">
      <w:pPr>
        <w:pStyle w:val="Sam3"/>
      </w:pPr>
      <w:bookmarkStart w:id="3813" w:name="_Toc74557657"/>
      <w:r>
        <w:t xml:space="preserve">VI.2.2 </w:t>
      </w:r>
      <w:r w:rsidR="00892FFC">
        <w:t>Intérêt de la distinction</w:t>
      </w:r>
      <w:bookmarkEnd w:id="3813"/>
      <w:r w:rsidR="00892FFC">
        <w:t xml:space="preserve"> </w:t>
      </w:r>
    </w:p>
    <w:p w14:paraId="7D05C06F" w14:textId="0BFBBDDD" w:rsidR="00794390" w:rsidRDefault="00794390" w:rsidP="00794390">
      <w:pPr>
        <w:spacing w:before="120"/>
        <w:jc w:val="both"/>
        <w:textAlignment w:val="baseline"/>
        <w:rPr>
          <w:lang w:val="fr-BE"/>
        </w:rPr>
      </w:pPr>
      <w:r>
        <w:t>L’établissement et le recouvrement des taxes communales</w:t>
      </w:r>
      <w:r w:rsidR="007855E9">
        <w:rPr>
          <w:rStyle w:val="Appelnotedebasdep"/>
        </w:rPr>
        <w:footnoteReference w:id="45"/>
      </w:r>
      <w:r>
        <w:t xml:space="preserve"> sont réglés par les articles L3321-1 à L3321-12 du CDLD.</w:t>
      </w:r>
    </w:p>
    <w:p w14:paraId="60B46812" w14:textId="77777777" w:rsidR="00794390" w:rsidRDefault="00794390" w:rsidP="00794390">
      <w:pPr>
        <w:spacing w:before="120"/>
        <w:jc w:val="both"/>
        <w:textAlignment w:val="baseline"/>
      </w:pPr>
      <w:r>
        <w:t>Les taxes sont soit recouvrées par voie de rôle, soit perçues au comptant contre remise d’une preuve de paiement.</w:t>
      </w:r>
    </w:p>
    <w:p w14:paraId="04095D39" w14:textId="77777777" w:rsidR="00794390" w:rsidRDefault="00794390" w:rsidP="00794390">
      <w:pPr>
        <w:spacing w:before="120"/>
        <w:jc w:val="both"/>
        <w:textAlignment w:val="baseline"/>
      </w:pPr>
      <w:r>
        <w:t xml:space="preserve">Le rôle est l’acte authentique par lequel l’autorité communale se crée un titre contre le redevable et manifeste ainsi sa volonté d’exiger le paiement de l’impôt communal. </w:t>
      </w:r>
    </w:p>
    <w:p w14:paraId="764A0FA6" w14:textId="77777777" w:rsidR="00794390" w:rsidRDefault="00794390" w:rsidP="00794390">
      <w:pPr>
        <w:spacing w:before="120"/>
        <w:jc w:val="both"/>
        <w:textAlignment w:val="baseline"/>
      </w:pPr>
      <w:r>
        <w:t>Il constitue le titre de taxation de l’impôt communal.</w:t>
      </w:r>
    </w:p>
    <w:p w14:paraId="12473923" w14:textId="77777777" w:rsidR="00794390" w:rsidRDefault="00794390" w:rsidP="00794390">
      <w:pPr>
        <w:spacing w:before="120"/>
        <w:jc w:val="both"/>
        <w:textAlignment w:val="baseline"/>
      </w:pPr>
      <w:r>
        <w:t>Il permet, d’une part, l’établissement définitif de l’impôt et d’autre part, en rendant celui-ci exécutoire, la création d’un titre exécutoire pour pouvoir procéder au recouvrement.</w:t>
      </w:r>
    </w:p>
    <w:p w14:paraId="5167A17F" w14:textId="53AF7824" w:rsidR="00794390" w:rsidRDefault="00794390" w:rsidP="00794390">
      <w:pPr>
        <w:spacing w:before="120"/>
        <w:jc w:val="both"/>
        <w:textAlignment w:val="baseline"/>
      </w:pPr>
      <w:r>
        <w:t>Autrement dit, l'autorit</w:t>
      </w:r>
      <w:r w:rsidRPr="00ED3F85">
        <w:t>é c</w:t>
      </w:r>
      <w:r>
        <w:t>ommunale crée elle-même le titre exécutoire qui autorise le directeur financier de pouvoir agir contre les débiteurs récalcitrants sans qu’il soit nécessaire de recourir pour cela auprès d’un tribunal.</w:t>
      </w:r>
    </w:p>
    <w:p w14:paraId="0FAB5E4E" w14:textId="0DA0CC8B" w:rsidR="00794390" w:rsidRDefault="00794390" w:rsidP="00794390">
      <w:pPr>
        <w:spacing w:before="120"/>
        <w:jc w:val="both"/>
        <w:textAlignment w:val="baseline"/>
      </w:pPr>
      <w:r>
        <w:t xml:space="preserve">Depuis le décret du 17 avril 2013 relatif à la réforme des grades légaux, le recouvrement des créances non fiscales est réglé par l’article L 1124-40, § </w:t>
      </w:r>
      <w:r w:rsidR="004A4A60">
        <w:t>1</w:t>
      </w:r>
      <w:r w:rsidR="004A4A60" w:rsidRPr="008D7EB7">
        <w:rPr>
          <w:vertAlign w:val="superscript"/>
        </w:rPr>
        <w:t>er</w:t>
      </w:r>
      <w:r>
        <w:t xml:space="preserve">, 1° du CDLD. </w:t>
      </w:r>
    </w:p>
    <w:p w14:paraId="3C4D8FA8" w14:textId="77777777" w:rsidR="00794390" w:rsidRDefault="00794390" w:rsidP="00794390">
      <w:pPr>
        <w:spacing w:before="120"/>
        <w:jc w:val="both"/>
        <w:textAlignment w:val="baseline"/>
        <w:rPr>
          <w:i/>
          <w:iCs/>
          <w:sz w:val="22"/>
          <w:szCs w:val="22"/>
        </w:rPr>
      </w:pPr>
      <w:r>
        <w:t>Cet article prévoit que le directeur financier peut, pour recouvrer les créances non fiscales liquides, certaines et exigibles envoyer une contrainte visée et rendue exécutoire par le Collège communal. Une telle contrainte est signifiée par exploit d’huissier. Cet exploit interrompt la prescription.</w:t>
      </w:r>
      <w:r>
        <w:rPr>
          <w:i/>
          <w:iCs/>
          <w:sz w:val="22"/>
          <w:szCs w:val="22"/>
        </w:rPr>
        <w:t xml:space="preserve"> </w:t>
      </w:r>
    </w:p>
    <w:p w14:paraId="068CF827" w14:textId="77777777" w:rsidR="00794390" w:rsidRDefault="00794390" w:rsidP="00794390">
      <w:pPr>
        <w:spacing w:before="120"/>
        <w:jc w:val="both"/>
        <w:textAlignment w:val="baseline"/>
      </w:pPr>
      <w:r>
        <w:lastRenderedPageBreak/>
        <w:t xml:space="preserve">Le fait que la dette doit être liquide, certaine et exigible implique nécessairement que la dette est une dette d’argent, que son délai de paiement est échu et qu’elle n’est pas contestée par son débiteur. </w:t>
      </w:r>
    </w:p>
    <w:p w14:paraId="691894A8" w14:textId="77777777" w:rsidR="00794390" w:rsidRDefault="00794390" w:rsidP="00794390">
      <w:pPr>
        <w:spacing w:before="120"/>
        <w:jc w:val="both"/>
        <w:textAlignment w:val="baseline"/>
      </w:pPr>
      <w:r>
        <w:t>Si une de ces conditions manque, le débiteur-réclamant devra se tourner vers les juridictions civiles.</w:t>
      </w:r>
    </w:p>
    <w:p w14:paraId="6F0BDC7A" w14:textId="1215E6F5" w:rsidR="00794390" w:rsidRDefault="00794390" w:rsidP="00794390">
      <w:pPr>
        <w:spacing w:before="120"/>
        <w:jc w:val="both"/>
        <w:textAlignment w:val="baseline"/>
      </w:pPr>
      <w:r>
        <w:t xml:space="preserve">Dans la gestion de son domaine privé, la commune n’a pas à bénéficier de privilèges qui sont réservés à ses missions de service public. </w:t>
      </w:r>
    </w:p>
    <w:p w14:paraId="62F5FDC9" w14:textId="77777777" w:rsidR="00ED3F85" w:rsidRDefault="00ED3F85" w:rsidP="00256E9F">
      <w:pPr>
        <w:pStyle w:val="Sam3"/>
      </w:pPr>
      <w:bookmarkStart w:id="3814" w:name="_Toc8121753"/>
      <w:bookmarkStart w:id="3815" w:name="_Toc8129694"/>
      <w:bookmarkEnd w:id="3814"/>
      <w:bookmarkEnd w:id="3815"/>
    </w:p>
    <w:p w14:paraId="2E19281D" w14:textId="69AB9102" w:rsidR="00563663" w:rsidRPr="007C013F" w:rsidRDefault="00C20C0E" w:rsidP="00256E9F">
      <w:pPr>
        <w:pStyle w:val="Sam3"/>
      </w:pPr>
      <w:bookmarkStart w:id="3816" w:name="_Toc74557658"/>
      <w:r w:rsidRPr="007C013F">
        <w:t xml:space="preserve">VI.2.3 </w:t>
      </w:r>
      <w:r w:rsidR="00563663" w:rsidRPr="007C013F">
        <w:t xml:space="preserve">Les </w:t>
      </w:r>
      <w:r w:rsidR="00794390" w:rsidRPr="007C013F">
        <w:t>trois</w:t>
      </w:r>
      <w:r w:rsidR="00563663" w:rsidRPr="007C013F">
        <w:t xml:space="preserve"> grandes catégories d’impôts communaux</w:t>
      </w:r>
      <w:bookmarkEnd w:id="3816"/>
    </w:p>
    <w:p w14:paraId="7AF256FC" w14:textId="77777777" w:rsidR="00541AFA" w:rsidRDefault="00541AFA" w:rsidP="00256E9F">
      <w:pPr>
        <w:pStyle w:val="Sam3"/>
      </w:pPr>
    </w:p>
    <w:p w14:paraId="49869319" w14:textId="04EBFF02" w:rsidR="00794390" w:rsidRPr="00C20C0E" w:rsidRDefault="00794390" w:rsidP="008D7EB7">
      <w:pPr>
        <w:pStyle w:val="Sam4"/>
      </w:pPr>
      <w:bookmarkStart w:id="3817" w:name="_Toc40185390"/>
      <w:bookmarkStart w:id="3818" w:name="_Toc40186125"/>
      <w:bookmarkStart w:id="3819" w:name="_Toc34813688"/>
      <w:bookmarkStart w:id="3820" w:name="_Toc74557659"/>
      <w:bookmarkEnd w:id="3817"/>
      <w:bookmarkEnd w:id="3818"/>
      <w:r w:rsidRPr="00C20C0E">
        <w:t>Impôt lié à l’impôt des personnes physiques</w:t>
      </w:r>
      <w:bookmarkEnd w:id="3819"/>
      <w:bookmarkEnd w:id="3820"/>
    </w:p>
    <w:p w14:paraId="663A8F58" w14:textId="77777777" w:rsidR="004B213F" w:rsidRDefault="004B213F" w:rsidP="004B213F"/>
    <w:p w14:paraId="4AC6095D" w14:textId="6F99FFBA" w:rsidR="00794390" w:rsidRDefault="00794390" w:rsidP="008D7EB7">
      <w:pPr>
        <w:jc w:val="both"/>
      </w:pPr>
      <w:r>
        <w:t>L’article 465 du code des impôts sur les revenus prévoit, que par dérogation à l'article 464</w:t>
      </w:r>
      <w:r w:rsidR="00C20C0E">
        <w:t xml:space="preserve"> du même Code</w:t>
      </w:r>
      <w:r>
        <w:t>, les communes peuvent établir une taxe additionnelle à l'impôt des personnes physiques.</w:t>
      </w:r>
    </w:p>
    <w:p w14:paraId="01F47DD5" w14:textId="77777777" w:rsidR="004B213F" w:rsidRDefault="004B213F" w:rsidP="008D7EB7">
      <w:pPr>
        <w:jc w:val="both"/>
      </w:pPr>
    </w:p>
    <w:p w14:paraId="2A62021D" w14:textId="51286FCE" w:rsidR="00794390" w:rsidRDefault="00794390" w:rsidP="008D7EB7">
      <w:pPr>
        <w:jc w:val="both"/>
      </w:pPr>
      <w:r>
        <w:t>L'établissement et la perception des taxes additionnelles à l'impôt des personnes physiques sont confiés à l'administration en charge de l'établissement des impôts sur les revenus et à celle en charge de la perception et du recouvrement des impôts sur les revenus</w:t>
      </w:r>
      <w:r w:rsidR="007855E9">
        <w:rPr>
          <w:rStyle w:val="Appelnotedebasdep"/>
          <w:b/>
          <w:bCs/>
          <w:i/>
          <w:iCs/>
        </w:rPr>
        <w:footnoteReference w:id="46"/>
      </w:r>
      <w:r>
        <w:t>.</w:t>
      </w:r>
    </w:p>
    <w:p w14:paraId="76EC3519" w14:textId="77777777" w:rsidR="004B213F" w:rsidRDefault="004B213F" w:rsidP="004B213F"/>
    <w:p w14:paraId="0CF7D766" w14:textId="3D1762D4" w:rsidR="00794390" w:rsidRDefault="00794390" w:rsidP="004B213F">
      <w:r>
        <w:t>Il en résulte que :</w:t>
      </w:r>
    </w:p>
    <w:p w14:paraId="1B0F14C3" w14:textId="77777777" w:rsidR="00794390" w:rsidRDefault="00794390" w:rsidP="008D7EB7">
      <w:pPr>
        <w:pStyle w:val="Paragraphedeliste"/>
        <w:numPr>
          <w:ilvl w:val="0"/>
          <w:numId w:val="293"/>
        </w:numPr>
      </w:pPr>
      <w:proofErr w:type="gramStart"/>
      <w:r>
        <w:t>l'enrôlement</w:t>
      </w:r>
      <w:proofErr w:type="gramEnd"/>
      <w:r>
        <w:t xml:space="preserve"> des additionnels communaux a lieu en même temps que l'impôt principal par le SPF Finances ;</w:t>
      </w:r>
    </w:p>
    <w:p w14:paraId="2C9C32DD" w14:textId="77777777" w:rsidR="00794390" w:rsidRDefault="00794390" w:rsidP="008D7EB7">
      <w:pPr>
        <w:pStyle w:val="Paragraphedeliste"/>
        <w:numPr>
          <w:ilvl w:val="0"/>
          <w:numId w:val="293"/>
        </w:numPr>
      </w:pPr>
      <w:proofErr w:type="gramStart"/>
      <w:r>
        <w:t>le</w:t>
      </w:r>
      <w:proofErr w:type="gramEnd"/>
      <w:r>
        <w:t xml:space="preserve"> montant total de l'impôt dû est recouvré par le receveur des contributions directes ;</w:t>
      </w:r>
    </w:p>
    <w:p w14:paraId="7F5820B2" w14:textId="19FE5202" w:rsidR="00794390" w:rsidRDefault="00794390" w:rsidP="004B213F">
      <w:pPr>
        <w:pStyle w:val="Paragraphedeliste"/>
        <w:numPr>
          <w:ilvl w:val="0"/>
          <w:numId w:val="293"/>
        </w:numPr>
      </w:pPr>
      <w:proofErr w:type="gramStart"/>
      <w:r>
        <w:t>les</w:t>
      </w:r>
      <w:proofErr w:type="gramEnd"/>
      <w:r>
        <w:t xml:space="preserve"> montants récoltés sont centralisés par le Trésor, qui se charge de la répartition et du versement aux communes bénéficiaires.</w:t>
      </w:r>
    </w:p>
    <w:p w14:paraId="1F9BF96C" w14:textId="77777777" w:rsidR="004B213F" w:rsidRDefault="004B213F" w:rsidP="008D7EB7"/>
    <w:p w14:paraId="72EB59C0" w14:textId="77777777" w:rsidR="00794390" w:rsidRPr="00276F16" w:rsidRDefault="00794390" w:rsidP="008D7EB7">
      <w:pPr>
        <w:pStyle w:val="Sam4"/>
      </w:pPr>
      <w:bookmarkStart w:id="3821" w:name="_Toc74557660"/>
      <w:r w:rsidRPr="00C20C0E">
        <w:t>Impôts liés à un impôt régional ou à une taxe régionales propres</w:t>
      </w:r>
      <w:bookmarkEnd w:id="3821"/>
    </w:p>
    <w:p w14:paraId="49DF1C27" w14:textId="77777777" w:rsidR="00794390" w:rsidRDefault="00794390" w:rsidP="008D7EB7">
      <w:pPr>
        <w:spacing w:before="240"/>
        <w:jc w:val="both"/>
        <w:textAlignment w:val="baseline"/>
      </w:pPr>
      <w:r>
        <w:t>Actuellement, sont liés à un impôt régional tel que listé à l’article 3 de la LSF ou une taxe régionale propre fondée directement sur l’article 170, § 2 de la Constitution :</w:t>
      </w:r>
    </w:p>
    <w:p w14:paraId="0F47D252" w14:textId="77777777" w:rsidR="00794390" w:rsidRDefault="00794390" w:rsidP="008D7EB7">
      <w:pPr>
        <w:pStyle w:val="Paragraphedeliste"/>
        <w:numPr>
          <w:ilvl w:val="1"/>
          <w:numId w:val="84"/>
        </w:numPr>
        <w:spacing w:before="120"/>
        <w:ind w:left="720"/>
        <w:jc w:val="both"/>
        <w:textAlignment w:val="baseline"/>
      </w:pPr>
      <w:proofErr w:type="gramStart"/>
      <w:r>
        <w:t>les</w:t>
      </w:r>
      <w:proofErr w:type="gramEnd"/>
      <w:r>
        <w:t xml:space="preserve"> centimes additionnels au précompte immobilier ;</w:t>
      </w:r>
    </w:p>
    <w:p w14:paraId="515C5893" w14:textId="77777777" w:rsidR="00794390" w:rsidRDefault="00794390" w:rsidP="008D7EB7">
      <w:pPr>
        <w:pStyle w:val="Paragraphedeliste"/>
        <w:numPr>
          <w:ilvl w:val="1"/>
          <w:numId w:val="84"/>
        </w:numPr>
        <w:spacing w:before="120"/>
        <w:ind w:left="720"/>
        <w:jc w:val="both"/>
        <w:textAlignment w:val="baseline"/>
      </w:pPr>
      <w:proofErr w:type="gramStart"/>
      <w:r>
        <w:t>les</w:t>
      </w:r>
      <w:proofErr w:type="gramEnd"/>
      <w:r>
        <w:t xml:space="preserve"> décimes additionnels à la taxe de circulation ;</w:t>
      </w:r>
    </w:p>
    <w:p w14:paraId="5EBECF80" w14:textId="75FD4910" w:rsidR="00794390" w:rsidRDefault="00794390" w:rsidP="008D7EB7">
      <w:pPr>
        <w:pStyle w:val="Paragraphedeliste"/>
        <w:numPr>
          <w:ilvl w:val="1"/>
          <w:numId w:val="84"/>
        </w:numPr>
        <w:spacing w:before="120"/>
        <w:ind w:left="720"/>
        <w:jc w:val="both"/>
        <w:textAlignment w:val="baseline"/>
      </w:pPr>
      <w:proofErr w:type="gramStart"/>
      <w:r>
        <w:t>les</w:t>
      </w:r>
      <w:proofErr w:type="gramEnd"/>
      <w:r>
        <w:t xml:space="preserve"> centimes additionnel</w:t>
      </w:r>
      <w:r w:rsidR="00E96525" w:rsidRPr="007855E9">
        <w:t>s</w:t>
      </w:r>
      <w:r>
        <w:t xml:space="preserve"> à la taxe sur les sites d'activité économique désaffectés.</w:t>
      </w:r>
    </w:p>
    <w:p w14:paraId="592B4202" w14:textId="77777777" w:rsidR="00794390" w:rsidRDefault="00794390" w:rsidP="008D7EB7">
      <w:pPr>
        <w:spacing w:before="120"/>
        <w:jc w:val="both"/>
        <w:textAlignment w:val="baseline"/>
        <w:rPr>
          <w:lang w:val="fr-BE"/>
        </w:rPr>
      </w:pPr>
      <w:r>
        <w:t>D’abord, l’article 464/1 du code des impôts sur les revenus prévoit que, par dérogation à l'article 464, les communes peuvent établir des centimes additionnels sur :</w:t>
      </w:r>
    </w:p>
    <w:p w14:paraId="6B901EC4" w14:textId="10E8D417" w:rsidR="00794390" w:rsidRDefault="00794390" w:rsidP="008D7EB7">
      <w:pPr>
        <w:spacing w:before="120"/>
        <w:jc w:val="both"/>
        <w:textAlignment w:val="baseline"/>
      </w:pPr>
      <w:r>
        <w:t xml:space="preserve">1° le précompte </w:t>
      </w:r>
      <w:r w:rsidR="001044C0">
        <w:t>immobilier ;</w:t>
      </w:r>
    </w:p>
    <w:p w14:paraId="12F92F74" w14:textId="77777777" w:rsidR="00794390" w:rsidRDefault="00794390" w:rsidP="008D7EB7">
      <w:pPr>
        <w:spacing w:before="120"/>
        <w:jc w:val="both"/>
        <w:textAlignment w:val="baseline"/>
      </w:pPr>
      <w:r>
        <w:t>2° un impôt régional non visé à l'article 3 de la loi spéciale du 16 janvier 1989 relative au financement des Communautés et des Régions, ayant le revenu cadastral fédéral comme base d'imposition ou comme élément de sa base d'imposition.</w:t>
      </w:r>
    </w:p>
    <w:p w14:paraId="7C9E3E7E" w14:textId="668401C3" w:rsidR="00794390" w:rsidRDefault="00046E7D" w:rsidP="008D7EB7">
      <w:pPr>
        <w:spacing w:before="120"/>
        <w:jc w:val="both"/>
        <w:textAlignment w:val="baseline"/>
      </w:pPr>
      <w:r>
        <w:lastRenderedPageBreak/>
        <w:t>Depuis le</w:t>
      </w:r>
      <w:r w:rsidR="00794390">
        <w:t xml:space="preserve"> 1</w:t>
      </w:r>
      <w:r w:rsidR="00794390">
        <w:rPr>
          <w:vertAlign w:val="superscript"/>
        </w:rPr>
        <w:t>er</w:t>
      </w:r>
      <w:r w:rsidR="00794390">
        <w:t xml:space="preserve"> janvier 2021, la Région wallonne </w:t>
      </w:r>
      <w:r>
        <w:t xml:space="preserve">est </w:t>
      </w:r>
      <w:r w:rsidR="00794390">
        <w:t xml:space="preserve">seule et exclusivement compétente pour assurer le service du précompte immobilier. </w:t>
      </w:r>
    </w:p>
    <w:p w14:paraId="5DD0614E" w14:textId="4F1D31C6" w:rsidR="00794390" w:rsidRDefault="00794390" w:rsidP="008D7EB7">
      <w:pPr>
        <w:spacing w:before="120"/>
        <w:jc w:val="both"/>
        <w:textAlignment w:val="baseline"/>
      </w:pPr>
      <w:r>
        <w:t>Ensuite, l’article 42, § 2, 1</w:t>
      </w:r>
      <w:r w:rsidR="001044C0">
        <w:t>°, du</w:t>
      </w:r>
      <w:r>
        <w:t xml:space="preserve"> Code des taxes assimilées aux impôts sur les revenus - Région wallonne prévoit que par dérogation au § 1, il est établi au profit des communes un décime additionnel à la taxe de circulation perçue sur les véhicules automobiles.</w:t>
      </w:r>
    </w:p>
    <w:p w14:paraId="1E31DF28" w14:textId="312082B2" w:rsidR="00794390" w:rsidRDefault="00794390" w:rsidP="008D7EB7">
      <w:pPr>
        <w:spacing w:before="120"/>
        <w:jc w:val="both"/>
        <w:textAlignment w:val="baseline"/>
      </w:pPr>
      <w:r>
        <w:t>Enfin, l’article 157 Décret-programme du 12 décembre 2014 portant des mesures diverses liées au budget en matière de calamité naturelle, de sécurité routière, de travaux publics, d'énergie, de logement, d'environnement, d'aménagement du territoire, de bien-être animal, d'agriculture et de fiscalité prévoit que les communes peuvent lever des centimes additionnels à la taxe régionale sur les sites d'activité économique désaffectés. Peuvent lever ces centimes additionnels, les communes qui participent annuellement au recensement et à la mise à jour de la liste des sites susceptibles d'être concernés par la présente taxe.</w:t>
      </w:r>
      <w:r w:rsidR="009F4DF1">
        <w:t xml:space="preserve"> Il est toutefois renvoyé aux commentaires repris au point I.15 et sous le n° de nomenclature </w:t>
      </w:r>
      <w:r w:rsidR="009F4DF1" w:rsidRPr="009F4DF1">
        <w:t xml:space="preserve">04001/377-01 </w:t>
      </w:r>
      <w:r w:rsidR="009F4DF1">
        <w:t>« </w:t>
      </w:r>
      <w:r w:rsidR="009F4DF1" w:rsidRPr="009F4DF1">
        <w:t>Sites d'activité économique désaffectés</w:t>
      </w:r>
      <w:r w:rsidR="009F4DF1">
        <w:t> ».</w:t>
      </w:r>
    </w:p>
    <w:p w14:paraId="7A4AB1A2" w14:textId="1BC0CFA1" w:rsidR="00794390" w:rsidRDefault="00794390">
      <w:pPr>
        <w:spacing w:before="120"/>
        <w:jc w:val="both"/>
        <w:textAlignment w:val="baseline"/>
      </w:pPr>
      <w:r>
        <w:t>Les articles L3321-1 à L3321-12 du CDLD qui règlent l’établissement et le recouvrement des taxes communales ne s’appliquent pas aux taxes additionnelles perçues par la Région wallonne au profit des provinces et des communes.</w:t>
      </w:r>
    </w:p>
    <w:p w14:paraId="4EEA0E62" w14:textId="77777777" w:rsidR="00C20C0E" w:rsidRDefault="00C20C0E" w:rsidP="008D7EB7"/>
    <w:p w14:paraId="363C8871" w14:textId="77777777" w:rsidR="00794390" w:rsidRPr="00276F16" w:rsidRDefault="00794390" w:rsidP="008D7EB7">
      <w:pPr>
        <w:pStyle w:val="Sam4"/>
      </w:pPr>
      <w:bookmarkStart w:id="3822" w:name="_Toc40185393"/>
      <w:bookmarkStart w:id="3823" w:name="_Toc40186128"/>
      <w:bookmarkStart w:id="3824" w:name="_Toc34813689"/>
      <w:bookmarkStart w:id="3825" w:name="_Toc74557661"/>
      <w:bookmarkEnd w:id="3822"/>
      <w:bookmarkEnd w:id="3823"/>
      <w:r w:rsidRPr="00C20C0E">
        <w:t>Les impôts purement communaux</w:t>
      </w:r>
      <w:bookmarkEnd w:id="3824"/>
      <w:bookmarkEnd w:id="3825"/>
      <w:r w:rsidRPr="00C20C0E">
        <w:t xml:space="preserve"> </w:t>
      </w:r>
    </w:p>
    <w:p w14:paraId="4B4B1B63" w14:textId="77777777" w:rsidR="00794390" w:rsidRDefault="00794390" w:rsidP="00794390">
      <w:pPr>
        <w:spacing w:before="120"/>
        <w:jc w:val="both"/>
        <w:textAlignment w:val="baseline"/>
      </w:pPr>
      <w:r>
        <w:t xml:space="preserve">Conformément aux articles 41, 162 et 170, § 4 de la Constitution, les communes peuvent soumettre toute matière aux impôts, sous réserve du respect de la loi et de la conformité à l'intérêt général. </w:t>
      </w:r>
    </w:p>
    <w:p w14:paraId="1B66719E" w14:textId="68611362" w:rsidR="00794390" w:rsidRDefault="00794390" w:rsidP="00794390">
      <w:pPr>
        <w:spacing w:before="120"/>
        <w:jc w:val="both"/>
        <w:textAlignment w:val="baseline"/>
      </w:pPr>
      <w:r>
        <w:t>Ainsi, les communes peuvent prendre l'initiative de régler au niveau local tout objet que la Constitution ou la loi n'a pas expressément exclu de leurs compétences, à condition de respecter les lois, décrets, ordonnances et règlements adoptés par l'autorité fédérale ou fédérée compétente</w:t>
      </w:r>
      <w:r w:rsidR="007855E9">
        <w:rPr>
          <w:rStyle w:val="Appelnotedebasdep"/>
        </w:rPr>
        <w:footnoteReference w:id="47"/>
      </w:r>
      <w:r>
        <w:t>.</w:t>
      </w:r>
    </w:p>
    <w:p w14:paraId="44218D45" w14:textId="77777777" w:rsidR="00794390" w:rsidRDefault="00794390" w:rsidP="00794390">
      <w:pPr>
        <w:spacing w:before="120"/>
        <w:jc w:val="both"/>
        <w:textAlignment w:val="baseline"/>
      </w:pPr>
      <w:r>
        <w:t>L’intervention de l’autorité de tutelle vise notamment à empêcher que la loi ne soit violée ou que l'intérêt général ne soit blessé.</w:t>
      </w:r>
    </w:p>
    <w:p w14:paraId="563565DC" w14:textId="77777777" w:rsidR="00794390" w:rsidRDefault="00794390" w:rsidP="00794390">
      <w:pPr>
        <w:spacing w:before="120"/>
        <w:jc w:val="both"/>
        <w:textAlignment w:val="baseline"/>
        <w:rPr>
          <w:spacing w:val="-1"/>
        </w:rPr>
      </w:pPr>
      <w:r>
        <w:rPr>
          <w:spacing w:val="-1"/>
        </w:rPr>
        <w:t>Les principaux types d’impôts sont :</w:t>
      </w:r>
    </w:p>
    <w:p w14:paraId="599181EF" w14:textId="77777777" w:rsidR="00794390" w:rsidRDefault="00794390" w:rsidP="00794390">
      <w:pPr>
        <w:pStyle w:val="Paragraphedeliste"/>
        <w:numPr>
          <w:ilvl w:val="0"/>
          <w:numId w:val="85"/>
        </w:numPr>
        <w:spacing w:before="120"/>
        <w:jc w:val="both"/>
        <w:textAlignment w:val="baseline"/>
        <w:rPr>
          <w:u w:val="single"/>
        </w:rPr>
      </w:pPr>
      <w:proofErr w:type="gramStart"/>
      <w:r>
        <w:rPr>
          <w:u w:val="single"/>
        </w:rPr>
        <w:t>l’impôt</w:t>
      </w:r>
      <w:proofErr w:type="gramEnd"/>
      <w:r>
        <w:rPr>
          <w:u w:val="single"/>
        </w:rPr>
        <w:t xml:space="preserve"> de quotité</w:t>
      </w:r>
      <w:r>
        <w:t xml:space="preserve"> : le rendement de l’impôt n’est pas fixé d’avance ; seul le taux de l’impôt est fixé au départ par l’autorité communale : soit via un pourcentage (par exemple : le taux de la taxe sur spectacles et divertissements qui s’échelonnent de 8,5% à 33,75% sur le produit des billets d’entrée) soit via une certaine somme (par exemple : le taux de 640,00 euros pour la taxe seconde résidence).</w:t>
      </w:r>
    </w:p>
    <w:p w14:paraId="3E32A5EF" w14:textId="77777777" w:rsidR="00794390" w:rsidRDefault="00794390" w:rsidP="00794390">
      <w:pPr>
        <w:pStyle w:val="Paragraphedeliste"/>
        <w:numPr>
          <w:ilvl w:val="0"/>
          <w:numId w:val="85"/>
        </w:numPr>
        <w:spacing w:before="120"/>
        <w:jc w:val="both"/>
        <w:textAlignment w:val="baseline"/>
        <w:rPr>
          <w:u w:val="single"/>
        </w:rPr>
      </w:pPr>
      <w:proofErr w:type="gramStart"/>
      <w:r>
        <w:rPr>
          <w:u w:val="single"/>
        </w:rPr>
        <w:t>l’impôt</w:t>
      </w:r>
      <w:proofErr w:type="gramEnd"/>
      <w:r>
        <w:rPr>
          <w:u w:val="single"/>
        </w:rPr>
        <w:t xml:space="preserve"> de répartition</w:t>
      </w:r>
      <w:r>
        <w:t xml:space="preserve"> : l'autorité locale fixe le produit qu'elle veut obtenir et en répartit ensuite la charge entre les contribuables concernés sur la base de critères déterminés (par exemple : la taxe sur les carrières - 10.000,00 euros à répartir entre les entreprises du secteur en fonction du nombre de tonnes extraites par chacune d'elles).</w:t>
      </w:r>
    </w:p>
    <w:p w14:paraId="3814A22F" w14:textId="77777777" w:rsidR="00794390" w:rsidRDefault="00794390" w:rsidP="00794390">
      <w:pPr>
        <w:pStyle w:val="Paragraphedeliste"/>
        <w:numPr>
          <w:ilvl w:val="0"/>
          <w:numId w:val="85"/>
        </w:numPr>
        <w:spacing w:before="120"/>
        <w:jc w:val="both"/>
        <w:textAlignment w:val="baseline"/>
      </w:pPr>
      <w:proofErr w:type="gramStart"/>
      <w:r>
        <w:rPr>
          <w:u w:val="single"/>
        </w:rPr>
        <w:t>l’impôt</w:t>
      </w:r>
      <w:proofErr w:type="gramEnd"/>
      <w:r>
        <w:rPr>
          <w:u w:val="single"/>
        </w:rPr>
        <w:t xml:space="preserve"> de remboursement</w:t>
      </w:r>
      <w:r>
        <w:t xml:space="preserve"> (également appelé impôt rémunératoire) : constitue un prélèvement obligatoire par voie d’autorité sur les ressources d’une personne pour la rémunération d’un service rendu (par exemple : la construction des trottoirs). En </w:t>
      </w:r>
      <w:r>
        <w:lastRenderedPageBreak/>
        <w:t>raison de son caractère contraignant et de sa destination, la taxe de remboursement est un impôt et non pas une redevance.</w:t>
      </w:r>
    </w:p>
    <w:p w14:paraId="0A9EAF2F" w14:textId="6F31790E" w:rsidR="00794390" w:rsidRDefault="00794390" w:rsidP="00794390">
      <w:pPr>
        <w:spacing w:before="120"/>
        <w:jc w:val="both"/>
        <w:textAlignment w:val="baseline"/>
        <w:rPr>
          <w:spacing w:val="-1"/>
          <w:lang w:val="fr-BE"/>
        </w:rPr>
      </w:pPr>
      <w:r>
        <w:rPr>
          <w:spacing w:val="-1"/>
        </w:rPr>
        <w:t>La Cour Constitutionnelle</w:t>
      </w:r>
      <w:r w:rsidR="007855E9">
        <w:rPr>
          <w:rStyle w:val="Appelnotedebasdep"/>
          <w:spacing w:val="-1"/>
        </w:rPr>
        <w:footnoteReference w:id="48"/>
      </w:r>
      <w:r>
        <w:rPr>
          <w:spacing w:val="-1"/>
        </w:rPr>
        <w:t xml:space="preserve"> considère que les taxes rémunératoires sont perçues afin de compenser une dépense d'intérêt général (elle bénéficie également à la collectivité dans son ensemble). Le propre d'une taxe rémunératoire est qu'elle est imposée, en vue du financement des frais dans l'optique desquels elle est établie, à ceux dont l'autorité taxatrice considère qu'ils peuvent tirer le plus grand avantage de ces frais, peu importe si les redevables font ou non usage du service financé au moyen de cette taxe. Les redevables n'ont d'ailleurs pas moyen d'échapper à la taxe prévue.</w:t>
      </w:r>
    </w:p>
    <w:p w14:paraId="04B343D8" w14:textId="77777777" w:rsidR="00794390" w:rsidRDefault="00794390" w:rsidP="00794390"/>
    <w:p w14:paraId="626C7113" w14:textId="0E49D486" w:rsidR="002F45FA" w:rsidRPr="00DA6BD2" w:rsidRDefault="00935D55" w:rsidP="00256E9F">
      <w:pPr>
        <w:pStyle w:val="Sam3"/>
      </w:pPr>
      <w:bookmarkStart w:id="3826" w:name="_Toc74557662"/>
      <w:r>
        <w:t xml:space="preserve">VI.2.4 </w:t>
      </w:r>
      <w:r w:rsidR="00892FFC">
        <w:t>Les impôts communaux directs et indirects</w:t>
      </w:r>
      <w:bookmarkEnd w:id="3826"/>
      <w:r w:rsidR="00892FFC">
        <w:t xml:space="preserve"> </w:t>
      </w:r>
    </w:p>
    <w:p w14:paraId="24AEC1AF" w14:textId="77777777" w:rsidR="00A565DD" w:rsidRPr="008D7EB7" w:rsidRDefault="00A565DD" w:rsidP="00A565DD">
      <w:pPr>
        <w:spacing w:before="120"/>
        <w:jc w:val="both"/>
        <w:textAlignment w:val="baseline"/>
        <w:rPr>
          <w:sz w:val="22"/>
          <w:szCs w:val="22"/>
          <w:lang w:val="fr-BE" w:eastAsia="en-US"/>
        </w:rPr>
      </w:pPr>
      <w:r w:rsidRPr="008D7EB7">
        <w:t xml:space="preserve">Un impôt communal direct est celui qui frappe une situation durable ou permanente dans le chef du redevable (par exemple : la taxe sur les piscines privées). </w:t>
      </w:r>
    </w:p>
    <w:p w14:paraId="12B6E802" w14:textId="3D0B12FC" w:rsidR="00A565DD" w:rsidRPr="008D7EB7" w:rsidRDefault="00A565DD" w:rsidP="00A565DD">
      <w:pPr>
        <w:spacing w:before="120"/>
        <w:jc w:val="both"/>
        <w:textAlignment w:val="baseline"/>
      </w:pPr>
      <w:r w:rsidRPr="008D7EB7">
        <w:t xml:space="preserve">Un impôt communal indirect est un impôt qui est perçu à l’occasion d’un acte ou fait </w:t>
      </w:r>
      <w:proofErr w:type="gramStart"/>
      <w:r w:rsidRPr="008D7EB7">
        <w:t>déterminé</w:t>
      </w:r>
      <w:proofErr w:type="gramEnd"/>
      <w:r w:rsidRPr="008D7EB7">
        <w:t xml:space="preserve"> (par exemple : la taxe sur les écrits publicitaires non adressé</w:t>
      </w:r>
      <w:r w:rsidR="005B7FEB" w:rsidRPr="007855E9">
        <w:t>s</w:t>
      </w:r>
      <w:r w:rsidRPr="008D7EB7">
        <w:t xml:space="preserve">). Cet acte ou ce fait déterminé doit être renouvelé pour que la taxe puisse être à nouveau prélevée. </w:t>
      </w:r>
    </w:p>
    <w:p w14:paraId="0DEF3E64" w14:textId="31E6B4DC" w:rsidR="00A565DD" w:rsidRDefault="00A565DD" w:rsidP="00A565DD">
      <w:pPr>
        <w:spacing w:before="120"/>
        <w:jc w:val="both"/>
        <w:textAlignment w:val="baseline"/>
      </w:pPr>
      <w:r w:rsidRPr="008D7EB7">
        <w:t xml:space="preserve">La </w:t>
      </w:r>
      <w:r w:rsidR="00F07F7E">
        <w:t>C</w:t>
      </w:r>
      <w:r w:rsidRPr="008D7EB7">
        <w:t xml:space="preserve">our de </w:t>
      </w:r>
      <w:r w:rsidR="00F07F7E">
        <w:t>c</w:t>
      </w:r>
      <w:r w:rsidRPr="008D7EB7">
        <w:t>assation</w:t>
      </w:r>
      <w:r w:rsidR="007855E9">
        <w:rPr>
          <w:rStyle w:val="Appelnotedebasdep"/>
        </w:rPr>
        <w:footnoteReference w:id="49"/>
      </w:r>
      <w:r w:rsidRPr="008D7EB7">
        <w:t xml:space="preserve"> définit l’impôt indirect de la manière suivante :  l’impôt </w:t>
      </w:r>
      <w:r w:rsidR="00B90233" w:rsidRPr="007855E9">
        <w:t>in</w:t>
      </w:r>
      <w:r w:rsidRPr="008D7EB7">
        <w:t>direct frappe, non une situation de nature durable où se trouve le contribuable par son activité ou par son patrimoine, mais des actes, des opérations ou des faits passagers, isolés de nature, fussent-ils répétés dont le contribuable est l’auteur déclaré, ou à défaut de celui-ci, l’auteur présumé.</w:t>
      </w:r>
    </w:p>
    <w:p w14:paraId="18A8ECC8" w14:textId="77777777" w:rsidR="00453CB4" w:rsidRPr="008D7EB7" w:rsidRDefault="00453CB4" w:rsidP="00A565DD">
      <w:pPr>
        <w:spacing w:before="120"/>
        <w:jc w:val="both"/>
        <w:textAlignment w:val="baseline"/>
      </w:pPr>
    </w:p>
    <w:p w14:paraId="3A15CA36" w14:textId="77777777" w:rsidR="004E4535" w:rsidRDefault="004E4535" w:rsidP="00581DAD">
      <w:pPr>
        <w:pStyle w:val="Sam2"/>
      </w:pPr>
      <w:bookmarkStart w:id="3827" w:name="_Toc40185397"/>
      <w:bookmarkStart w:id="3828" w:name="_Toc40186132"/>
      <w:bookmarkStart w:id="3829" w:name="_Toc40185398"/>
      <w:bookmarkStart w:id="3830" w:name="_Toc40186133"/>
      <w:bookmarkStart w:id="3831" w:name="_Toc40185399"/>
      <w:bookmarkStart w:id="3832" w:name="_Toc40186134"/>
      <w:bookmarkStart w:id="3833" w:name="_Toc516739649"/>
      <w:bookmarkStart w:id="3834" w:name="_Toc516751562"/>
      <w:bookmarkStart w:id="3835" w:name="_Toc516825650"/>
      <w:bookmarkStart w:id="3836" w:name="_Toc516826208"/>
      <w:bookmarkStart w:id="3837" w:name="_Toc516837528"/>
      <w:bookmarkStart w:id="3838" w:name="_Toc516838087"/>
      <w:bookmarkStart w:id="3839" w:name="_Toc516838646"/>
      <w:bookmarkStart w:id="3840" w:name="_Toc516839206"/>
      <w:bookmarkStart w:id="3841" w:name="_Toc517173302"/>
      <w:bookmarkStart w:id="3842" w:name="_Toc517174976"/>
      <w:bookmarkStart w:id="3843" w:name="_Toc517175563"/>
      <w:bookmarkStart w:id="3844" w:name="_Toc517176151"/>
      <w:bookmarkStart w:id="3845" w:name="_Toc517337476"/>
      <w:bookmarkStart w:id="3846" w:name="_Toc517360272"/>
      <w:bookmarkStart w:id="3847" w:name="_Toc516739650"/>
      <w:bookmarkStart w:id="3848" w:name="_Toc516751563"/>
      <w:bookmarkStart w:id="3849" w:name="_Toc516825651"/>
      <w:bookmarkStart w:id="3850" w:name="_Toc516826209"/>
      <w:bookmarkStart w:id="3851" w:name="_Toc516837529"/>
      <w:bookmarkStart w:id="3852" w:name="_Toc516838088"/>
      <w:bookmarkStart w:id="3853" w:name="_Toc516838647"/>
      <w:bookmarkStart w:id="3854" w:name="_Toc516839207"/>
      <w:bookmarkStart w:id="3855" w:name="_Toc517173303"/>
      <w:bookmarkStart w:id="3856" w:name="_Toc517174977"/>
      <w:bookmarkStart w:id="3857" w:name="_Toc517175564"/>
      <w:bookmarkStart w:id="3858" w:name="_Toc517176152"/>
      <w:bookmarkStart w:id="3859" w:name="_Toc517337477"/>
      <w:bookmarkStart w:id="3860" w:name="_Toc517360273"/>
      <w:bookmarkStart w:id="3861" w:name="_Toc516739651"/>
      <w:bookmarkStart w:id="3862" w:name="_Toc516751564"/>
      <w:bookmarkStart w:id="3863" w:name="_Toc516825652"/>
      <w:bookmarkStart w:id="3864" w:name="_Toc516826210"/>
      <w:bookmarkStart w:id="3865" w:name="_Toc516837530"/>
      <w:bookmarkStart w:id="3866" w:name="_Toc516838089"/>
      <w:bookmarkStart w:id="3867" w:name="_Toc516838648"/>
      <w:bookmarkStart w:id="3868" w:name="_Toc516839208"/>
      <w:bookmarkStart w:id="3869" w:name="_Toc517173304"/>
      <w:bookmarkStart w:id="3870" w:name="_Toc517174978"/>
      <w:bookmarkStart w:id="3871" w:name="_Toc517175565"/>
      <w:bookmarkStart w:id="3872" w:name="_Toc517176153"/>
      <w:bookmarkStart w:id="3873" w:name="_Toc517337478"/>
      <w:bookmarkStart w:id="3874" w:name="_Toc517360274"/>
      <w:bookmarkStart w:id="3875" w:name="_Toc516739652"/>
      <w:bookmarkStart w:id="3876" w:name="_Toc516751565"/>
      <w:bookmarkStart w:id="3877" w:name="_Toc516825653"/>
      <w:bookmarkStart w:id="3878" w:name="_Toc516826211"/>
      <w:bookmarkStart w:id="3879" w:name="_Toc516837531"/>
      <w:bookmarkStart w:id="3880" w:name="_Toc516838090"/>
      <w:bookmarkStart w:id="3881" w:name="_Toc516838649"/>
      <w:bookmarkStart w:id="3882" w:name="_Toc516839209"/>
      <w:bookmarkStart w:id="3883" w:name="_Toc517173305"/>
      <w:bookmarkStart w:id="3884" w:name="_Toc517174979"/>
      <w:bookmarkStart w:id="3885" w:name="_Toc517175566"/>
      <w:bookmarkStart w:id="3886" w:name="_Toc517176154"/>
      <w:bookmarkStart w:id="3887" w:name="_Toc517337479"/>
      <w:bookmarkStart w:id="3888" w:name="_Toc517360275"/>
      <w:bookmarkStart w:id="3889" w:name="_Toc74557663"/>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r>
        <w:t>Principes généraux</w:t>
      </w:r>
      <w:bookmarkEnd w:id="3889"/>
    </w:p>
    <w:p w14:paraId="70FB510E" w14:textId="3FEF77B4" w:rsidR="00892FFC" w:rsidRPr="008D0CC3" w:rsidRDefault="00935D55" w:rsidP="00256E9F">
      <w:pPr>
        <w:pStyle w:val="Sam3"/>
      </w:pPr>
      <w:bookmarkStart w:id="3890" w:name="_Toc74557664"/>
      <w:r w:rsidRPr="008D0CC3">
        <w:t xml:space="preserve">VI.3.1 </w:t>
      </w:r>
      <w:r w:rsidR="00892FFC" w:rsidRPr="008D0CC3">
        <w:t>Le principe d’égalité</w:t>
      </w:r>
      <w:bookmarkEnd w:id="3890"/>
      <w:r w:rsidR="00892FFC" w:rsidRPr="008D0CC3">
        <w:t xml:space="preserve"> </w:t>
      </w:r>
    </w:p>
    <w:p w14:paraId="1FC6E0D8" w14:textId="77777777" w:rsidR="00794390" w:rsidRDefault="00794390" w:rsidP="00794390">
      <w:pPr>
        <w:spacing w:before="120"/>
        <w:jc w:val="both"/>
        <w:textAlignment w:val="baseline"/>
        <w:rPr>
          <w:lang w:val="fr-BE"/>
        </w:rPr>
      </w:pPr>
      <w:bookmarkStart w:id="3891" w:name="_Toc516230836"/>
      <w:bookmarkStart w:id="3892" w:name="_Toc516231131"/>
      <w:bookmarkStart w:id="3893" w:name="_Toc516231426"/>
      <w:bookmarkStart w:id="3894" w:name="_Toc516231722"/>
      <w:bookmarkStart w:id="3895" w:name="_Toc516242817"/>
      <w:bookmarkStart w:id="3896" w:name="_Toc516243120"/>
      <w:bookmarkEnd w:id="3891"/>
      <w:bookmarkEnd w:id="3892"/>
      <w:bookmarkEnd w:id="3893"/>
      <w:bookmarkEnd w:id="3894"/>
      <w:bookmarkEnd w:id="3895"/>
      <w:bookmarkEnd w:id="3896"/>
      <w:r>
        <w:t xml:space="preserve">Les principes constitutionnels d'égalité et de non-discrimination des citoyens devant la loi et devant l’impôt, visés aux articles 10, 11 et 172 de la Constitution, exigent que tous ceux qui se trouvent dans la même situation soient atteints de la même manière par l'impôt. </w:t>
      </w:r>
    </w:p>
    <w:p w14:paraId="2BAC9131" w14:textId="5E388343" w:rsidR="00794390" w:rsidRDefault="00794390" w:rsidP="00794390">
      <w:pPr>
        <w:spacing w:before="120"/>
        <w:jc w:val="both"/>
        <w:textAlignment w:val="baseline"/>
      </w:pPr>
      <w:r>
        <w:t xml:space="preserve">D’une part, ces principes n’excluent pas qu’une différence de traitement soit établie entre des catégories de personnes pour autant qu’elle repose sur un critère objectif et qu’elle soit raisonnablement justifiée. L'existence d'une telle justification doit s'apprécier en tenant compte du but et des effets de la mesure critiquée ainsi que de la nature des principes en </w:t>
      </w:r>
      <w:r w:rsidR="001044C0">
        <w:t>cause ;</w:t>
      </w:r>
      <w:r>
        <w:t xml:space="preserve"> le principe d'égalité est violé lorsqu'il est établi qu'il n'existe pas de rapport raisonnable de proportionnalité entre les moyens employés et le but visé</w:t>
      </w:r>
      <w:r w:rsidR="007855E9">
        <w:rPr>
          <w:rStyle w:val="Appelnotedebasdep"/>
        </w:rPr>
        <w:footnoteReference w:id="50"/>
      </w:r>
      <w:r>
        <w:t>.</w:t>
      </w:r>
    </w:p>
    <w:p w14:paraId="164ACCA9" w14:textId="77777777" w:rsidR="00794390" w:rsidRDefault="00794390" w:rsidP="00794390">
      <w:pPr>
        <w:spacing w:before="120"/>
        <w:jc w:val="both"/>
        <w:textAlignment w:val="baseline"/>
      </w:pPr>
      <w:r>
        <w:t>D’autre part, ces mêmes principes s’opposent, par ailleurs, à ce que soient traitées de manière identique, sans qu’apparaisse une justification raisonnable, des catégories de personnes se trouvant dans des situations qui, au regard de la mesure considérée, sont essentiellement différentes. L’existence d’une telle justification doit s’apprécier en tenant compte du but et des effets de la mesure critiquée ainsi que de la nature des principes en caus</w:t>
      </w:r>
      <w:r w:rsidRPr="007855E9">
        <w:t>e ;</w:t>
      </w:r>
      <w:r>
        <w:t xml:space="preserve"> le principe d’égalité est violé lorsqu’il est établi qu’il n’existe pas de rapport raisonnable de proportionnalité entre les moyens employés et le but visé.</w:t>
      </w:r>
    </w:p>
    <w:p w14:paraId="4E9A2A4A" w14:textId="39108692" w:rsidR="00794390" w:rsidRDefault="00794390" w:rsidP="00794390">
      <w:pPr>
        <w:spacing w:before="120"/>
        <w:jc w:val="both"/>
        <w:textAlignment w:val="baseline"/>
      </w:pPr>
      <w:r>
        <w:lastRenderedPageBreak/>
        <w:t>Autrement dit, ces principes n'excluent pas qu'une différence de traitement soit établie entre des catégories de personnes, pour autant qu'elle repose sur un critère objectif et qu'elle soit raisonnablement justifiée. Les mêmes principes s'opposent, en outre, à ce que soient traitées de manière identique, sans qu'apparaisse une justification raisonnable, des catégories de personnes se trouvant dans des situations qui, au regard de la mesure concernée, sont essentiellement différentes</w:t>
      </w:r>
      <w:r w:rsidR="007855E9">
        <w:rPr>
          <w:rStyle w:val="Appelnotedebasdep"/>
        </w:rPr>
        <w:footnoteReference w:id="51"/>
      </w:r>
      <w:r>
        <w:t>.</w:t>
      </w:r>
    </w:p>
    <w:p w14:paraId="0016EF52" w14:textId="77777777" w:rsidR="00794390" w:rsidRDefault="00794390" w:rsidP="00794390">
      <w:pPr>
        <w:spacing w:before="120"/>
        <w:jc w:val="both"/>
        <w:textAlignment w:val="baseline"/>
      </w:pPr>
      <w:r>
        <w:t xml:space="preserve">La Cour Constitutionnelle, la Cour de </w:t>
      </w:r>
      <w:proofErr w:type="gramStart"/>
      <w:r>
        <w:t>Cassation</w:t>
      </w:r>
      <w:proofErr w:type="gramEnd"/>
      <w:r>
        <w:t xml:space="preserve"> et le Conseil d’Etat partagent la même conception des principes d'égalité et de non-discrimination des citoyens devant l’impôt.</w:t>
      </w:r>
    </w:p>
    <w:p w14:paraId="0AE7BA17" w14:textId="3A39572B" w:rsidR="00794390" w:rsidRDefault="00794390" w:rsidP="00794390">
      <w:pPr>
        <w:spacing w:before="120"/>
        <w:jc w:val="both"/>
        <w:textAlignment w:val="baseline"/>
        <w:rPr>
          <w:spacing w:val="3"/>
        </w:rPr>
      </w:pPr>
      <w:r>
        <w:t>Ainsi, selon la jurisprudence du Conseil d’Etat, l</w:t>
      </w:r>
      <w:r>
        <w:rPr>
          <w:spacing w:val="3"/>
        </w:rPr>
        <w:t>es règles constitutionnelles relatives à l'égalité devant l'impôt, garanties par les articles 10, 11 et 172 de la Constitution, n'excluent pas qu'un régime fiscal différent soit établi à l'égard de certaines catégories de biens ou de personnes, pourvu que le critère de différenciation soit susceptible de justification objective et raisonnable. L'existence d'une telle justification doit s'apprécier en tenant compte du but et des effets de la taxe visée, ainsi que de la nature des principes en cause, en respectant un rapport de proportionnalité entre les moyens utilisés et le but poursuivi. Par ailleurs, un même régime fiscal peut être appliqué à deux catégories de personnes différentes ou non comparables, pour autant qu'une justification objective et raisonnable le fonde</w:t>
      </w:r>
      <w:r w:rsidR="007855E9">
        <w:rPr>
          <w:rStyle w:val="Appelnotedebasdep"/>
          <w:spacing w:val="3"/>
        </w:rPr>
        <w:footnoteReference w:id="52"/>
      </w:r>
      <w:r>
        <w:rPr>
          <w:spacing w:val="3"/>
        </w:rPr>
        <w:t>.</w:t>
      </w:r>
    </w:p>
    <w:p w14:paraId="76DAB8A7" w14:textId="77777777" w:rsidR="00794390" w:rsidRDefault="00794390" w:rsidP="00794390">
      <w:pPr>
        <w:spacing w:before="120"/>
        <w:jc w:val="both"/>
        <w:textAlignment w:val="baseline"/>
        <w:rPr>
          <w:spacing w:val="3"/>
        </w:rPr>
      </w:pPr>
      <w:r>
        <w:t>Sur la base de l’enseignement que l’on peut tirer de la jurisprudence des trois plus hautes juridictions de notre pays, j’invit</w:t>
      </w:r>
      <w:r w:rsidRPr="007855E9">
        <w:t>e </w:t>
      </w:r>
      <w:r w:rsidRPr="008D7EB7">
        <w:t>le</w:t>
      </w:r>
      <w:r>
        <w:rPr>
          <w:spacing w:val="3"/>
        </w:rPr>
        <w:t xml:space="preserve"> Conseil communal à apporter un soin tout particulier pour expliquer les motifs qui ont conduit à la prise d’un règlement-taxe et quels sont les objectifs et les buts poursuivis par les mesures fiscales qu’il entend approuver. </w:t>
      </w:r>
    </w:p>
    <w:p w14:paraId="3FEAE449" w14:textId="6C3D86D0" w:rsidR="00794390" w:rsidRDefault="00794390" w:rsidP="00794390">
      <w:pPr>
        <w:spacing w:before="120"/>
        <w:jc w:val="both"/>
        <w:textAlignment w:val="baseline"/>
        <w:rPr>
          <w:spacing w:val="3"/>
        </w:rPr>
      </w:pPr>
      <w:r>
        <w:rPr>
          <w:spacing w:val="3"/>
        </w:rPr>
        <w:t xml:space="preserve">En effet, ce n’est qu'au travers de ces motifs, objectifs et buts que les juridictions pourront évaluer la pertinence des différences de traitement qui auront été créées par les règlements-taxes dont elles auraient éventuellement à connaître. </w:t>
      </w:r>
    </w:p>
    <w:p w14:paraId="4976F8A4" w14:textId="675A6FFF" w:rsidR="006B2F77" w:rsidRPr="006B47EE" w:rsidRDefault="006B2F77" w:rsidP="006B2F77">
      <w:pPr>
        <w:spacing w:before="120"/>
        <w:jc w:val="both"/>
        <w:textAlignment w:val="baseline"/>
        <w:rPr>
          <w:b/>
          <w:bCs/>
          <w:spacing w:val="3"/>
        </w:rPr>
      </w:pPr>
      <w:r w:rsidRPr="006B47EE">
        <w:rPr>
          <w:b/>
          <w:bCs/>
          <w:spacing w:val="3"/>
        </w:rPr>
        <w:t>Cette vision a encore été confirmée par la Cour de cassation</w:t>
      </w:r>
      <w:r w:rsidRPr="006B47EE">
        <w:rPr>
          <w:rStyle w:val="Appelnotedebasdep"/>
          <w:b/>
          <w:bCs/>
          <w:spacing w:val="3"/>
        </w:rPr>
        <w:footnoteReference w:id="53"/>
      </w:r>
      <w:r w:rsidRPr="006B47EE">
        <w:rPr>
          <w:b/>
          <w:bCs/>
          <w:spacing w:val="3"/>
        </w:rPr>
        <w:t xml:space="preserve"> relativement à une taxe sur les établissement</w:t>
      </w:r>
      <w:r w:rsidR="008D0CC3" w:rsidRPr="006B47EE">
        <w:rPr>
          <w:b/>
          <w:bCs/>
          <w:spacing w:val="3"/>
        </w:rPr>
        <w:t>s</w:t>
      </w:r>
      <w:r w:rsidRPr="006B47EE">
        <w:rPr>
          <w:b/>
          <w:bCs/>
          <w:spacing w:val="3"/>
        </w:rPr>
        <w:t xml:space="preserve"> occupant du personnel de bar.  </w:t>
      </w:r>
    </w:p>
    <w:p w14:paraId="695ED8A1" w14:textId="77777777" w:rsidR="0025638A" w:rsidRPr="006B47EE" w:rsidRDefault="0025638A" w:rsidP="0025638A">
      <w:pPr>
        <w:spacing w:before="120"/>
        <w:jc w:val="both"/>
        <w:textAlignment w:val="baseline"/>
        <w:rPr>
          <w:spacing w:val="3"/>
        </w:rPr>
      </w:pPr>
      <w:r w:rsidRPr="006B47EE">
        <w:rPr>
          <w:spacing w:val="3"/>
        </w:rPr>
        <w:t>Il ressort de cet arrêt qu’en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même activité, se trouvent dans des situations essentiellement différentes du point de vue de leurs capacités contributives. L'application de ce taux à l'ensemble des établissements taxés ne trouve aucune justification.</w:t>
      </w:r>
    </w:p>
    <w:p w14:paraId="76A98FB2" w14:textId="7AB531F0" w:rsidR="0025638A" w:rsidRPr="006B47EE" w:rsidRDefault="0025638A" w:rsidP="0025638A">
      <w:pPr>
        <w:spacing w:before="120"/>
        <w:jc w:val="both"/>
        <w:textAlignment w:val="baseline"/>
        <w:rPr>
          <w:spacing w:val="3"/>
        </w:rPr>
      </w:pPr>
      <w:r w:rsidRPr="006B47EE">
        <w:rPr>
          <w:spacing w:val="3"/>
        </w:rPr>
        <w:t>Il convient donc de tenir compte de cette jurisprudence dans tous les cas où l’on avait l’habitude de taxer un établissement de manière forfaitaire. Cette jurisprudence était déjà présente dans les juridictions inférieures et c’est la raison pour laquelle le mode de taxation des magasins de nuit, phone-shops, bar à chichas et cannabis-shops avait déjà été modifié dans une circulaire précédente.</w:t>
      </w:r>
    </w:p>
    <w:p w14:paraId="31449179" w14:textId="44D1E09E" w:rsidR="00794390" w:rsidRDefault="00794390" w:rsidP="00794390">
      <w:pPr>
        <w:spacing w:before="120"/>
        <w:jc w:val="both"/>
        <w:textAlignment w:val="baseline"/>
        <w:rPr>
          <w:spacing w:val="3"/>
        </w:rPr>
      </w:pPr>
      <w:r>
        <w:rPr>
          <w:spacing w:val="3"/>
        </w:rPr>
        <w:lastRenderedPageBreak/>
        <w:t>A cet égard, le Conseil d’Etat</w:t>
      </w:r>
      <w:r w:rsidR="007855E9">
        <w:rPr>
          <w:rStyle w:val="Appelnotedebasdep"/>
          <w:spacing w:val="3"/>
        </w:rPr>
        <w:footnoteReference w:id="54"/>
      </w:r>
      <w:r>
        <w:rPr>
          <w:spacing w:val="3"/>
        </w:rPr>
        <w:t xml:space="preserve"> considère que pour identifier et apprécier la pertinence du critère de différenciation et le but poursuivi par l'auteur d'un règlement-taxe communal, il y a lieu de se référer aux motifs de ce règlement, lesquels doivent apparaître dans son préambule </w:t>
      </w:r>
      <w:r w:rsidR="001D685D">
        <w:rPr>
          <w:spacing w:val="3"/>
        </w:rPr>
        <w:t>ou</w:t>
      </w:r>
      <w:r>
        <w:rPr>
          <w:spacing w:val="3"/>
        </w:rPr>
        <w:t xml:space="preserve"> résulter du dossier constitué au cours de son élaboration ou encore doivent pouvoir être déduits du dossier administratif produit par la commune. Le Conseil d’Etat ajoute que les explications données par la partie adverse dans ses écrits de procédure ne peuvent, en aucun cas, pallier la carence du dossier.</w:t>
      </w:r>
    </w:p>
    <w:p w14:paraId="2E8D9757" w14:textId="4E196E68" w:rsidR="00794390" w:rsidRDefault="00794390" w:rsidP="00794390">
      <w:pPr>
        <w:spacing w:before="120"/>
        <w:jc w:val="both"/>
        <w:textAlignment w:val="baseline"/>
        <w:rPr>
          <w:spacing w:val="3"/>
        </w:rPr>
      </w:pPr>
      <w:r>
        <w:rPr>
          <w:spacing w:val="3"/>
        </w:rPr>
        <w:t>En conclusion, en vue de vous prémunir contre un éventuel recours, j’insiste pour que les motifs, objectifs et buts qui ont présidé à l’adoption du règlement-taxe soient systématiquement repris dans le préambule dudit règlement-taxe.</w:t>
      </w:r>
    </w:p>
    <w:p w14:paraId="40AD57E9" w14:textId="3EED5A30" w:rsidR="004B213F" w:rsidRDefault="001D685D" w:rsidP="00541AFA">
      <w:pPr>
        <w:spacing w:before="120"/>
        <w:jc w:val="both"/>
        <w:textAlignment w:val="baseline"/>
        <w:rPr>
          <w:b/>
          <w:bCs/>
          <w:spacing w:val="3"/>
        </w:rPr>
      </w:pPr>
      <w:r w:rsidRPr="001D685D">
        <w:rPr>
          <w:b/>
          <w:bCs/>
          <w:spacing w:val="3"/>
        </w:rPr>
        <w:t>C’est donc à la fois au niveau du préambule du règlement et</w:t>
      </w:r>
      <w:r w:rsidR="00DB2AF6">
        <w:rPr>
          <w:b/>
          <w:bCs/>
          <w:spacing w:val="3"/>
        </w:rPr>
        <w:t xml:space="preserve"> éventuellement</w:t>
      </w:r>
      <w:r w:rsidRPr="001D685D">
        <w:rPr>
          <w:b/>
          <w:bCs/>
          <w:spacing w:val="3"/>
        </w:rPr>
        <w:t xml:space="preserve"> dans le dossier administratif que doivent se retrouver non seulement les objectifs, mais également les motivations des règles particulières (exceptions, exonérations, différenciation, etc.).</w:t>
      </w:r>
    </w:p>
    <w:p w14:paraId="15C7C906" w14:textId="77777777" w:rsidR="00453CB4" w:rsidRDefault="00453CB4" w:rsidP="00541AFA">
      <w:pPr>
        <w:spacing w:before="120"/>
        <w:jc w:val="both"/>
        <w:textAlignment w:val="baseline"/>
        <w:rPr>
          <w:spacing w:val="3"/>
          <w:lang w:val="fr-BE"/>
        </w:rPr>
      </w:pPr>
    </w:p>
    <w:p w14:paraId="4033FE37" w14:textId="215E53C7" w:rsidR="00892FFC" w:rsidRPr="008D0CC3" w:rsidRDefault="00935D55" w:rsidP="00256E9F">
      <w:pPr>
        <w:pStyle w:val="Sam3"/>
      </w:pPr>
      <w:bookmarkStart w:id="3898" w:name="_Toc74557665"/>
      <w:r w:rsidRPr="008D0CC3">
        <w:t xml:space="preserve">VI.3.2 </w:t>
      </w:r>
      <w:bookmarkStart w:id="3899" w:name="_Toc516739655"/>
      <w:bookmarkStart w:id="3900" w:name="_Toc516751568"/>
      <w:bookmarkStart w:id="3901" w:name="_Toc516825656"/>
      <w:bookmarkStart w:id="3902" w:name="_Toc516826214"/>
      <w:bookmarkStart w:id="3903" w:name="_Toc516837534"/>
      <w:bookmarkStart w:id="3904" w:name="_Toc516838093"/>
      <w:bookmarkStart w:id="3905" w:name="_Toc516838652"/>
      <w:bookmarkStart w:id="3906" w:name="_Toc516839212"/>
      <w:bookmarkStart w:id="3907" w:name="_Toc517173308"/>
      <w:bookmarkStart w:id="3908" w:name="_Toc517174982"/>
      <w:bookmarkStart w:id="3909" w:name="_Toc517175569"/>
      <w:bookmarkStart w:id="3910" w:name="_Toc517176157"/>
      <w:bookmarkStart w:id="3911" w:name="_Toc517337482"/>
      <w:bookmarkStart w:id="3912" w:name="_Toc517360278"/>
      <w:bookmarkStart w:id="3913" w:name="_Toc516739656"/>
      <w:bookmarkStart w:id="3914" w:name="_Toc516751569"/>
      <w:bookmarkStart w:id="3915" w:name="_Toc516825657"/>
      <w:bookmarkStart w:id="3916" w:name="_Toc516826215"/>
      <w:bookmarkStart w:id="3917" w:name="_Toc516837535"/>
      <w:bookmarkStart w:id="3918" w:name="_Toc516838094"/>
      <w:bookmarkStart w:id="3919" w:name="_Toc516838653"/>
      <w:bookmarkStart w:id="3920" w:name="_Toc516839213"/>
      <w:bookmarkStart w:id="3921" w:name="_Toc517173309"/>
      <w:bookmarkStart w:id="3922" w:name="_Toc517174983"/>
      <w:bookmarkStart w:id="3923" w:name="_Toc517175570"/>
      <w:bookmarkStart w:id="3924" w:name="_Toc517176158"/>
      <w:bookmarkStart w:id="3925" w:name="_Toc517337483"/>
      <w:bookmarkStart w:id="3926" w:name="_Toc517360279"/>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r w:rsidR="00892FFC" w:rsidRPr="008D0CC3">
        <w:t>Principe « non bis in idem »</w:t>
      </w:r>
      <w:bookmarkEnd w:id="3898"/>
    </w:p>
    <w:p w14:paraId="3AC0BE14" w14:textId="77777777" w:rsidR="00541AFA" w:rsidRPr="008D0CC3" w:rsidRDefault="00541AFA" w:rsidP="00256E9F">
      <w:pPr>
        <w:pStyle w:val="Sam3"/>
      </w:pPr>
    </w:p>
    <w:p w14:paraId="52A7F4AF" w14:textId="48D12363" w:rsidR="00A565DD" w:rsidRDefault="00A565DD" w:rsidP="008D7EB7">
      <w:pPr>
        <w:pStyle w:val="Sam4"/>
      </w:pPr>
      <w:bookmarkStart w:id="3927" w:name="_Toc74557666"/>
      <w:r>
        <w:t>En matière d’impôt</w:t>
      </w:r>
      <w:bookmarkEnd w:id="3927"/>
    </w:p>
    <w:p w14:paraId="1062BC5D" w14:textId="73EC07EA" w:rsidR="00A565DD" w:rsidRDefault="00A565DD" w:rsidP="00A565DD">
      <w:pPr>
        <w:spacing w:before="120"/>
        <w:jc w:val="both"/>
        <w:textAlignment w:val="baseline"/>
        <w:rPr>
          <w:rFonts w:eastAsiaTheme="minorHAnsi"/>
          <w:color w:val="0D0D0D"/>
          <w:spacing w:val="2"/>
        </w:rPr>
      </w:pPr>
      <w:r>
        <w:rPr>
          <w:color w:val="0D0D0D"/>
          <w:spacing w:val="2"/>
        </w:rPr>
        <w:t xml:space="preserve">La Cour de </w:t>
      </w:r>
      <w:proofErr w:type="gramStart"/>
      <w:r>
        <w:rPr>
          <w:color w:val="0D0D0D"/>
          <w:spacing w:val="2"/>
        </w:rPr>
        <w:t>Cassation</w:t>
      </w:r>
      <w:proofErr w:type="gramEnd"/>
      <w:r w:rsidR="007855E9">
        <w:rPr>
          <w:rStyle w:val="Appelnotedebasdep"/>
          <w:color w:val="0D0D0D"/>
          <w:spacing w:val="2"/>
        </w:rPr>
        <w:footnoteReference w:id="55"/>
      </w:r>
      <w:r>
        <w:rPr>
          <w:color w:val="0D0D0D"/>
          <w:spacing w:val="2"/>
        </w:rPr>
        <w:t xml:space="preserve"> a considéré qu’il était de principe en droit fiscal qu'un contribuable ne peut être tenu d'acquitter deux fois le même impôt sur le même objet.</w:t>
      </w:r>
    </w:p>
    <w:p w14:paraId="36E0E6A5" w14:textId="1B31C517" w:rsidR="00A565DD" w:rsidRDefault="00A565DD" w:rsidP="00A565DD">
      <w:pPr>
        <w:spacing w:before="120"/>
        <w:jc w:val="both"/>
        <w:textAlignment w:val="baseline"/>
        <w:rPr>
          <w:color w:val="0D0D0D"/>
          <w:spacing w:val="2"/>
        </w:rPr>
      </w:pPr>
      <w:r>
        <w:rPr>
          <w:color w:val="0D0D0D"/>
          <w:spacing w:val="2"/>
        </w:rPr>
        <w:t>Elle</w:t>
      </w:r>
      <w:r w:rsidR="007855E9">
        <w:rPr>
          <w:rStyle w:val="Appelnotedebasdep"/>
          <w:color w:val="0D0D0D"/>
          <w:spacing w:val="2"/>
        </w:rPr>
        <w:footnoteReference w:id="56"/>
      </w:r>
      <w:r w:rsidR="007855E9">
        <w:rPr>
          <w:color w:val="0D0D0D"/>
          <w:spacing w:val="2"/>
        </w:rPr>
        <w:t xml:space="preserve"> </w:t>
      </w:r>
      <w:r>
        <w:rPr>
          <w:color w:val="0D0D0D"/>
          <w:spacing w:val="2"/>
        </w:rPr>
        <w:t xml:space="preserve">a également considéré que ce principe n’interdisait pas que diverses autorités établissent un impôt à charge d’un même contribuable pour un même fait. </w:t>
      </w:r>
    </w:p>
    <w:p w14:paraId="6CFD1DE2" w14:textId="6B0F63E6" w:rsidR="00A565DD" w:rsidRDefault="00A565DD" w:rsidP="00A565DD">
      <w:pPr>
        <w:spacing w:before="120"/>
        <w:jc w:val="both"/>
        <w:textAlignment w:val="baseline"/>
        <w:rPr>
          <w:color w:val="0D0D0D"/>
          <w:spacing w:val="2"/>
        </w:rPr>
      </w:pPr>
      <w:r>
        <w:rPr>
          <w:color w:val="0D0D0D"/>
          <w:spacing w:val="2"/>
        </w:rPr>
        <w:t>Dans le même sens, le Conseil d’Etat</w:t>
      </w:r>
      <w:r w:rsidR="007855E9">
        <w:rPr>
          <w:rStyle w:val="Appelnotedebasdep"/>
          <w:color w:val="0D0D0D"/>
          <w:spacing w:val="2"/>
        </w:rPr>
        <w:footnoteReference w:id="57"/>
      </w:r>
      <w:r>
        <w:rPr>
          <w:color w:val="0D0D0D"/>
          <w:spacing w:val="2"/>
        </w:rPr>
        <w:t xml:space="preserve"> a considéré que les Conseils communaux qui détiennent leur pouvoir de taxation de l'article 170, § 4, de la Constitution peuvent choisir, sous le contrôle de l'autorité de tutelle, la base des impôts levés par eux et que le seul fait que la même base imposée le soit déjà par d'autres niveaux de pouvoir ne peut limiter le pouvoir fiscal des communes.</w:t>
      </w:r>
    </w:p>
    <w:p w14:paraId="006F38BF" w14:textId="77777777" w:rsidR="00A565DD" w:rsidRDefault="00A565DD" w:rsidP="00A565DD">
      <w:pPr>
        <w:spacing w:before="120"/>
        <w:jc w:val="both"/>
        <w:textAlignment w:val="baseline"/>
        <w:rPr>
          <w:color w:val="0D0D0D"/>
          <w:spacing w:val="2"/>
        </w:rPr>
      </w:pPr>
      <w:r>
        <w:rPr>
          <w:color w:val="0D0D0D"/>
          <w:spacing w:val="2"/>
        </w:rPr>
        <w:t>Sur la base de ces arrêts, on peut en déduire que :</w:t>
      </w:r>
    </w:p>
    <w:p w14:paraId="45E099B4" w14:textId="4878658A" w:rsidR="00A565DD" w:rsidRDefault="00A565DD" w:rsidP="00A565DD">
      <w:pPr>
        <w:pStyle w:val="Paragraphedeliste"/>
        <w:numPr>
          <w:ilvl w:val="0"/>
          <w:numId w:val="84"/>
        </w:numPr>
        <w:spacing w:before="120"/>
        <w:jc w:val="both"/>
        <w:textAlignment w:val="baseline"/>
        <w:rPr>
          <w:color w:val="0D0D0D"/>
          <w:spacing w:val="2"/>
        </w:rPr>
      </w:pPr>
      <w:proofErr w:type="gramStart"/>
      <w:r>
        <w:rPr>
          <w:color w:val="0D0D0D"/>
          <w:spacing w:val="2"/>
        </w:rPr>
        <w:t>ce</w:t>
      </w:r>
      <w:proofErr w:type="gramEnd"/>
      <w:r>
        <w:rPr>
          <w:color w:val="0D0D0D"/>
          <w:spacing w:val="2"/>
        </w:rPr>
        <w:t xml:space="preserve"> principe ne s’applique pas s’il s’agit de taxes établies par des </w:t>
      </w:r>
      <w:r>
        <w:rPr>
          <w:color w:val="0D0D0D"/>
          <w:spacing w:val="2"/>
          <w:u w:val="single"/>
        </w:rPr>
        <w:t>autorités fiscales différentes</w:t>
      </w:r>
      <w:r>
        <w:rPr>
          <w:color w:val="0D0D0D"/>
          <w:spacing w:val="2"/>
        </w:rPr>
        <w:t xml:space="preserve"> (par exemple : une taxe pour les secondes résidences peut être </w:t>
      </w:r>
      <w:r w:rsidR="001044C0">
        <w:rPr>
          <w:color w:val="0D0D0D"/>
          <w:spacing w:val="2"/>
        </w:rPr>
        <w:t>levée à</w:t>
      </w:r>
      <w:r>
        <w:rPr>
          <w:color w:val="0D0D0D"/>
          <w:spacing w:val="2"/>
        </w:rPr>
        <w:t xml:space="preserve"> la fois par une province et une commune de cette province respectivement via une taxe provinciale et une taxe communale).</w:t>
      </w:r>
    </w:p>
    <w:p w14:paraId="54756F93" w14:textId="77777777" w:rsidR="00A565DD" w:rsidRDefault="00A565DD" w:rsidP="00A565DD">
      <w:pPr>
        <w:pStyle w:val="Paragraphedeliste"/>
        <w:numPr>
          <w:ilvl w:val="0"/>
          <w:numId w:val="84"/>
        </w:numPr>
        <w:spacing w:before="120"/>
        <w:jc w:val="both"/>
        <w:textAlignment w:val="baseline"/>
        <w:rPr>
          <w:color w:val="0D0D0D"/>
          <w:spacing w:val="2"/>
        </w:rPr>
      </w:pPr>
      <w:proofErr w:type="gramStart"/>
      <w:r>
        <w:rPr>
          <w:color w:val="0D0D0D"/>
          <w:spacing w:val="2"/>
        </w:rPr>
        <w:t>ce</w:t>
      </w:r>
      <w:proofErr w:type="gramEnd"/>
      <w:r>
        <w:rPr>
          <w:color w:val="0D0D0D"/>
          <w:spacing w:val="2"/>
        </w:rPr>
        <w:t xml:space="preserve"> principe s’oppose à ce qu’une </w:t>
      </w:r>
      <w:r>
        <w:rPr>
          <w:color w:val="0D0D0D"/>
          <w:spacing w:val="2"/>
          <w:u w:val="single"/>
        </w:rPr>
        <w:t>même autorité</w:t>
      </w:r>
      <w:r>
        <w:rPr>
          <w:color w:val="0D0D0D"/>
          <w:spacing w:val="2"/>
        </w:rPr>
        <w:t xml:space="preserve"> impose deux fois la même matière imposable dans le chef du </w:t>
      </w:r>
      <w:r>
        <w:rPr>
          <w:color w:val="0D0D0D"/>
          <w:spacing w:val="2"/>
          <w:u w:val="single"/>
        </w:rPr>
        <w:t>même contribuable</w:t>
      </w:r>
      <w:r>
        <w:rPr>
          <w:color w:val="0D0D0D"/>
          <w:spacing w:val="2"/>
        </w:rPr>
        <w:t xml:space="preserve"> par une taxe identique ou similaire (</w:t>
      </w:r>
      <w:r>
        <w:rPr>
          <w:color w:val="0D0D0D"/>
          <w:spacing w:val="2"/>
          <w:u w:val="single"/>
        </w:rPr>
        <w:t>même fait ou même situation</w:t>
      </w:r>
      <w:r>
        <w:rPr>
          <w:color w:val="0D0D0D"/>
          <w:spacing w:val="2"/>
        </w:rPr>
        <w:t>).</w:t>
      </w:r>
    </w:p>
    <w:p w14:paraId="38462FE5" w14:textId="1711DCA5" w:rsidR="00A565DD" w:rsidRDefault="00A565DD" w:rsidP="00A565DD">
      <w:pPr>
        <w:spacing w:before="120"/>
        <w:jc w:val="both"/>
        <w:textAlignment w:val="baseline"/>
        <w:rPr>
          <w:color w:val="0D0D0D"/>
          <w:spacing w:val="2"/>
        </w:rPr>
      </w:pPr>
      <w:r>
        <w:rPr>
          <w:color w:val="0D0D0D"/>
          <w:spacing w:val="2"/>
        </w:rPr>
        <w:t>De même, une « double taxation » d’un même redevable est juridiquement possible si les causes qui justifient l’impôt sont différentes</w:t>
      </w:r>
      <w:r w:rsidR="007855E9">
        <w:rPr>
          <w:rStyle w:val="Appelnotedebasdep"/>
          <w:color w:val="0D0D0D"/>
          <w:spacing w:val="2"/>
        </w:rPr>
        <w:footnoteReference w:id="58"/>
      </w:r>
      <w:r>
        <w:rPr>
          <w:color w:val="0D0D0D"/>
          <w:spacing w:val="2"/>
        </w:rPr>
        <w:t>.</w:t>
      </w:r>
    </w:p>
    <w:p w14:paraId="33DC35D1" w14:textId="77777777" w:rsidR="000E01F9" w:rsidRDefault="000E01F9" w:rsidP="00A565DD">
      <w:pPr>
        <w:spacing w:before="120"/>
        <w:jc w:val="both"/>
        <w:textAlignment w:val="baseline"/>
        <w:rPr>
          <w:color w:val="0D0D0D"/>
          <w:spacing w:val="2"/>
        </w:rPr>
      </w:pPr>
    </w:p>
    <w:p w14:paraId="77A847B1" w14:textId="77777777" w:rsidR="00A565DD" w:rsidRDefault="00A565DD" w:rsidP="008D7EB7">
      <w:pPr>
        <w:pStyle w:val="Sam4"/>
      </w:pPr>
      <w:bookmarkStart w:id="3928" w:name="_Toc40185405"/>
      <w:bookmarkStart w:id="3929" w:name="_Toc40186140"/>
      <w:bookmarkStart w:id="3930" w:name="_Toc74557667"/>
      <w:bookmarkEnd w:id="3928"/>
      <w:bookmarkEnd w:id="3929"/>
      <w:r>
        <w:lastRenderedPageBreak/>
        <w:t>En matière de sanctions fiscales</w:t>
      </w:r>
      <w:bookmarkEnd w:id="3930"/>
    </w:p>
    <w:p w14:paraId="0DD359E6" w14:textId="77777777" w:rsidR="00A565DD" w:rsidRDefault="00A565DD" w:rsidP="00A565DD">
      <w:pPr>
        <w:spacing w:before="120"/>
        <w:jc w:val="both"/>
        <w:textAlignment w:val="baseline"/>
        <w:rPr>
          <w:rFonts w:eastAsiaTheme="minorHAnsi"/>
          <w:color w:val="0D0D0D"/>
          <w:spacing w:val="2"/>
        </w:rPr>
      </w:pPr>
      <w:r>
        <w:rPr>
          <w:color w:val="0D0D0D"/>
          <w:spacing w:val="2"/>
        </w:rPr>
        <w:t xml:space="preserve">Le principe « non bis in idem » interdit de poursuivre ou de juger à nouveau une personne pour la « même infraction ». </w:t>
      </w:r>
    </w:p>
    <w:p w14:paraId="002C8521" w14:textId="79481F3F" w:rsidR="00A565DD" w:rsidRDefault="00A565DD" w:rsidP="00A565DD">
      <w:pPr>
        <w:spacing w:before="120"/>
        <w:jc w:val="both"/>
        <w:textAlignment w:val="baseline"/>
        <w:rPr>
          <w:color w:val="0D0D0D"/>
          <w:spacing w:val="2"/>
        </w:rPr>
      </w:pPr>
      <w:r>
        <w:rPr>
          <w:color w:val="0D0D0D"/>
          <w:spacing w:val="2"/>
        </w:rPr>
        <w:t xml:space="preserve">L’article 4 du Protocole n°7 à la Convention européenne des droits de l’homme (qui concerne le droit à ne pas être jugé ou puni deux fois) doit être compris comme interdisant de poursuivre ou de juger une personne pour une seconde « infraction » pour autant que celle-ci avait pour origine des faits identiques ou des faits qui étaient « en substance » les mêmes que ceux de la première infraction. </w:t>
      </w:r>
      <w:r w:rsidR="008722FF">
        <w:rPr>
          <w:color w:val="0D0D0D"/>
          <w:spacing w:val="2"/>
        </w:rPr>
        <w:t>À</w:t>
      </w:r>
      <w:r>
        <w:rPr>
          <w:color w:val="0D0D0D"/>
          <w:spacing w:val="2"/>
        </w:rPr>
        <w:t xml:space="preserve"> cet égard, la Cour européenne des droits de l’homme a précisé que le point de départ pour l’examen de la question de savoir si les faits des deux procédures étaient identiques ou étaient en substance les mêmes devait être la comparaison de l’exposé des faits concernant l’infraction pour laquelle le requérant avait déjà été jugé avec celui se rapportant à la seconde infraction dont il était accusé.</w:t>
      </w:r>
    </w:p>
    <w:p w14:paraId="46FBFBC9" w14:textId="70359EBC" w:rsidR="00A565DD" w:rsidRDefault="00A565DD" w:rsidP="00A565DD">
      <w:pPr>
        <w:spacing w:before="120"/>
        <w:jc w:val="both"/>
        <w:textAlignment w:val="baseline"/>
      </w:pPr>
      <w:r>
        <w:rPr>
          <w:color w:val="0D0D0D"/>
          <w:spacing w:val="2"/>
        </w:rPr>
        <w:t>La Cour Constitutionnelle</w:t>
      </w:r>
      <w:r w:rsidR="00B73B0B">
        <w:rPr>
          <w:rStyle w:val="Appelnotedebasdep"/>
          <w:color w:val="0D0D0D"/>
          <w:spacing w:val="2"/>
        </w:rPr>
        <w:footnoteReference w:id="59"/>
      </w:r>
      <w:r>
        <w:rPr>
          <w:color w:val="0D0D0D"/>
          <w:spacing w:val="2"/>
        </w:rPr>
        <w:t xml:space="preserve"> constate que les amendes administratives prévues par l’article 445 du code des impôts sur les revenus présentent un caractère répressif et sont pénales au sens de l’article 6 de la Convention européenne des droits de l’homme et de l’article 14 du Pacte international relatif aux droits civils et politiques.</w:t>
      </w:r>
      <w:r>
        <w:t xml:space="preserve"> </w:t>
      </w:r>
    </w:p>
    <w:p w14:paraId="4BF71BB9" w14:textId="77777777" w:rsidR="00A565DD" w:rsidRDefault="00A565DD" w:rsidP="00A565DD">
      <w:pPr>
        <w:spacing w:before="120"/>
        <w:jc w:val="both"/>
        <w:textAlignment w:val="baseline"/>
        <w:rPr>
          <w:color w:val="0D0D0D"/>
          <w:spacing w:val="2"/>
        </w:rPr>
      </w:pPr>
      <w:r>
        <w:t xml:space="preserve">Par conséquent, le principe </w:t>
      </w:r>
      <w:r>
        <w:rPr>
          <w:color w:val="0D0D0D"/>
          <w:spacing w:val="2"/>
        </w:rPr>
        <w:t xml:space="preserve">« non bis in idem » pourrait s’appliquer </w:t>
      </w:r>
      <w:r>
        <w:t xml:space="preserve">dans l’hypothèse où un redevable déjà sanctionné pour une infraction visée à l’article 445 du code des impôts sur les revenus serait poursuivi pour fraude fiscale (risquant ainsi de se voir infliger l’une des peines prévues à l’article 449 du code des impôts sur les revenus), </w:t>
      </w:r>
      <w:r>
        <w:rPr>
          <w:color w:val="0D0D0D"/>
          <w:spacing w:val="2"/>
        </w:rPr>
        <w:t xml:space="preserve">s’il s’avérait que les faits donnant lieu aux deux infractions sont identiques ou en substances les mêmes. </w:t>
      </w:r>
    </w:p>
    <w:p w14:paraId="61EF57EE" w14:textId="77777777" w:rsidR="00A565DD" w:rsidRDefault="00A565DD" w:rsidP="00A565DD"/>
    <w:p w14:paraId="360D297E" w14:textId="26E06FBC" w:rsidR="00A565DD" w:rsidRDefault="00A565DD" w:rsidP="008D7EB7">
      <w:pPr>
        <w:jc w:val="both"/>
        <w:rPr>
          <w:sz w:val="22"/>
          <w:szCs w:val="22"/>
          <w:lang w:val="fr-BE" w:eastAsia="fr-BE"/>
        </w:rPr>
      </w:pPr>
      <w:r>
        <w:t>Enfin, la Cour de Constitutionnelle</w:t>
      </w:r>
      <w:r w:rsidR="00B73B0B">
        <w:rPr>
          <w:rStyle w:val="Appelnotedebasdep"/>
        </w:rPr>
        <w:footnoteReference w:id="60"/>
      </w:r>
      <w:r>
        <w:rPr>
          <w:b/>
          <w:bCs/>
        </w:rPr>
        <w:t xml:space="preserve"> </w:t>
      </w:r>
      <w:r>
        <w:t>mentionne que l’amende</w:t>
      </w:r>
      <w:r>
        <w:rPr>
          <w:b/>
          <w:bCs/>
        </w:rPr>
        <w:t xml:space="preserve"> </w:t>
      </w:r>
      <w:r>
        <w:t xml:space="preserve">fiscale prévue à l’article 445 du code des impôts sur les revenus et l’accroissement d’impôt prévu à l’article 444 du code des impôts sur les revenus ont un caractère répressif prédominant et constituent dès lors des sanctions de nature pénale au sens de l’article 4 du Septième Protocole additionnel à la Convention européenne des droits de l’homme et de l’article 50 de la Charte des droits fondamentaux </w:t>
      </w:r>
      <w:r w:rsidR="001044C0">
        <w:t>de l’Union</w:t>
      </w:r>
      <w:r>
        <w:t xml:space="preserve"> européenne. Dès lors, il y a lieu d’appliquer l’une ou l’autre sanction en fonction de</w:t>
      </w:r>
      <w:r>
        <w:rPr>
          <w:b/>
          <w:bCs/>
        </w:rPr>
        <w:t xml:space="preserve"> </w:t>
      </w:r>
      <w:r>
        <w:t>la gravité des faits imputés au contribuable, dans le respect du principe de proportionnalité</w:t>
      </w:r>
      <w:r>
        <w:rPr>
          <w:b/>
          <w:bCs/>
        </w:rPr>
        <w:t xml:space="preserve"> </w:t>
      </w:r>
      <w:r>
        <w:t>applicable en matière pénale.</w:t>
      </w:r>
      <w:r>
        <w:rPr>
          <w:sz w:val="22"/>
          <w:szCs w:val="22"/>
          <w:lang w:eastAsia="fr-BE"/>
        </w:rPr>
        <w:t xml:space="preserve"> </w:t>
      </w:r>
    </w:p>
    <w:p w14:paraId="31FD8D0F" w14:textId="77777777" w:rsidR="00A565DD" w:rsidRDefault="00A565DD" w:rsidP="00A565DD"/>
    <w:p w14:paraId="5A46E0A5" w14:textId="0457DC50" w:rsidR="00892FFC" w:rsidRPr="00DA6BD2" w:rsidRDefault="00935D55" w:rsidP="00256E9F">
      <w:pPr>
        <w:pStyle w:val="Sam3"/>
      </w:pPr>
      <w:bookmarkStart w:id="3931" w:name="_Toc74557668"/>
      <w:r>
        <w:t xml:space="preserve">VI.3.3 </w:t>
      </w:r>
      <w:r w:rsidR="00892FFC">
        <w:t>Adéquation avec</w:t>
      </w:r>
      <w:r w:rsidR="002101BF">
        <w:t xml:space="preserve"> les</w:t>
      </w:r>
      <w:r w:rsidR="00892FFC">
        <w:t xml:space="preserve"> codes </w:t>
      </w:r>
      <w:r w:rsidR="002C69BC">
        <w:t>fonctionnels et économiques</w:t>
      </w:r>
      <w:bookmarkEnd w:id="3931"/>
    </w:p>
    <w:p w14:paraId="6C2502B0" w14:textId="0FC24640" w:rsidR="009B153C" w:rsidRDefault="009B153C" w:rsidP="00E063FD">
      <w:pPr>
        <w:spacing w:before="120"/>
        <w:jc w:val="both"/>
        <w:textAlignment w:val="baseline"/>
        <w:rPr>
          <w:rFonts w:asciiTheme="minorHAnsi" w:hAnsiTheme="minorHAnsi" w:cs="Calibri Light"/>
          <w:color w:val="0D0D0D"/>
        </w:rPr>
      </w:pPr>
      <w:r w:rsidRPr="00DA6BD2">
        <w:rPr>
          <w:rFonts w:asciiTheme="minorHAnsi" w:hAnsiTheme="minorHAnsi" w:cs="Calibri Light"/>
          <w:color w:val="0D0D0D"/>
        </w:rPr>
        <w:t xml:space="preserve">Les différentes taxes communales doivent être reprises au budget de la commune sous les numéros de code adéquat définis </w:t>
      </w:r>
      <w:r w:rsidR="00E90C59" w:rsidRPr="009315DC">
        <w:rPr>
          <w:rFonts w:asciiTheme="minorHAnsi" w:hAnsiTheme="minorHAnsi" w:cs="Calibri Light"/>
          <w:color w:val="0D0D0D"/>
        </w:rPr>
        <w:t xml:space="preserve">dans la partie « Nomenclature des taxes » et, à défaut, </w:t>
      </w:r>
      <w:r w:rsidRPr="00DA6BD2">
        <w:rPr>
          <w:rFonts w:asciiTheme="minorHAnsi" w:hAnsiTheme="minorHAnsi" w:cs="Calibri Light"/>
          <w:color w:val="0D0D0D"/>
        </w:rPr>
        <w:t>par les classifications fonctionnelles et économiques normalisées</w:t>
      </w:r>
      <w:r w:rsidR="00D12B46">
        <w:rPr>
          <w:rFonts w:asciiTheme="minorHAnsi" w:hAnsiTheme="minorHAnsi" w:cs="Calibri Light"/>
          <w:color w:val="0D0D0D"/>
        </w:rPr>
        <w:t>.</w:t>
      </w:r>
    </w:p>
    <w:p w14:paraId="1217C90C" w14:textId="77777777" w:rsidR="00097AD5" w:rsidRDefault="00097AD5" w:rsidP="00256E9F">
      <w:pPr>
        <w:pStyle w:val="Sam3"/>
      </w:pPr>
    </w:p>
    <w:p w14:paraId="62E51797" w14:textId="02D78647" w:rsidR="00892FFC" w:rsidRPr="00DA6BD2" w:rsidRDefault="00935D55" w:rsidP="00256E9F">
      <w:pPr>
        <w:pStyle w:val="Sam3"/>
      </w:pPr>
      <w:bookmarkStart w:id="3932" w:name="_Toc74557669"/>
      <w:r>
        <w:t xml:space="preserve">VI.3.4 </w:t>
      </w:r>
      <w:r w:rsidR="00892FFC">
        <w:t>Sanctions en matière de règlements-taxes</w:t>
      </w:r>
      <w:bookmarkEnd w:id="3932"/>
    </w:p>
    <w:p w14:paraId="12A01124" w14:textId="2F0801E2" w:rsidR="00FB2ADB"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L'article L 3321-12 du CDLD dispose que le titre VII, chapitre 10 du Code des Impôts sur les revenus s'applique aux impositions locales</w:t>
      </w:r>
      <w:r w:rsidR="00FB2ADB">
        <w:rPr>
          <w:rFonts w:asciiTheme="minorHAnsi" w:hAnsiTheme="minorHAnsi" w:cs="Calibri Light"/>
        </w:rPr>
        <w:t xml:space="preserve"> à la condition qu’elles ne concernent pas spécialement les impôts sur les revenus</w:t>
      </w:r>
      <w:r w:rsidRPr="00DA6BD2">
        <w:rPr>
          <w:rFonts w:asciiTheme="minorHAnsi" w:hAnsiTheme="minorHAnsi" w:cs="Calibri Light"/>
        </w:rPr>
        <w:t>.</w:t>
      </w:r>
      <w:r w:rsidR="006402A2">
        <w:rPr>
          <w:rFonts w:asciiTheme="minorHAnsi" w:hAnsiTheme="minorHAnsi" w:cs="Calibri Light"/>
        </w:rPr>
        <w:t xml:space="preserve"> </w:t>
      </w:r>
    </w:p>
    <w:p w14:paraId="09C6ED3A" w14:textId="5EE3B403" w:rsidR="009B153C" w:rsidRDefault="008722FF" w:rsidP="00E063FD">
      <w:pPr>
        <w:spacing w:before="120"/>
        <w:jc w:val="both"/>
        <w:textAlignment w:val="baseline"/>
      </w:pPr>
      <w:r w:rsidRPr="008D7EB7">
        <w:t>À</w:t>
      </w:r>
      <w:r w:rsidR="00FB2ADB" w:rsidRPr="008D7EB7">
        <w:t xml:space="preserve"> cet égard, l</w:t>
      </w:r>
      <w:r w:rsidR="006402A2" w:rsidRPr="008D7EB7">
        <w:t>a Loi du 13 avril 2019 instaurant le Code de recouvrement des créances fiscales et non fiscales n’a pas modifié ce chapitre.</w:t>
      </w:r>
    </w:p>
    <w:p w14:paraId="43EFE2BD" w14:textId="77777777" w:rsidR="00FB2ADB" w:rsidRPr="00276F16" w:rsidRDefault="00FB2ADB" w:rsidP="008D7EB7">
      <w:pPr>
        <w:pStyle w:val="Sam4"/>
        <w:numPr>
          <w:ilvl w:val="4"/>
          <w:numId w:val="237"/>
        </w:numPr>
      </w:pPr>
      <w:bookmarkStart w:id="3933" w:name="_Toc40185410"/>
      <w:bookmarkStart w:id="3934" w:name="_Toc40186145"/>
      <w:bookmarkStart w:id="3935" w:name="_Toc40185411"/>
      <w:bookmarkStart w:id="3936" w:name="_Toc40186146"/>
      <w:bookmarkStart w:id="3937" w:name="_Toc74557670"/>
      <w:bookmarkEnd w:id="3933"/>
      <w:bookmarkEnd w:id="3934"/>
      <w:bookmarkEnd w:id="3935"/>
      <w:bookmarkEnd w:id="3936"/>
      <w:r w:rsidRPr="00276F16">
        <w:lastRenderedPageBreak/>
        <w:t>Sanctions pénales</w:t>
      </w:r>
      <w:bookmarkEnd w:id="3937"/>
    </w:p>
    <w:p w14:paraId="64DA4958" w14:textId="21A77DBB" w:rsidR="00FB2ADB" w:rsidRDefault="00FB2ADB" w:rsidP="00FB2ADB">
      <w:pPr>
        <w:spacing w:before="120"/>
        <w:jc w:val="both"/>
        <w:textAlignment w:val="baseline"/>
      </w:pPr>
      <w:r>
        <w:t>Cela signifie que les sanctions pénales, prévues à la section 2 du chapitre précité (articles 449 et suivants du code des impôts sur les revenus), s'appliquent aux infractions relatives aux impositions locales et donc que le Conseil communal ne peut fixer lui-même des sanctions pénales en la matière.</w:t>
      </w:r>
    </w:p>
    <w:p w14:paraId="253CA942" w14:textId="77777777" w:rsidR="00FB2ADB" w:rsidRDefault="00FB2ADB" w:rsidP="00FB2ADB">
      <w:pPr>
        <w:spacing w:before="120"/>
        <w:jc w:val="both"/>
        <w:textAlignment w:val="baseline"/>
      </w:pPr>
      <w:r>
        <w:t>Par conséquent, un règlement-taxe peut prévoir que « </w:t>
      </w:r>
      <w:r>
        <w:rPr>
          <w:i/>
          <w:iCs/>
        </w:rPr>
        <w:t>celui qui, dans une intention frauduleuse ou à dessein de nuire, contreviendra aux dispositions du présent règlement sera puni d’une amende dont le montant est fixé conformément à l’article 449 du code des impôts sur les revenus </w:t>
      </w:r>
      <w:r>
        <w:t xml:space="preserve">». </w:t>
      </w:r>
    </w:p>
    <w:p w14:paraId="23361F39" w14:textId="1AEF42C6" w:rsidR="00FB2ADB" w:rsidRDefault="00FB2ADB" w:rsidP="00FB2ADB">
      <w:pPr>
        <w:spacing w:before="120"/>
        <w:jc w:val="both"/>
        <w:textAlignment w:val="baseline"/>
      </w:pPr>
      <w:r>
        <w:t xml:space="preserve">Il faut entendre par « </w:t>
      </w:r>
      <w:r>
        <w:rPr>
          <w:i/>
          <w:iCs/>
        </w:rPr>
        <w:t>intention frauduleuse</w:t>
      </w:r>
      <w:r>
        <w:t xml:space="preserve"> », le dessein de se procurer à soi-même ou de procurer à autrui, par certains agissements frauduleux, un profit ou un avantage illicite. Le « </w:t>
      </w:r>
      <w:r>
        <w:rPr>
          <w:i/>
          <w:iCs/>
        </w:rPr>
        <w:t>dessein de nuire</w:t>
      </w:r>
      <w:r>
        <w:t xml:space="preserve"> », c’est l’intention de porter atteinte aux droits et aux intérêts légitimes d’autres personnes, tant particulières que publiques</w:t>
      </w:r>
      <w:r w:rsidR="00097AD5">
        <w:rPr>
          <w:rStyle w:val="Appelnotedebasdep"/>
        </w:rPr>
        <w:footnoteReference w:id="61"/>
      </w:r>
      <w:r>
        <w:t>.</w:t>
      </w:r>
    </w:p>
    <w:p w14:paraId="6AD5707F" w14:textId="77777777" w:rsidR="00252BDC" w:rsidRDefault="00252BDC" w:rsidP="00FB2ADB">
      <w:pPr>
        <w:spacing w:before="120"/>
        <w:jc w:val="both"/>
        <w:textAlignment w:val="baseline"/>
      </w:pPr>
    </w:p>
    <w:p w14:paraId="6E5883CE" w14:textId="77777777" w:rsidR="00FB2ADB" w:rsidRDefault="00FB2ADB" w:rsidP="008D7EB7">
      <w:pPr>
        <w:pStyle w:val="Sam4"/>
        <w:numPr>
          <w:ilvl w:val="4"/>
          <w:numId w:val="237"/>
        </w:numPr>
      </w:pPr>
      <w:bookmarkStart w:id="3938" w:name="_Toc40185413"/>
      <w:bookmarkStart w:id="3939" w:name="_Toc40186148"/>
      <w:bookmarkStart w:id="3940" w:name="_Toc74557671"/>
      <w:bookmarkEnd w:id="3938"/>
      <w:bookmarkEnd w:id="3939"/>
      <w:r>
        <w:t>Sanctions administratives</w:t>
      </w:r>
      <w:bookmarkEnd w:id="3940"/>
    </w:p>
    <w:p w14:paraId="54C55538" w14:textId="50F581A3" w:rsidR="00FB2ADB" w:rsidRDefault="00FB2ADB" w:rsidP="00FB2ADB">
      <w:pPr>
        <w:spacing w:before="120"/>
        <w:jc w:val="both"/>
        <w:textAlignment w:val="baseline"/>
      </w:pPr>
      <w:r>
        <w:t>Il en est de même pour les amendes administratives prévues à la section 1</w:t>
      </w:r>
      <w:r>
        <w:rPr>
          <w:vertAlign w:val="superscript"/>
        </w:rPr>
        <w:t>ère</w:t>
      </w:r>
      <w:r>
        <w:t xml:space="preserve"> dudit chapitre</w:t>
      </w:r>
      <w:r w:rsidR="004B213F">
        <w:rPr>
          <w:rStyle w:val="Appelnotedebasdep"/>
        </w:rPr>
        <w:footnoteReference w:id="62"/>
      </w:r>
      <w:r>
        <w:t>.</w:t>
      </w:r>
    </w:p>
    <w:p w14:paraId="31632807" w14:textId="77777777" w:rsidR="00FB2ADB" w:rsidRDefault="00FB2ADB" w:rsidP="00FB2ADB">
      <w:pPr>
        <w:spacing w:before="120"/>
        <w:jc w:val="both"/>
        <w:textAlignment w:val="baseline"/>
      </w:pPr>
      <w:r>
        <w:t>J’attire l’attention sur le fait que l’avis adressé à un redevable par lequel l’administration communale lui réclame une amende administrative doit toujours mentionner :</w:t>
      </w:r>
    </w:p>
    <w:p w14:paraId="4403507C" w14:textId="77777777" w:rsidR="00FB2ADB" w:rsidRDefault="00FB2ADB" w:rsidP="00FB2ADB">
      <w:pPr>
        <w:pStyle w:val="Paragraphedeliste"/>
        <w:numPr>
          <w:ilvl w:val="0"/>
          <w:numId w:val="91"/>
        </w:numPr>
        <w:spacing w:before="120"/>
        <w:jc w:val="both"/>
        <w:textAlignment w:val="baseline"/>
      </w:pPr>
      <w:proofErr w:type="gramStart"/>
      <w:r>
        <w:t>les</w:t>
      </w:r>
      <w:proofErr w:type="gramEnd"/>
      <w:r>
        <w:t xml:space="preserve"> faits constitutifs de l’infraction ;</w:t>
      </w:r>
    </w:p>
    <w:p w14:paraId="4E338AE0" w14:textId="77777777" w:rsidR="00FB2ADB" w:rsidRDefault="00FB2ADB" w:rsidP="00FB2ADB">
      <w:pPr>
        <w:pStyle w:val="Paragraphedeliste"/>
        <w:numPr>
          <w:ilvl w:val="0"/>
          <w:numId w:val="91"/>
        </w:numPr>
        <w:spacing w:before="120"/>
        <w:jc w:val="both"/>
        <w:textAlignment w:val="baseline"/>
      </w:pPr>
      <w:proofErr w:type="gramStart"/>
      <w:r>
        <w:t>la</w:t>
      </w:r>
      <w:proofErr w:type="gramEnd"/>
      <w:r>
        <w:t xml:space="preserve"> référence aux textes réglementaires dont il a été fait application, </w:t>
      </w:r>
    </w:p>
    <w:p w14:paraId="2A638772" w14:textId="757B3655" w:rsidR="00FB2ADB" w:rsidRDefault="00FB2ADB" w:rsidP="00FB2ADB">
      <w:pPr>
        <w:pStyle w:val="Paragraphedeliste"/>
        <w:numPr>
          <w:ilvl w:val="0"/>
          <w:numId w:val="91"/>
        </w:numPr>
        <w:spacing w:before="120"/>
        <w:jc w:val="both"/>
        <w:textAlignment w:val="baseline"/>
      </w:pPr>
      <w:proofErr w:type="gramStart"/>
      <w:r>
        <w:t>les</w:t>
      </w:r>
      <w:proofErr w:type="gramEnd"/>
      <w:r>
        <w:t xml:space="preserve"> motifs qui ont servi à déterminer le montant de l’amende</w:t>
      </w:r>
      <w:r w:rsidR="00805FA2">
        <w:rPr>
          <w:rStyle w:val="Appelnotedebasdep"/>
        </w:rPr>
        <w:footnoteReference w:id="63"/>
      </w:r>
      <w:r>
        <w:t>.</w:t>
      </w:r>
    </w:p>
    <w:p w14:paraId="474FF29C" w14:textId="12E05F35" w:rsidR="00FB2ADB" w:rsidRDefault="00FB2ADB" w:rsidP="00FB2ADB">
      <w:pPr>
        <w:spacing w:before="120"/>
        <w:jc w:val="both"/>
        <w:textAlignment w:val="baseline"/>
      </w:pPr>
      <w:r>
        <w:t>Faute de motivation, l’</w:t>
      </w:r>
      <w:r w:rsidR="00E2056B">
        <w:t xml:space="preserve">amende ainsi établie </w:t>
      </w:r>
      <w:r>
        <w:t>est intégralement nulle</w:t>
      </w:r>
      <w:r w:rsidR="00805FA2">
        <w:rPr>
          <w:rStyle w:val="Appelnotedebasdep"/>
        </w:rPr>
        <w:footnoteReference w:id="64"/>
      </w:r>
      <w:r>
        <w:rPr>
          <w:rStyle w:val="Appelnotedebasdep"/>
        </w:rPr>
        <w:t>]</w:t>
      </w:r>
      <w:r>
        <w:t>.</w:t>
      </w:r>
    </w:p>
    <w:p w14:paraId="5D7317C3" w14:textId="77777777" w:rsidR="00252BDC" w:rsidRDefault="00252BDC" w:rsidP="00FB2ADB">
      <w:pPr>
        <w:spacing w:before="120"/>
        <w:jc w:val="both"/>
        <w:textAlignment w:val="baseline"/>
      </w:pPr>
    </w:p>
    <w:p w14:paraId="611B2E7A" w14:textId="77777777" w:rsidR="00FB2ADB" w:rsidRDefault="00FB2ADB" w:rsidP="008D7EB7">
      <w:pPr>
        <w:pStyle w:val="Sam4"/>
        <w:numPr>
          <w:ilvl w:val="4"/>
          <w:numId w:val="237"/>
        </w:numPr>
      </w:pPr>
      <w:bookmarkStart w:id="3941" w:name="_Toc74557672"/>
      <w:r>
        <w:t>Accroissements</w:t>
      </w:r>
      <w:bookmarkEnd w:id="3941"/>
      <w:r>
        <w:t xml:space="preserve"> </w:t>
      </w:r>
    </w:p>
    <w:p w14:paraId="6AD2D60F" w14:textId="0E44A33C" w:rsidR="00FB2ADB" w:rsidRDefault="00FB2ADB" w:rsidP="00FB2ADB">
      <w:pPr>
        <w:spacing w:before="120"/>
        <w:jc w:val="both"/>
        <w:textAlignment w:val="baseline"/>
      </w:pPr>
      <w:r>
        <w:t xml:space="preserve">Quant aux accroissements d'impôts, l'article L3321-6 du CDLD permet au Conseil communal de prévoir des accroissements en cas d'enrôlement d'office de la taxe. Ces accroissements ne peuvent dépasser le double du montant dû. </w:t>
      </w:r>
    </w:p>
    <w:p w14:paraId="356AF230" w14:textId="77777777" w:rsidR="00FB2ADB" w:rsidRDefault="00FB2ADB" w:rsidP="00FB2ADB">
      <w:pPr>
        <w:spacing w:before="120"/>
        <w:jc w:val="both"/>
        <w:textAlignment w:val="baseline"/>
      </w:pPr>
      <w:r>
        <w:t>L’application d’accroissements est par conséquent autorisé lorsque les conditions suivantes sont simultanément réunies :</w:t>
      </w:r>
    </w:p>
    <w:p w14:paraId="62D9F546" w14:textId="77777777" w:rsidR="00FB2ADB" w:rsidRDefault="00FB2ADB" w:rsidP="00FB2ADB">
      <w:pPr>
        <w:pStyle w:val="Paragraphedeliste"/>
        <w:numPr>
          <w:ilvl w:val="0"/>
          <w:numId w:val="92"/>
        </w:numPr>
        <w:spacing w:before="120"/>
        <w:jc w:val="both"/>
        <w:textAlignment w:val="baseline"/>
      </w:pPr>
      <w:proofErr w:type="gramStart"/>
      <w:r>
        <w:t>le</w:t>
      </w:r>
      <w:proofErr w:type="gramEnd"/>
      <w:r>
        <w:t xml:space="preserve"> règlement de taxation doit prévoir une obligation de déclaration ;</w:t>
      </w:r>
    </w:p>
    <w:p w14:paraId="5EA37677" w14:textId="77777777" w:rsidR="00FB2ADB" w:rsidRDefault="00FB2ADB" w:rsidP="00FB2ADB">
      <w:pPr>
        <w:pStyle w:val="Paragraphedeliste"/>
        <w:numPr>
          <w:ilvl w:val="0"/>
          <w:numId w:val="92"/>
        </w:numPr>
        <w:spacing w:before="120"/>
        <w:jc w:val="both"/>
        <w:textAlignment w:val="baseline"/>
      </w:pPr>
      <w:proofErr w:type="gramStart"/>
      <w:r>
        <w:t>la</w:t>
      </w:r>
      <w:proofErr w:type="gramEnd"/>
      <w:r>
        <w:t xml:space="preserve"> non-déclaration dans les délais prévus par ce même règlement ou la déclaration incorrecte, incomplète ou imprécise de la part du redevable doit entraîner un enrôlement d’office de la taxe ;</w:t>
      </w:r>
    </w:p>
    <w:p w14:paraId="40048C9F" w14:textId="77777777" w:rsidR="00FB2ADB" w:rsidRDefault="00FB2ADB" w:rsidP="00FB2ADB">
      <w:pPr>
        <w:pStyle w:val="Paragraphedeliste"/>
        <w:numPr>
          <w:ilvl w:val="0"/>
          <w:numId w:val="92"/>
        </w:numPr>
        <w:spacing w:before="120"/>
        <w:jc w:val="both"/>
        <w:textAlignment w:val="baseline"/>
      </w:pPr>
      <w:proofErr w:type="gramStart"/>
      <w:r>
        <w:t>le</w:t>
      </w:r>
      <w:proofErr w:type="gramEnd"/>
      <w:r>
        <w:t xml:space="preserve"> règlement de taxation doit prévoir l’application d’accroissements uniquement dans les cas suivants : l’absence de déclaration dans les délais prévus par ce même </w:t>
      </w:r>
      <w:r>
        <w:lastRenderedPageBreak/>
        <w:t>règlement ou une déclaration incorrecte, incomplète ou imprécise de la part du redevable ;</w:t>
      </w:r>
    </w:p>
    <w:p w14:paraId="09937DFE" w14:textId="77777777" w:rsidR="00FB2ADB" w:rsidRDefault="00FB2ADB" w:rsidP="00FB2ADB">
      <w:pPr>
        <w:pStyle w:val="Paragraphedeliste"/>
        <w:numPr>
          <w:ilvl w:val="0"/>
          <w:numId w:val="92"/>
        </w:numPr>
        <w:spacing w:before="120"/>
        <w:jc w:val="both"/>
        <w:textAlignment w:val="baseline"/>
      </w:pPr>
      <w:proofErr w:type="gramStart"/>
      <w:r>
        <w:t>l’administration</w:t>
      </w:r>
      <w:proofErr w:type="gramEnd"/>
      <w:r>
        <w:t xml:space="preserve"> doit recourir à la procédure de taxation d’office pour imposer le redevable.</w:t>
      </w:r>
    </w:p>
    <w:p w14:paraId="7A551EA9" w14:textId="7A36FD06" w:rsidR="00FB2ADB" w:rsidRDefault="00FB2ADB" w:rsidP="00FB2ADB">
      <w:pPr>
        <w:spacing w:before="120"/>
        <w:jc w:val="both"/>
        <w:textAlignment w:val="baseline"/>
      </w:pPr>
      <w:r>
        <w:t xml:space="preserve">La Cour de </w:t>
      </w:r>
      <w:proofErr w:type="gramStart"/>
      <w:r>
        <w:t>Cassation</w:t>
      </w:r>
      <w:proofErr w:type="gramEnd"/>
      <w:r w:rsidR="00805FA2">
        <w:rPr>
          <w:rStyle w:val="Appelnotedebasdep"/>
        </w:rPr>
        <w:footnoteReference w:id="65"/>
      </w:r>
      <w:r>
        <w:t xml:space="preserve"> a considéré qu’à défaut de disposition expresse quant aux sanctions administratives dans le règlement-taxe, l’article 444 du Code des impôts sur les revenus qui concerne spécialement les impôts sur les revenus n’est pas applicable aux taxes provinciales et communales.</w:t>
      </w:r>
    </w:p>
    <w:p w14:paraId="2E862BBD" w14:textId="77777777" w:rsidR="00FB2ADB" w:rsidRDefault="00FB2ADB" w:rsidP="00FB2ADB">
      <w:pPr>
        <w:spacing w:before="120"/>
        <w:jc w:val="both"/>
        <w:textAlignment w:val="baseline"/>
      </w:pPr>
      <w:r>
        <w:t xml:space="preserve">Cet article prévoit que les accroissements varient de 10 à 200 % en fonction de la nature et de la répétition éventuelle de l’infraction et que ceux-ci sont fixés dans l’arrêté royal d’exécution du code des impôts sur les revenus (articles 225-229). </w:t>
      </w:r>
    </w:p>
    <w:p w14:paraId="6C48AC54" w14:textId="77777777" w:rsidR="00FB2ADB" w:rsidRDefault="00FB2ADB" w:rsidP="00FB2ADB">
      <w:pPr>
        <w:spacing w:before="120"/>
        <w:jc w:val="both"/>
        <w:textAlignment w:val="baseline"/>
      </w:pPr>
      <w:r>
        <w:t>Il convient de souligner que cet article prévoit également :</w:t>
      </w:r>
    </w:p>
    <w:p w14:paraId="3B07F4F9" w14:textId="77777777" w:rsidR="00FB2ADB" w:rsidRDefault="00FB2ADB" w:rsidP="00FB2ADB">
      <w:pPr>
        <w:pStyle w:val="Paragraphedeliste"/>
        <w:numPr>
          <w:ilvl w:val="0"/>
          <w:numId w:val="93"/>
        </w:numPr>
        <w:spacing w:before="120"/>
        <w:jc w:val="both"/>
        <w:textAlignment w:val="baseline"/>
      </w:pPr>
      <w:proofErr w:type="gramStart"/>
      <w:r>
        <w:t>que</w:t>
      </w:r>
      <w:proofErr w:type="gramEnd"/>
      <w:r>
        <w:t xml:space="preserve"> le total des impôts dus et de l’accroissement d’impôts ne peut dépasser le montant des revenus non déclarés ;</w:t>
      </w:r>
    </w:p>
    <w:p w14:paraId="3B4DC202" w14:textId="2A95D348" w:rsidR="00FB2ADB" w:rsidRDefault="00FB2ADB" w:rsidP="00FB2ADB">
      <w:pPr>
        <w:pStyle w:val="Paragraphedeliste"/>
        <w:numPr>
          <w:ilvl w:val="0"/>
          <w:numId w:val="93"/>
        </w:numPr>
        <w:spacing w:before="120"/>
        <w:jc w:val="both"/>
        <w:textAlignment w:val="baseline"/>
      </w:pPr>
      <w:proofErr w:type="gramStart"/>
      <w:r>
        <w:t>que</w:t>
      </w:r>
      <w:proofErr w:type="gramEnd"/>
      <w:r>
        <w:t xml:space="preserve"> l’accroissement ne s’applique que si les revenus non déclarés atteignent 2.500,00 </w:t>
      </w:r>
      <w:r w:rsidR="004B213F">
        <w:t>euros</w:t>
      </w:r>
      <w:r>
        <w:t xml:space="preserve">.  </w:t>
      </w:r>
    </w:p>
    <w:p w14:paraId="3118A07E" w14:textId="69FE1D01" w:rsidR="00FB2ADB" w:rsidRDefault="00FB2ADB" w:rsidP="00FB2ADB">
      <w:pPr>
        <w:spacing w:before="120"/>
        <w:jc w:val="both"/>
        <w:textAlignment w:val="baseline"/>
      </w:pPr>
      <w:r>
        <w:t>La Cour constitutionnelle</w:t>
      </w:r>
      <w:r w:rsidR="00634079">
        <w:rPr>
          <w:rStyle w:val="Appelnotedebasdep"/>
        </w:rPr>
        <w:footnoteReference w:id="66"/>
      </w:r>
      <w:r>
        <w:t xml:space="preserve"> et la Cour de </w:t>
      </w:r>
      <w:proofErr w:type="gramStart"/>
      <w:r>
        <w:t>Cassation</w:t>
      </w:r>
      <w:proofErr w:type="gramEnd"/>
      <w:r w:rsidR="00634079">
        <w:rPr>
          <w:rStyle w:val="Appelnotedebasdep"/>
        </w:rPr>
        <w:footnoteReference w:id="67"/>
      </w:r>
      <w:r>
        <w:t xml:space="preserve"> ont consacré un principe de proportionnalité dans l’application des majorations d’impôts et considèrent que l’autorité taxatrice doit avoir égard à la nature et à la gravité de l’infraction commise quand elle fixe la majoration. </w:t>
      </w:r>
    </w:p>
    <w:p w14:paraId="18D1CC7B" w14:textId="6E26A3E0" w:rsidR="00FB2ADB" w:rsidRDefault="00FB2ADB" w:rsidP="00FB2ADB">
      <w:pPr>
        <w:spacing w:before="120"/>
        <w:jc w:val="both"/>
        <w:textAlignment w:val="baseline"/>
      </w:pPr>
      <w:r>
        <w:t>Dès lors, compte tenu des contraintes de l’article 444 du Code des impôts sur les revenus et de la jurisprudence mentionnées ci-avant, je vous recommande de prévoir dans le règlement-taxe en cas d’imposition d’offic</w:t>
      </w:r>
      <w:r w:rsidRPr="00634079">
        <w:t>e u</w:t>
      </w:r>
      <w:r>
        <w:t>ne échelle de majorations (propre) plutôt qu’une majoration</w:t>
      </w:r>
      <w:r w:rsidR="001318EC">
        <w:t xml:space="preserve"> </w:t>
      </w:r>
      <w:r w:rsidR="001318EC" w:rsidRPr="00634079">
        <w:t>du</w:t>
      </w:r>
      <w:r>
        <w:t xml:space="preserve"> double de la taxe.</w:t>
      </w:r>
    </w:p>
    <w:p w14:paraId="439E41D5" w14:textId="77777777" w:rsidR="00FB2ADB" w:rsidRDefault="00FB2ADB" w:rsidP="00FB2ADB">
      <w:pPr>
        <w:spacing w:before="120"/>
        <w:jc w:val="both"/>
        <w:textAlignment w:val="baseline"/>
      </w:pPr>
      <w:r>
        <w:t>A titre exemplatif, le règlement taxe peut prévoir :</w:t>
      </w:r>
    </w:p>
    <w:p w14:paraId="2950563B" w14:textId="77777777" w:rsidR="00FB2ADB" w:rsidRDefault="00FB2ADB" w:rsidP="00453CB4">
      <w:pPr>
        <w:ind w:left="284"/>
        <w:jc w:val="both"/>
        <w:textAlignment w:val="baseline"/>
        <w:rPr>
          <w:i/>
          <w:iCs/>
        </w:rPr>
      </w:pPr>
      <w:r>
        <w:t>« </w:t>
      </w:r>
      <w:r>
        <w:rPr>
          <w:i/>
          <w:iCs/>
        </w:rPr>
        <w:t>Le montant de cette majoration sera le suivant :</w:t>
      </w:r>
    </w:p>
    <w:p w14:paraId="0A08E4B6" w14:textId="77777777" w:rsidR="00FB2ADB" w:rsidRDefault="00FB2ADB" w:rsidP="00453CB4">
      <w:pPr>
        <w:pStyle w:val="Paragraphedeliste"/>
        <w:numPr>
          <w:ilvl w:val="0"/>
          <w:numId w:val="94"/>
        </w:numPr>
        <w:ind w:left="568"/>
        <w:jc w:val="both"/>
        <w:textAlignment w:val="baseline"/>
        <w:rPr>
          <w:i/>
          <w:iCs/>
        </w:rPr>
      </w:pPr>
      <w:r>
        <w:rPr>
          <w:i/>
          <w:iCs/>
        </w:rPr>
        <w:t>10 % du montant de la taxe, pour le premier enrôlement d'office ;</w:t>
      </w:r>
    </w:p>
    <w:p w14:paraId="123AD457" w14:textId="77777777" w:rsidR="00FB2ADB" w:rsidRDefault="00FB2ADB" w:rsidP="00453CB4">
      <w:pPr>
        <w:pStyle w:val="Paragraphedeliste"/>
        <w:numPr>
          <w:ilvl w:val="0"/>
          <w:numId w:val="94"/>
        </w:numPr>
        <w:ind w:left="568"/>
        <w:jc w:val="both"/>
        <w:textAlignment w:val="baseline"/>
        <w:rPr>
          <w:i/>
          <w:iCs/>
        </w:rPr>
      </w:pPr>
      <w:r>
        <w:rPr>
          <w:i/>
          <w:iCs/>
        </w:rPr>
        <w:t>50 % du montant de la taxe, pour le deuxième enrôlement d'office ;</w:t>
      </w:r>
    </w:p>
    <w:p w14:paraId="75F0C640" w14:textId="77777777" w:rsidR="00FB2ADB" w:rsidRDefault="00FB2ADB" w:rsidP="00453CB4">
      <w:pPr>
        <w:pStyle w:val="Paragraphedeliste"/>
        <w:numPr>
          <w:ilvl w:val="0"/>
          <w:numId w:val="94"/>
        </w:numPr>
        <w:ind w:left="568"/>
        <w:jc w:val="both"/>
        <w:textAlignment w:val="baseline"/>
        <w:rPr>
          <w:i/>
          <w:iCs/>
        </w:rPr>
      </w:pPr>
      <w:r>
        <w:rPr>
          <w:i/>
          <w:iCs/>
        </w:rPr>
        <w:t>100 % du montant de la taxe, pour le troisième enrôlement d'office ;</w:t>
      </w:r>
    </w:p>
    <w:p w14:paraId="30F26B61" w14:textId="77777777" w:rsidR="00FB2ADB" w:rsidRDefault="00FB2ADB" w:rsidP="00453CB4">
      <w:pPr>
        <w:pStyle w:val="Paragraphedeliste"/>
        <w:numPr>
          <w:ilvl w:val="0"/>
          <w:numId w:val="94"/>
        </w:numPr>
        <w:ind w:left="568"/>
        <w:jc w:val="both"/>
        <w:textAlignment w:val="baseline"/>
        <w:rPr>
          <w:i/>
          <w:iCs/>
        </w:rPr>
      </w:pPr>
      <w:r>
        <w:rPr>
          <w:i/>
          <w:iCs/>
        </w:rPr>
        <w:t>200 % du montant de la taxe, à partir du quatrième enrôlement d'office.</w:t>
      </w:r>
    </w:p>
    <w:p w14:paraId="5F0E31E4" w14:textId="5DE58320" w:rsidR="00FB2ADB" w:rsidRDefault="00FB2ADB" w:rsidP="00FB2ADB">
      <w:pPr>
        <w:spacing w:before="120"/>
        <w:ind w:left="284"/>
        <w:jc w:val="both"/>
        <w:textAlignment w:val="baseline"/>
        <w:rPr>
          <w:i/>
          <w:iCs/>
        </w:rPr>
      </w:pPr>
      <w:r>
        <w:rPr>
          <w:i/>
          <w:iCs/>
        </w:rPr>
        <w:t xml:space="preserve">L'accroissement de 50%, 100% ou 200 % de majoration est appliqué dans le cas où le contribuable doit successivement être enrôlé d'office. </w:t>
      </w:r>
      <w:proofErr w:type="gramStart"/>
      <w:r>
        <w:rPr>
          <w:i/>
          <w:iCs/>
        </w:rPr>
        <w:t>Par contre</w:t>
      </w:r>
      <w:proofErr w:type="gramEnd"/>
      <w:r>
        <w:rPr>
          <w:i/>
          <w:iCs/>
        </w:rPr>
        <w:t xml:space="preserve">, lorsque la taxe est enrôlée normalement durant au moins </w:t>
      </w:r>
      <w:r w:rsidR="001D685D">
        <w:rPr>
          <w:i/>
          <w:iCs/>
        </w:rPr>
        <w:t>trois ans</w:t>
      </w:r>
      <w:r>
        <w:rPr>
          <w:i/>
          <w:iCs/>
        </w:rPr>
        <w:t>, ledit calcul de l'accroissement s'annule ».</w:t>
      </w:r>
    </w:p>
    <w:p w14:paraId="2451DA32" w14:textId="77777777" w:rsidR="00FB2ADB" w:rsidRDefault="00FB2ADB" w:rsidP="00FB2ADB">
      <w:pPr>
        <w:spacing w:before="120"/>
        <w:jc w:val="both"/>
        <w:textAlignment w:val="baseline"/>
      </w:pPr>
      <w:r>
        <w:t>L’autorité habilitée à arrêter le rôle en vertu de l’article L3321-4 du CDLD doit lorsqu’elle adresse (par lettre recommandée à la poste) à un redevable un avis d’imposition d’office :</w:t>
      </w:r>
    </w:p>
    <w:p w14:paraId="732C7A31" w14:textId="77777777" w:rsidR="00FB2ADB" w:rsidRDefault="00FB2ADB" w:rsidP="00FB2ADB">
      <w:pPr>
        <w:pStyle w:val="Paragraphedeliste"/>
        <w:numPr>
          <w:ilvl w:val="0"/>
          <w:numId w:val="95"/>
        </w:numPr>
        <w:spacing w:before="120"/>
        <w:jc w:val="both"/>
        <w:textAlignment w:val="baseline"/>
      </w:pPr>
      <w:proofErr w:type="gramStart"/>
      <w:r>
        <w:t>indiquer</w:t>
      </w:r>
      <w:proofErr w:type="gramEnd"/>
      <w:r>
        <w:t xml:space="preserve"> les faits constitutifs de l’infraction (soit la non-déclaration dans les délais prévus par le règlement soit une déclaration incorrecte, incomplète ou imprécise de la </w:t>
      </w:r>
      <w:r>
        <w:lastRenderedPageBreak/>
        <w:t>part du redevable) et la référence aux textes réglementaires dont il a été fait application ;</w:t>
      </w:r>
    </w:p>
    <w:p w14:paraId="0C589554" w14:textId="77777777" w:rsidR="00FB2ADB" w:rsidRDefault="00FB2ADB" w:rsidP="00FB2ADB">
      <w:pPr>
        <w:pStyle w:val="Paragraphedeliste"/>
        <w:numPr>
          <w:ilvl w:val="0"/>
          <w:numId w:val="95"/>
        </w:numPr>
        <w:spacing w:before="120"/>
        <w:jc w:val="both"/>
        <w:textAlignment w:val="baseline"/>
      </w:pPr>
      <w:proofErr w:type="gramStart"/>
      <w:r>
        <w:t>donner</w:t>
      </w:r>
      <w:proofErr w:type="gramEnd"/>
      <w:r>
        <w:t xml:space="preserve"> les motifs qui ont servi à déterminer l’échelle des accroissements (la gravité et éventuellement selon le cas le rang de l’infraction) ;</w:t>
      </w:r>
    </w:p>
    <w:p w14:paraId="3D655DCE" w14:textId="77777777" w:rsidR="00FB2ADB" w:rsidRDefault="00FB2ADB" w:rsidP="00FB2ADB">
      <w:pPr>
        <w:pStyle w:val="Paragraphedeliste"/>
        <w:numPr>
          <w:ilvl w:val="0"/>
          <w:numId w:val="95"/>
        </w:numPr>
        <w:spacing w:before="120"/>
        <w:jc w:val="both"/>
        <w:textAlignment w:val="baseline"/>
      </w:pPr>
      <w:proofErr w:type="gramStart"/>
      <w:r>
        <w:t>indiquer</w:t>
      </w:r>
      <w:proofErr w:type="gramEnd"/>
      <w:r>
        <w:t xml:space="preserve"> les éléments sur lesquels la taxation d’office est basée ;</w:t>
      </w:r>
    </w:p>
    <w:p w14:paraId="74CC7AB4" w14:textId="77777777" w:rsidR="00FB2ADB" w:rsidRDefault="00FB2ADB" w:rsidP="00FB2ADB">
      <w:pPr>
        <w:pStyle w:val="Paragraphedeliste"/>
        <w:numPr>
          <w:ilvl w:val="0"/>
          <w:numId w:val="95"/>
        </w:numPr>
        <w:spacing w:before="120"/>
        <w:jc w:val="both"/>
        <w:textAlignment w:val="baseline"/>
      </w:pPr>
      <w:proofErr w:type="gramStart"/>
      <w:r>
        <w:t>mentionner</w:t>
      </w:r>
      <w:proofErr w:type="gramEnd"/>
      <w:r>
        <w:t xml:space="preserve"> le mode de détermination de ces éléments et le montant de la taxe.</w:t>
      </w:r>
    </w:p>
    <w:p w14:paraId="53EDFE17" w14:textId="77777777" w:rsidR="00434194" w:rsidRDefault="00434194" w:rsidP="00E063FD">
      <w:pPr>
        <w:spacing w:before="120"/>
        <w:jc w:val="both"/>
        <w:textAlignment w:val="baseline"/>
        <w:rPr>
          <w:rFonts w:asciiTheme="minorHAnsi" w:hAnsiTheme="minorHAnsi" w:cs="Calibri Light"/>
        </w:rPr>
      </w:pPr>
    </w:p>
    <w:p w14:paraId="7C2B8D07" w14:textId="693B2610" w:rsidR="00892FFC" w:rsidRPr="008D5D16" w:rsidRDefault="008D5D16" w:rsidP="00256E9F">
      <w:pPr>
        <w:pStyle w:val="Sam3"/>
      </w:pPr>
      <w:bookmarkStart w:id="3942" w:name="_Toc74557673"/>
      <w:r w:rsidRPr="008D5D16">
        <w:t xml:space="preserve">VI.3.5 </w:t>
      </w:r>
      <w:r w:rsidR="00892FFC" w:rsidRPr="008D5D16">
        <w:t>Lisibilité des règlements</w:t>
      </w:r>
      <w:bookmarkEnd w:id="3942"/>
      <w:r w:rsidR="00892FFC" w:rsidRPr="008D5D16">
        <w:t xml:space="preserve"> </w:t>
      </w:r>
    </w:p>
    <w:p w14:paraId="2DCE5329" w14:textId="2195F46F" w:rsidR="009B153C" w:rsidRPr="001772D3" w:rsidRDefault="00321916" w:rsidP="00E063FD">
      <w:pPr>
        <w:spacing w:before="120"/>
        <w:jc w:val="both"/>
        <w:textAlignment w:val="baseline"/>
        <w:rPr>
          <w:rFonts w:asciiTheme="minorHAnsi" w:hAnsiTheme="minorHAnsi" w:cs="Calibri Light"/>
          <w:b/>
          <w:bCs/>
          <w:strike/>
        </w:rPr>
      </w:pPr>
      <w:r w:rsidRPr="008D7EB7">
        <w:rPr>
          <w:rFonts w:asciiTheme="minorHAnsi" w:hAnsiTheme="minorHAnsi" w:cs="Calibri Light"/>
        </w:rPr>
        <w:t>À</w:t>
      </w:r>
      <w:r w:rsidR="009B153C" w:rsidRPr="00DA6BD2">
        <w:rPr>
          <w:rFonts w:asciiTheme="minorHAnsi" w:hAnsiTheme="minorHAnsi" w:cs="Calibri Light"/>
        </w:rPr>
        <w:t xml:space="preserve"> plusieurs </w:t>
      </w:r>
      <w:r w:rsidR="009B153C" w:rsidRPr="00892FFC">
        <w:rPr>
          <w:rFonts w:asciiTheme="minorHAnsi" w:hAnsiTheme="minorHAnsi" w:cs="Calibri Light"/>
        </w:rPr>
        <w:t xml:space="preserve">reprises lors des exercices écoulés, des problèmes de lisibilité des règlements fiscaux communaux sont apparus </w:t>
      </w:r>
      <w:r w:rsidR="004B213F">
        <w:rPr>
          <w:rFonts w:asciiTheme="minorHAnsi" w:hAnsiTheme="minorHAnsi" w:cs="Calibri Light"/>
        </w:rPr>
        <w:t>à la suite des</w:t>
      </w:r>
      <w:r w:rsidR="009B153C" w:rsidRPr="00892FFC">
        <w:rPr>
          <w:rFonts w:asciiTheme="minorHAnsi" w:hAnsiTheme="minorHAnsi" w:cs="Calibri Light"/>
        </w:rPr>
        <w:t xml:space="preserve"> fréquentes modifications y apportées</w:t>
      </w:r>
      <w:r w:rsidR="009B153C" w:rsidRPr="00E063FD">
        <w:rPr>
          <w:rFonts w:asciiTheme="minorHAnsi" w:hAnsiTheme="minorHAnsi" w:cs="Calibri Light"/>
        </w:rPr>
        <w:t xml:space="preserve">. </w:t>
      </w:r>
      <w:r w:rsidR="009B153C" w:rsidRPr="001772D3">
        <w:rPr>
          <w:rFonts w:asciiTheme="minorHAnsi" w:hAnsiTheme="minorHAnsi" w:cs="Calibri Light"/>
          <w:b/>
          <w:bCs/>
        </w:rPr>
        <w:t>Dans un souci de transparence, il convient, à chaque modification apportée, de revoter le règlement en entier</w:t>
      </w:r>
      <w:r w:rsidR="00892FFC" w:rsidRPr="001772D3">
        <w:rPr>
          <w:rFonts w:asciiTheme="minorHAnsi" w:hAnsiTheme="minorHAnsi" w:cs="Calibri Light"/>
          <w:b/>
          <w:bCs/>
        </w:rPr>
        <w:t>.</w:t>
      </w:r>
    </w:p>
    <w:p w14:paraId="5F590B0F" w14:textId="77777777" w:rsidR="009B153C" w:rsidRPr="00DA6BD2" w:rsidRDefault="009B153C" w:rsidP="00E063FD">
      <w:pPr>
        <w:spacing w:before="120"/>
        <w:jc w:val="both"/>
        <w:textAlignment w:val="baseline"/>
        <w:rPr>
          <w:rFonts w:asciiTheme="minorHAnsi" w:hAnsiTheme="minorHAnsi" w:cs="Calibri Light"/>
        </w:rPr>
      </w:pPr>
      <w:r w:rsidRPr="00892FFC">
        <w:rPr>
          <w:rFonts w:asciiTheme="minorHAnsi" w:hAnsiTheme="minorHAnsi" w:cs="Calibri Light"/>
        </w:rPr>
        <w:t>Plus généralement, dans</w:t>
      </w:r>
      <w:r w:rsidRPr="00DA6BD2">
        <w:rPr>
          <w:rFonts w:asciiTheme="minorHAnsi" w:hAnsiTheme="minorHAnsi" w:cs="Calibri Light"/>
        </w:rPr>
        <w:t xml:space="preserve"> le souci de permettre aux nouveaux Conseils d'appréhender la politique fiscale communale dans sa globalité, je suggère de revoter l'ensemble des règlements fiscaux communaux en limitant, </w:t>
      </w:r>
      <w:r w:rsidRPr="00256E9F">
        <w:rPr>
          <w:rFonts w:asciiTheme="minorHAnsi" w:hAnsiTheme="minorHAnsi" w:cs="Calibri Light"/>
          <w:b/>
          <w:bCs/>
        </w:rPr>
        <w:t>dans tous les cas, leur durée de validité au 31 décembre de l'année qui suit celle des élections</w:t>
      </w:r>
      <w:r w:rsidRPr="00DA6BD2">
        <w:rPr>
          <w:rFonts w:asciiTheme="minorHAnsi" w:hAnsiTheme="minorHAnsi" w:cs="Calibri Light"/>
        </w:rPr>
        <w:t>. Je rappelle qu'il est toujours possible en cours d'année de modifier les règlements-taxes ou redevances en vigueur.</w:t>
      </w:r>
    </w:p>
    <w:p w14:paraId="760A1D01" w14:textId="2596085B"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Au vu des règles de bonnes pratiques et surtout afin d'éviter un contentieux coûteux, qui reste soumis à l'appréciation des juges et qui n'est pas souvent favorable aux communes, il est plus que recommandé d'être vigilant dans la détermination de la compétence </w:t>
      </w:r>
      <w:proofErr w:type="spellStart"/>
      <w:r w:rsidRPr="008D7EB7">
        <w:rPr>
          <w:rFonts w:asciiTheme="minorHAnsi" w:hAnsiTheme="minorHAnsi" w:cs="Calibri Light"/>
          <w:i/>
          <w:iCs/>
        </w:rPr>
        <w:t>ratione</w:t>
      </w:r>
      <w:proofErr w:type="spellEnd"/>
      <w:r w:rsidRPr="008D7EB7">
        <w:rPr>
          <w:rFonts w:asciiTheme="minorHAnsi" w:hAnsiTheme="minorHAnsi" w:cs="Calibri Light"/>
          <w:i/>
          <w:iCs/>
        </w:rPr>
        <w:t xml:space="preserve"> </w:t>
      </w:r>
      <w:proofErr w:type="spellStart"/>
      <w:r w:rsidRPr="008D7EB7">
        <w:rPr>
          <w:rFonts w:asciiTheme="minorHAnsi" w:hAnsiTheme="minorHAnsi" w:cs="Calibri Light"/>
          <w:i/>
          <w:iCs/>
        </w:rPr>
        <w:t>temporis</w:t>
      </w:r>
      <w:proofErr w:type="spellEnd"/>
      <w:r w:rsidRPr="00DA6BD2">
        <w:rPr>
          <w:rFonts w:asciiTheme="minorHAnsi" w:hAnsiTheme="minorHAnsi" w:cs="Calibri Light"/>
        </w:rPr>
        <w:t xml:space="preserve"> </w:t>
      </w:r>
      <w:r w:rsidR="00321916">
        <w:rPr>
          <w:rFonts w:asciiTheme="minorHAnsi" w:hAnsiTheme="minorHAnsi" w:cs="Calibri Light"/>
        </w:rPr>
        <w:t xml:space="preserve">(durée de validité) </w:t>
      </w:r>
      <w:r w:rsidRPr="00DA6BD2">
        <w:rPr>
          <w:rFonts w:asciiTheme="minorHAnsi" w:hAnsiTheme="minorHAnsi" w:cs="Calibri Light"/>
        </w:rPr>
        <w:t>du règlement-taxe qui est voté. C'est pourquoi, dans le cadre de leur travail de conseil, les services de tutelle sont soucieux d'éliminer le moindre défaut qui pourrait être invoqué par un réclamant et recommandent dès lors de fixer expressément la période de validité d'un règlement fiscal.</w:t>
      </w:r>
    </w:p>
    <w:p w14:paraId="07CB619B" w14:textId="77777777" w:rsidR="00434194" w:rsidRDefault="00434194" w:rsidP="00E063FD">
      <w:pPr>
        <w:spacing w:before="120"/>
        <w:jc w:val="both"/>
        <w:textAlignment w:val="baseline"/>
        <w:rPr>
          <w:rFonts w:asciiTheme="minorHAnsi" w:hAnsiTheme="minorHAnsi" w:cs="Calibri Light"/>
        </w:rPr>
      </w:pPr>
    </w:p>
    <w:p w14:paraId="7D07B867" w14:textId="4AF494C9" w:rsidR="00892FFC" w:rsidRPr="00DA6BD2" w:rsidRDefault="008D5D16" w:rsidP="00256E9F">
      <w:pPr>
        <w:pStyle w:val="Sam3"/>
      </w:pPr>
      <w:bookmarkStart w:id="3943" w:name="_Toc74557674"/>
      <w:r>
        <w:t xml:space="preserve">VI.3.6 </w:t>
      </w:r>
      <w:r w:rsidR="00892FFC">
        <w:t>Les formalités de publication</w:t>
      </w:r>
      <w:bookmarkEnd w:id="3943"/>
      <w:r w:rsidR="00892FFC">
        <w:t xml:space="preserve"> </w:t>
      </w:r>
    </w:p>
    <w:p w14:paraId="2C3A502A" w14:textId="4834DD6B" w:rsidR="009B153C" w:rsidRPr="00453CB4" w:rsidRDefault="00321916" w:rsidP="00A65F14">
      <w:pPr>
        <w:rPr>
          <w:rFonts w:asciiTheme="minorHAnsi" w:hAnsiTheme="minorHAnsi" w:cs="Calibri Light"/>
        </w:rPr>
      </w:pPr>
      <w:r>
        <w:rPr>
          <w:rFonts w:asciiTheme="minorHAnsi" w:hAnsiTheme="minorHAnsi" w:cs="Calibri Light"/>
          <w:spacing w:val="-2"/>
        </w:rPr>
        <w:t>E</w:t>
      </w:r>
      <w:r w:rsidR="009B153C" w:rsidRPr="00DA6BD2">
        <w:rPr>
          <w:rFonts w:asciiTheme="minorHAnsi" w:hAnsiTheme="minorHAnsi" w:cs="Calibri Light"/>
          <w:spacing w:val="-2"/>
        </w:rPr>
        <w:t xml:space="preserve">n </w:t>
      </w:r>
      <w:r w:rsidR="009B153C" w:rsidRPr="009315DC">
        <w:rPr>
          <w:rFonts w:asciiTheme="minorHAnsi" w:hAnsiTheme="minorHAnsi" w:cs="Calibri Light"/>
        </w:rPr>
        <w:t xml:space="preserve">vertu </w:t>
      </w:r>
      <w:r w:rsidR="00E90C59" w:rsidRPr="009315DC">
        <w:rPr>
          <w:rFonts w:asciiTheme="minorHAnsi" w:hAnsiTheme="minorHAnsi" w:cs="Calibri Light"/>
        </w:rPr>
        <w:t>des articles L 1133-1 et L 1133-2 du CDLD</w:t>
      </w:r>
      <w:r w:rsidR="009B153C" w:rsidRPr="00DA6BD2">
        <w:rPr>
          <w:rFonts w:asciiTheme="minorHAnsi" w:hAnsiTheme="minorHAnsi" w:cs="Calibri Light"/>
          <w:spacing w:val="-2"/>
        </w:rPr>
        <w:t xml:space="preserve">, les règlements soumis à la tutelle spéciale d’approbation sont publiés par le Bourgmestre par la voie d'une affiche </w:t>
      </w:r>
      <w:r w:rsidR="009B153C" w:rsidRPr="00DA6BD2">
        <w:rPr>
          <w:rFonts w:asciiTheme="minorHAnsi" w:hAnsiTheme="minorHAnsi" w:cs="Calibri Light"/>
        </w:rPr>
        <w:t>indiquant l'objet du règlement, la date de la décision par laquelle il a été adopté et la décision de l'autorité de tutelle. L'affiche mentionne également le ou les lieux où le texte du règlement ou de l'ordonnance peut être consulté par le public.</w:t>
      </w:r>
      <w:r w:rsidR="005C499C" w:rsidRPr="005C499C">
        <w:rPr>
          <w:color w:val="FF0000"/>
        </w:rPr>
        <w:t xml:space="preserve"> </w:t>
      </w:r>
      <w:r w:rsidR="005C499C" w:rsidRPr="00453CB4">
        <w:t>Cette affiche doit être signée uniquement par le Bourgmestre</w:t>
      </w:r>
      <w:r w:rsidR="005C499C" w:rsidRPr="00453CB4">
        <w:rPr>
          <w:rStyle w:val="Appelnotedebasdep"/>
        </w:rPr>
        <w:footnoteReference w:id="68"/>
      </w:r>
      <w:r w:rsidR="005C499C" w:rsidRPr="00453CB4">
        <w:t>. Le Directeur général n’est donc pas tenu de signer l’affiche.</w:t>
      </w:r>
    </w:p>
    <w:p w14:paraId="542221C4"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commune doit également tenir un registre de publication des règlements et ordonnances des autorités communales respectant les prescriptions figurant dans l'arrêté royal du 14 octobre 1991 relatif à cet objet et publié au Moniteur belge du 29 octobre 1991. En cas de litige entre la commune et un de ses concitoyens affirmant ne pas être soumis au règlement, seule la production d'un extrait de ce registre peut apporter la preuve irréfutable que le règlement concerné a bien été publié et est donc en vigueur.</w:t>
      </w:r>
    </w:p>
    <w:p w14:paraId="15D928E2" w14:textId="77777777" w:rsidR="006402A2" w:rsidRPr="008D7EB7" w:rsidRDefault="006402A2" w:rsidP="006402A2">
      <w:pPr>
        <w:spacing w:before="120"/>
        <w:jc w:val="both"/>
        <w:textAlignment w:val="baseline"/>
        <w:rPr>
          <w:rFonts w:asciiTheme="minorHAnsi" w:hAnsiTheme="minorHAnsi" w:cs="Calibri Light"/>
          <w:spacing w:val="-1"/>
        </w:rPr>
      </w:pPr>
      <w:r w:rsidRPr="008D7EB7">
        <w:rPr>
          <w:rFonts w:asciiTheme="minorHAnsi" w:hAnsiTheme="minorHAnsi" w:cs="Calibri Light"/>
          <w:spacing w:val="-1"/>
        </w:rPr>
        <w:t>Vous trouverez ci-dessous de plus amples informations relatives aux formalités de publication.</w:t>
      </w:r>
    </w:p>
    <w:p w14:paraId="47022292" w14:textId="5C42C8BC" w:rsidR="006402A2" w:rsidRDefault="006402A2" w:rsidP="006402A2">
      <w:pPr>
        <w:spacing w:before="120"/>
        <w:jc w:val="both"/>
        <w:textAlignment w:val="baseline"/>
        <w:rPr>
          <w:rFonts w:cs="Calibri"/>
          <w:spacing w:val="-1"/>
        </w:rPr>
      </w:pPr>
      <w:r w:rsidRPr="008D7EB7">
        <w:rPr>
          <w:rFonts w:cs="Calibri"/>
          <w:spacing w:val="-1"/>
        </w:rPr>
        <w:t xml:space="preserve">Selon l’arrêté royal du 14 octobre 1991, </w:t>
      </w:r>
    </w:p>
    <w:p w14:paraId="37F504EB" w14:textId="06D0B269" w:rsidR="006402A2" w:rsidRPr="008D7EB7" w:rsidRDefault="00634079" w:rsidP="008D7EB7">
      <w:pPr>
        <w:pStyle w:val="Paragraphedeliste"/>
        <w:numPr>
          <w:ilvl w:val="0"/>
          <w:numId w:val="90"/>
        </w:numPr>
        <w:tabs>
          <w:tab w:val="left" w:pos="432"/>
        </w:tabs>
        <w:spacing w:before="37"/>
        <w:jc w:val="both"/>
        <w:textAlignment w:val="baseline"/>
        <w:rPr>
          <w:rFonts w:cs="Calibri"/>
        </w:rPr>
      </w:pPr>
      <w:proofErr w:type="gramStart"/>
      <w:r>
        <w:rPr>
          <w:rFonts w:cs="Calibri"/>
        </w:rPr>
        <w:lastRenderedPageBreak/>
        <w:t>l</w:t>
      </w:r>
      <w:r w:rsidR="006402A2" w:rsidRPr="008D7EB7">
        <w:rPr>
          <w:rFonts w:cs="Calibri"/>
        </w:rPr>
        <w:t>’annotation</w:t>
      </w:r>
      <w:proofErr w:type="gramEnd"/>
      <w:r w:rsidR="006402A2" w:rsidRPr="008D7EB7">
        <w:rPr>
          <w:rFonts w:cs="Calibri"/>
        </w:rPr>
        <w:t xml:space="preserve"> dans le registre est faite le premier jour de la publication du règlement ou de l'ordonnance</w:t>
      </w:r>
      <w:r>
        <w:rPr>
          <w:rFonts w:cs="Calibri"/>
        </w:rPr>
        <w:t> ;</w:t>
      </w:r>
    </w:p>
    <w:p w14:paraId="4DCA88F5" w14:textId="66CBAADB" w:rsidR="006402A2" w:rsidRPr="008D7EB7" w:rsidRDefault="00634079" w:rsidP="008D7EB7">
      <w:pPr>
        <w:pStyle w:val="Paragraphedeliste"/>
        <w:numPr>
          <w:ilvl w:val="0"/>
          <w:numId w:val="90"/>
        </w:numPr>
        <w:tabs>
          <w:tab w:val="left" w:pos="432"/>
        </w:tabs>
        <w:spacing w:before="29"/>
        <w:jc w:val="both"/>
        <w:textAlignment w:val="baseline"/>
        <w:rPr>
          <w:rFonts w:cs="Calibri"/>
          <w:spacing w:val="1"/>
        </w:rPr>
      </w:pPr>
      <w:proofErr w:type="gramStart"/>
      <w:r>
        <w:rPr>
          <w:rFonts w:cs="Calibri"/>
          <w:spacing w:val="1"/>
        </w:rPr>
        <w:t>l</w:t>
      </w:r>
      <w:r w:rsidR="006402A2" w:rsidRPr="008D7EB7">
        <w:rPr>
          <w:rFonts w:cs="Calibri"/>
          <w:spacing w:val="1"/>
        </w:rPr>
        <w:t>es</w:t>
      </w:r>
      <w:proofErr w:type="gramEnd"/>
      <w:r w:rsidR="006402A2" w:rsidRPr="008D7EB7">
        <w:rPr>
          <w:rFonts w:cs="Calibri"/>
          <w:spacing w:val="1"/>
        </w:rPr>
        <w:t xml:space="preserve"> annotations sont numérotées d'après l'ordre des publications successives</w:t>
      </w:r>
      <w:r>
        <w:rPr>
          <w:rFonts w:cs="Calibri"/>
          <w:spacing w:val="1"/>
        </w:rPr>
        <w:t> ;</w:t>
      </w:r>
    </w:p>
    <w:p w14:paraId="6DF4F3D2" w14:textId="2E66859A" w:rsidR="006402A2" w:rsidRPr="008D7EB7" w:rsidRDefault="00634079" w:rsidP="008D7EB7">
      <w:pPr>
        <w:pStyle w:val="Paragraphedeliste"/>
        <w:numPr>
          <w:ilvl w:val="0"/>
          <w:numId w:val="90"/>
        </w:numPr>
        <w:tabs>
          <w:tab w:val="left" w:pos="432"/>
        </w:tabs>
        <w:spacing w:before="11"/>
        <w:jc w:val="both"/>
        <w:textAlignment w:val="baseline"/>
        <w:rPr>
          <w:rFonts w:cs="Calibri"/>
        </w:rPr>
      </w:pPr>
      <w:proofErr w:type="gramStart"/>
      <w:r>
        <w:rPr>
          <w:rFonts w:cs="Calibri"/>
        </w:rPr>
        <w:t>l</w:t>
      </w:r>
      <w:r w:rsidR="006402A2" w:rsidRPr="008D7EB7">
        <w:rPr>
          <w:rFonts w:cs="Calibri"/>
        </w:rPr>
        <w:t>’annotation</w:t>
      </w:r>
      <w:proofErr w:type="gramEnd"/>
      <w:r w:rsidR="006402A2" w:rsidRPr="008D7EB7">
        <w:rPr>
          <w:rFonts w:cs="Calibri"/>
        </w:rPr>
        <w:t>, datée et signée par le bourgmestre et par le directeur général, est établie dans la forme suivante (adaptée selon le Code de la Démocratie Locale et de la Décentralisation et les nouvelles dénominations) :</w:t>
      </w:r>
    </w:p>
    <w:p w14:paraId="693AB0CE" w14:textId="77777777" w:rsidR="006402A2" w:rsidRPr="008D7EB7" w:rsidRDefault="006402A2" w:rsidP="008D7EB7">
      <w:pPr>
        <w:spacing w:before="120"/>
        <w:ind w:left="709"/>
        <w:jc w:val="both"/>
        <w:textAlignment w:val="baseline"/>
        <w:rPr>
          <w:rFonts w:cs="Calibri"/>
          <w:spacing w:val="-3"/>
        </w:rPr>
      </w:pPr>
      <w:r w:rsidRPr="008D7EB7">
        <w:rPr>
          <w:rFonts w:cs="Calibri"/>
          <w:spacing w:val="-3"/>
        </w:rPr>
        <w:t>« M. … Le bourgmestre de la commune (ou de la ville) de ..., province de ..., certifie que le règlement (ou l'ordonnance) du Conseil communal (ou du Collège communal) (ou du bourgmestre), daté(e) du ... et ayant pour objet ..., a été publié(e), conformément à l'article L 1133-1 à 3 du CDLD, le ...</w:t>
      </w:r>
    </w:p>
    <w:p w14:paraId="0B9DAFDF" w14:textId="77777777" w:rsidR="006402A2" w:rsidRPr="008D7EB7" w:rsidRDefault="006402A2" w:rsidP="008D7EB7">
      <w:pPr>
        <w:spacing w:before="120"/>
        <w:ind w:left="709"/>
        <w:jc w:val="both"/>
        <w:textAlignment w:val="baseline"/>
        <w:rPr>
          <w:rFonts w:cs="Calibri"/>
          <w:spacing w:val="-2"/>
        </w:rPr>
      </w:pPr>
      <w:r w:rsidRPr="008D7EB7">
        <w:rPr>
          <w:rFonts w:cs="Calibri"/>
          <w:spacing w:val="-2"/>
        </w:rPr>
        <w:t>A ..., le ... (date)</w:t>
      </w:r>
    </w:p>
    <w:p w14:paraId="3B70BA1B" w14:textId="79C923A0" w:rsidR="006402A2" w:rsidRDefault="006402A2" w:rsidP="008D7EB7">
      <w:pPr>
        <w:tabs>
          <w:tab w:val="left" w:pos="3672"/>
        </w:tabs>
        <w:spacing w:before="120"/>
        <w:ind w:left="709"/>
        <w:jc w:val="both"/>
        <w:textAlignment w:val="baseline"/>
        <w:rPr>
          <w:rFonts w:cs="Calibri"/>
          <w:spacing w:val="-1"/>
        </w:rPr>
      </w:pPr>
      <w:r w:rsidRPr="008D7EB7">
        <w:rPr>
          <w:rFonts w:cs="Calibri"/>
          <w:spacing w:val="-1"/>
        </w:rPr>
        <w:t>Le directeur général,</w:t>
      </w:r>
      <w:r w:rsidRPr="008D7EB7">
        <w:rPr>
          <w:rFonts w:cs="Calibri"/>
          <w:spacing w:val="-1"/>
        </w:rPr>
        <w:tab/>
        <w:t>Le Bourgmestre »</w:t>
      </w:r>
    </w:p>
    <w:p w14:paraId="3468B24D" w14:textId="77777777" w:rsidR="000543BD" w:rsidRPr="008D7EB7" w:rsidRDefault="000543BD" w:rsidP="008D7EB7">
      <w:pPr>
        <w:tabs>
          <w:tab w:val="left" w:pos="3672"/>
        </w:tabs>
        <w:spacing w:before="120"/>
        <w:ind w:left="709"/>
        <w:jc w:val="both"/>
        <w:textAlignment w:val="baseline"/>
        <w:rPr>
          <w:rFonts w:cs="Calibri"/>
          <w:spacing w:val="-1"/>
        </w:rPr>
      </w:pPr>
    </w:p>
    <w:p w14:paraId="04A2D756" w14:textId="77777777" w:rsidR="005C499C" w:rsidRPr="00256E9F" w:rsidRDefault="0036362F" w:rsidP="006402A2">
      <w:pPr>
        <w:spacing w:before="120"/>
        <w:jc w:val="both"/>
        <w:textAlignment w:val="baseline"/>
        <w:rPr>
          <w:rFonts w:cs="Calibri"/>
          <w:b/>
          <w:bCs/>
        </w:rPr>
      </w:pPr>
      <w:r w:rsidRPr="00256E9F">
        <w:rPr>
          <w:rFonts w:cs="Calibri"/>
          <w:b/>
          <w:bCs/>
        </w:rPr>
        <w:t>Il est essentiel que l’annotation dans le registre des publications se fasse le même jour que celui de la publication</w:t>
      </w:r>
      <w:r w:rsidR="005C499C" w:rsidRPr="00256E9F">
        <w:rPr>
          <w:rFonts w:cs="Calibri"/>
          <w:b/>
          <w:bCs/>
        </w:rPr>
        <w:t xml:space="preserve"> et respecte bien toutes les conditions reprises dans cet arrêté royal du 14 octobre 1991</w:t>
      </w:r>
      <w:r w:rsidRPr="00256E9F">
        <w:rPr>
          <w:rFonts w:cs="Calibri"/>
          <w:b/>
          <w:bCs/>
        </w:rPr>
        <w:t xml:space="preserve">. </w:t>
      </w:r>
    </w:p>
    <w:p w14:paraId="62DE0876" w14:textId="71448003" w:rsidR="005C499C" w:rsidRDefault="0036362F" w:rsidP="006402A2">
      <w:pPr>
        <w:spacing w:before="120"/>
        <w:jc w:val="both"/>
        <w:textAlignment w:val="baseline"/>
        <w:rPr>
          <w:rFonts w:cs="Calibri"/>
          <w:b/>
          <w:bCs/>
        </w:rPr>
      </w:pPr>
      <w:r w:rsidRPr="008D7EB7">
        <w:rPr>
          <w:rFonts w:cs="Calibri"/>
          <w:b/>
          <w:bCs/>
        </w:rPr>
        <w:t>Pour s’en convaincre,</w:t>
      </w:r>
      <w:r w:rsidR="000543BD">
        <w:rPr>
          <w:rFonts w:cs="Calibri"/>
          <w:b/>
          <w:bCs/>
        </w:rPr>
        <w:t xml:space="preserve"> on rappelle que</w:t>
      </w:r>
      <w:r w:rsidR="005C499C">
        <w:rPr>
          <w:rFonts w:cs="Calibri"/>
          <w:b/>
          <w:bCs/>
        </w:rPr>
        <w:t> :</w:t>
      </w:r>
    </w:p>
    <w:p w14:paraId="28EDBE76" w14:textId="7558123F" w:rsidR="005C499C" w:rsidRPr="00453CB4" w:rsidRDefault="005C499C" w:rsidP="005C499C">
      <w:pPr>
        <w:pStyle w:val="Paragraphedeliste"/>
        <w:numPr>
          <w:ilvl w:val="0"/>
          <w:numId w:val="305"/>
        </w:numPr>
        <w:spacing w:after="160" w:line="259" w:lineRule="auto"/>
        <w:contextualSpacing/>
      </w:pPr>
      <w:r w:rsidRPr="00453CB4">
        <w:t>Selon la Cour de cassation</w:t>
      </w:r>
      <w:r w:rsidRPr="00453CB4">
        <w:rPr>
          <w:rStyle w:val="Appelnotedebasdep"/>
        </w:rPr>
        <w:footnoteReference w:id="69"/>
      </w:r>
      <w:r w:rsidRPr="00453CB4">
        <w:t>, la preuve du fait et de la date de publication du règlement-taxe ne peut être fournie que par le biais de l'annotation de la publication du règlement dans le registre tenu spécifiquement à cet effet par le Directeur général, qui doit être établi conformément à l'arrêté royal du 14 octobre 1991 ;</w:t>
      </w:r>
    </w:p>
    <w:p w14:paraId="52322C68" w14:textId="77777777" w:rsidR="000543BD" w:rsidRPr="00453CB4" w:rsidRDefault="000543BD" w:rsidP="000543BD">
      <w:pPr>
        <w:pStyle w:val="Paragraphedeliste"/>
        <w:numPr>
          <w:ilvl w:val="0"/>
          <w:numId w:val="305"/>
        </w:numPr>
        <w:spacing w:after="160" w:line="259" w:lineRule="auto"/>
        <w:contextualSpacing/>
      </w:pPr>
      <w:r w:rsidRPr="00453CB4">
        <w:t>La transcription dans ce registre doit être faite, selon le même arrêt de la Cour de cassation, à la date de la publication. En outre, cette inscription doit comporter deux dates : la date de la publication et la date de l'inscription au registre. Ces dates sont toutes deux importantes et doivent être identiques.</w:t>
      </w:r>
    </w:p>
    <w:p w14:paraId="47210CE2" w14:textId="08A71D56" w:rsidR="000543BD" w:rsidRPr="00997DEC" w:rsidRDefault="000543BD" w:rsidP="000543BD">
      <w:pPr>
        <w:pStyle w:val="Paragraphedeliste"/>
        <w:numPr>
          <w:ilvl w:val="0"/>
          <w:numId w:val="305"/>
        </w:numPr>
        <w:spacing w:after="160" w:line="259" w:lineRule="auto"/>
        <w:contextualSpacing/>
        <w:rPr>
          <w:color w:val="FF0000"/>
        </w:rPr>
      </w:pPr>
      <w:r>
        <w:t xml:space="preserve">L’annotation dans le registre des publications </w:t>
      </w:r>
      <w:r w:rsidRPr="00453CB4">
        <w:t xml:space="preserve">doit se faire </w:t>
      </w:r>
      <w:r>
        <w:t xml:space="preserve">le même jour que celui de la publication. Pour s’en convaincre, on se référera à un arrêt </w:t>
      </w:r>
      <w:r w:rsidRPr="00453CB4">
        <w:t xml:space="preserve">du 13 </w:t>
      </w:r>
      <w:r>
        <w:t>mars 2020 dans lequel la Cour de cassation affirme expressément que « pour pouvoir faire la preuve de la publication d’un règlement communal, l’annotation dans le registre spécial tenu par le secrétaire communal doit être faite le premier jour de l’affichage ».</w:t>
      </w:r>
    </w:p>
    <w:p w14:paraId="35127FCA" w14:textId="6AB00A3E" w:rsidR="000543BD" w:rsidRDefault="000543BD" w:rsidP="006402A2">
      <w:pPr>
        <w:spacing w:before="120"/>
        <w:jc w:val="both"/>
        <w:textAlignment w:val="baseline"/>
        <w:rPr>
          <w:rFonts w:cs="Calibri"/>
          <w:b/>
          <w:bCs/>
        </w:rPr>
      </w:pPr>
      <w:r w:rsidRPr="000543BD">
        <w:rPr>
          <w:rFonts w:cs="Calibri"/>
          <w:b/>
          <w:bCs/>
        </w:rPr>
        <w:t>Il est tout autant essentiel que l'objet du règlement-taxe, tel que mentionné sur l'affiche destinée à en assurer la publicité, soit conforme à son contenu. Si l'objet du règlement est différent de celui figurant sur l'affiche de publication, tel que le rapporte l'annotation au registre, le juge peut considérer que le règlement n'a pas été valablement publié et que, partant, il est dépourvu de force obligatoire à l'égard du contribuable, de sorte que les taxes qui sont fondées sur celui-ci sont nulles.</w:t>
      </w:r>
    </w:p>
    <w:p w14:paraId="75548E5C" w14:textId="77777777" w:rsidR="000543BD" w:rsidRPr="008D7EB7" w:rsidRDefault="000543BD" w:rsidP="00256E9F">
      <w:pPr>
        <w:jc w:val="both"/>
        <w:textAlignment w:val="baseline"/>
        <w:rPr>
          <w:rFonts w:cs="Calibri"/>
          <w:b/>
          <w:bCs/>
        </w:rPr>
      </w:pPr>
    </w:p>
    <w:p w14:paraId="33FEC772" w14:textId="2CD9E2F5" w:rsidR="0036362F" w:rsidRPr="008D7EB7" w:rsidRDefault="0036362F" w:rsidP="00256E9F">
      <w:pPr>
        <w:jc w:val="both"/>
        <w:textAlignment w:val="baseline"/>
        <w:rPr>
          <w:rFonts w:cs="Calibri"/>
          <w:b/>
          <w:bCs/>
        </w:rPr>
      </w:pPr>
      <w:r w:rsidRPr="008D7EB7">
        <w:rPr>
          <w:rFonts w:cs="Calibri"/>
          <w:b/>
          <w:bCs/>
        </w:rPr>
        <w:t xml:space="preserve">L'affichage doit au moins durer 24 heures. </w:t>
      </w:r>
      <w:bookmarkStart w:id="3944" w:name="_Hlk38119459"/>
      <w:r w:rsidRPr="008D7EB7">
        <w:rPr>
          <w:rFonts w:cs="Calibri"/>
          <w:b/>
          <w:bCs/>
        </w:rPr>
        <w:t xml:space="preserve">Ce délai </w:t>
      </w:r>
      <w:bookmarkEnd w:id="3944"/>
      <w:r w:rsidRPr="008D7EB7">
        <w:rPr>
          <w:rFonts w:cs="Calibri"/>
          <w:b/>
          <w:bCs/>
        </w:rPr>
        <w:t>de 24 heures est tiré de l'interprétation combinée de l'article L 1133-2 du CDLD et d'un arrêt de la Cour de cassation. Néanmoins, il convient de relever que ce délai a été porté à 5 jours par la Cour d’appel de Mons</w:t>
      </w:r>
      <w:r w:rsidRPr="008D7EB7">
        <w:rPr>
          <w:rFonts w:cs="Calibri"/>
          <w:b/>
          <w:bCs/>
          <w:vertAlign w:val="superscript"/>
        </w:rPr>
        <w:footnoteReference w:id="70"/>
      </w:r>
      <w:r w:rsidRPr="008D7EB7">
        <w:rPr>
          <w:rFonts w:cs="Calibri"/>
          <w:b/>
          <w:bCs/>
        </w:rPr>
        <w:t xml:space="preserve">. </w:t>
      </w:r>
      <w:r w:rsidRPr="008D7EB7">
        <w:rPr>
          <w:rFonts w:cs="Calibri"/>
          <w:b/>
          <w:bCs/>
        </w:rPr>
        <w:lastRenderedPageBreak/>
        <w:t>L’argumentation se base sur le fait que l'affichage doit s'entendre comme un mode permanent de publication qui permet aux intéressés de prendre connaissance à toute heure de l’existence d’un règlement ou d’une ordonnance dont il leur appartiendra, s’ils le souhaitent, de s’informer de la teneur à l’endroit précisé par l’affiche</w:t>
      </w:r>
      <w:r w:rsidRPr="008D7EB7">
        <w:rPr>
          <w:rFonts w:cs="Calibri"/>
          <w:b/>
          <w:bCs/>
          <w:vertAlign w:val="superscript"/>
        </w:rPr>
        <w:footnoteReference w:id="71"/>
      </w:r>
      <w:r w:rsidRPr="008D7EB7">
        <w:rPr>
          <w:rFonts w:cs="Calibri"/>
          <w:b/>
          <w:bCs/>
        </w:rPr>
        <w:t>. En conséquence, une publication uniquement pendant les heures de bureaux à l'intérieur des locaux de l'administration communale ne répond pas au prescrit légal.</w:t>
      </w:r>
    </w:p>
    <w:p w14:paraId="0B66F4D9" w14:textId="77777777" w:rsidR="00541AFA" w:rsidRDefault="00541AFA" w:rsidP="00256E9F">
      <w:pPr>
        <w:jc w:val="both"/>
        <w:textAlignment w:val="baseline"/>
        <w:rPr>
          <w:rFonts w:cs="Calibri"/>
        </w:rPr>
      </w:pPr>
    </w:p>
    <w:p w14:paraId="1B3DC272" w14:textId="1F25E24A" w:rsidR="006402A2" w:rsidRPr="008D7EB7" w:rsidRDefault="006402A2" w:rsidP="00256E9F">
      <w:pPr>
        <w:jc w:val="both"/>
        <w:textAlignment w:val="baseline"/>
        <w:rPr>
          <w:rFonts w:cs="Calibri"/>
        </w:rPr>
      </w:pPr>
      <w:r w:rsidRPr="008D7EB7">
        <w:rPr>
          <w:rFonts w:cs="Calibri"/>
        </w:rPr>
        <w:t>À ce sujet, je remarque également que des communes se méprennent sur les effets de la règle posée à l'article L1133-2 du CDLD selon laquelle les règlements et ordonnances visés à l'article L1133-1 précité deviennent obligatoires le cinquième jour qui suit leur publication par la voie de l'affichage, sauf s'ils en disposent autrement. Lue en perspective avec l'article 190 de la Constitution, cette règle signifie, comme en témoigne la jurisprudence du Conseil d'État</w:t>
      </w:r>
      <w:r w:rsidRPr="008D7EB7">
        <w:rPr>
          <w:rStyle w:val="Appelnotedebasdep"/>
          <w:rFonts w:cs="Calibri"/>
        </w:rPr>
        <w:footnoteReference w:id="72"/>
      </w:r>
      <w:r w:rsidRPr="008D7EB7">
        <w:rPr>
          <w:rFonts w:cs="Calibri"/>
        </w:rPr>
        <w:t>, qu'un règlement peut au plus tôt devenir obligatoire le jour de sa publication (ou le jour de la publication du règlement et de la décision de l'autorité de tutelle le concernant s'il s'agit d'un règlement soumis à tutelle spéciale d'approbation).</w:t>
      </w:r>
    </w:p>
    <w:p w14:paraId="25B92F3F" w14:textId="77777777" w:rsidR="0036362F" w:rsidRPr="008D7EB7" w:rsidRDefault="0036362F" w:rsidP="0036362F">
      <w:pPr>
        <w:spacing w:before="120"/>
        <w:jc w:val="both"/>
        <w:textAlignment w:val="baseline"/>
        <w:rPr>
          <w:rFonts w:cs="Calibri"/>
          <w:b/>
          <w:bCs/>
        </w:rPr>
      </w:pPr>
      <w:r w:rsidRPr="008D7EB7">
        <w:rPr>
          <w:rFonts w:cs="Calibri"/>
          <w:b/>
          <w:bCs/>
          <w:lang w:val="fr-BE"/>
        </w:rPr>
        <w:t>Dans son arrêt du 20 juin 2014, la Cour de cassation a considéré qu’il n’était pas possible de procéder à la publication en deux phases : d’abord l’affichage de l’adoption du règlement et ensuite l’affichage de son approbation par l’autorité de tutelle.</w:t>
      </w:r>
    </w:p>
    <w:p w14:paraId="4C563C75" w14:textId="77777777" w:rsidR="0036362F" w:rsidRPr="008D7EB7" w:rsidRDefault="0036362F" w:rsidP="0036362F">
      <w:pPr>
        <w:spacing w:before="120"/>
        <w:jc w:val="both"/>
        <w:textAlignment w:val="baseline"/>
        <w:rPr>
          <w:rFonts w:cs="Calibri"/>
          <w:b/>
          <w:bCs/>
        </w:rPr>
      </w:pPr>
      <w:r w:rsidRPr="008D7EB7">
        <w:rPr>
          <w:rFonts w:cs="Calibri"/>
          <w:b/>
          <w:bCs/>
          <w:lang w:val="fr-BE"/>
        </w:rPr>
        <w:t>Les règlements soumis à une tutelle d’approbation doivent donc être publiés après cette approbation, expresse ou implicite, et faire mention de celle-ci</w:t>
      </w:r>
      <w:r w:rsidRPr="008D7EB7">
        <w:rPr>
          <w:rFonts w:cs="Calibri"/>
          <w:b/>
          <w:bCs/>
          <w:vertAlign w:val="superscript"/>
          <w:lang w:val="fr-BE"/>
        </w:rPr>
        <w:footnoteReference w:id="73"/>
      </w:r>
      <w:r w:rsidRPr="008D7EB7">
        <w:rPr>
          <w:rFonts w:cs="Calibri"/>
          <w:b/>
          <w:bCs/>
          <w:lang w:val="fr-BE"/>
        </w:rPr>
        <w:t>. Si l’affichage a été effectué avant l’approbation, il faudra le refaire dès réception de la décision de l’approbation par l’autorité de tutelle. C’est uniquement après ce deuxième affichage que celui-ci sera considéré comme conforme à la loi.</w:t>
      </w:r>
    </w:p>
    <w:p w14:paraId="315CC50E" w14:textId="3F9CF381" w:rsidR="00541AFA" w:rsidRDefault="000543BD" w:rsidP="006402A2">
      <w:pPr>
        <w:spacing w:before="120"/>
        <w:jc w:val="both"/>
        <w:textAlignment w:val="baseline"/>
        <w:rPr>
          <w:rFonts w:cs="Calibri"/>
        </w:rPr>
      </w:pPr>
      <w:r w:rsidRPr="000543BD">
        <w:rPr>
          <w:rFonts w:cs="Calibri"/>
        </w:rPr>
        <w:t xml:space="preserve">Que se passe-t-il si la décision est devenue exécutoire par expiration du délai de tutelle ? Dans ce cas, aucune décision n'a été prise par l'autorité de tutelle, de sorte que rien ne doit être mentionné dans le cadre de l'affichage. Cependant, par prudence il est </w:t>
      </w:r>
      <w:r w:rsidR="008B09B0">
        <w:rPr>
          <w:rFonts w:cs="Calibri"/>
        </w:rPr>
        <w:t>recommandé</w:t>
      </w:r>
      <w:r w:rsidRPr="000543BD">
        <w:rPr>
          <w:rFonts w:cs="Calibri"/>
        </w:rPr>
        <w:t>, comme le font certaines communes, d’indiquer sur l'affiche que le règlement</w:t>
      </w:r>
      <w:r w:rsidRPr="006145D3">
        <w:rPr>
          <w:rFonts w:cs="Calibri"/>
        </w:rPr>
        <w:t xml:space="preserve"> e</w:t>
      </w:r>
      <w:r w:rsidRPr="000543BD">
        <w:rPr>
          <w:rFonts w:cs="Calibri"/>
        </w:rPr>
        <w:t>st devenu exécutoire par expiration du délai de tutelle.</w:t>
      </w:r>
    </w:p>
    <w:p w14:paraId="2B59625C" w14:textId="07CBD2A5" w:rsidR="006402A2" w:rsidRPr="008D7EB7" w:rsidRDefault="006402A2" w:rsidP="006402A2">
      <w:pPr>
        <w:spacing w:before="120"/>
        <w:jc w:val="both"/>
        <w:textAlignment w:val="baseline"/>
        <w:rPr>
          <w:rFonts w:cs="Calibri"/>
        </w:rPr>
      </w:pPr>
      <w:r w:rsidRPr="008D7EB7">
        <w:rPr>
          <w:rFonts w:cs="Calibri"/>
        </w:rPr>
        <w:t>Il n'appartient donc pas à une commune de prévoir qu'un règlement sera applicable à une date antérieure à sa publication effectuée conformément à l'article L1133-1 précité du CDLD puisqu'une telle décision reviendrait à vouloir faire application d'un règlement qui, à cette date, n'avait pas de caractère obligatoire.</w:t>
      </w:r>
    </w:p>
    <w:p w14:paraId="1F1F402F" w14:textId="77777777" w:rsidR="006402A2" w:rsidRPr="008D7EB7" w:rsidRDefault="006402A2" w:rsidP="006402A2">
      <w:pPr>
        <w:spacing w:before="120"/>
        <w:jc w:val="both"/>
        <w:textAlignment w:val="baseline"/>
        <w:rPr>
          <w:rFonts w:cs="Calibri"/>
        </w:rPr>
      </w:pPr>
      <w:r w:rsidRPr="008D7EB7">
        <w:rPr>
          <w:rFonts w:cs="Calibri"/>
        </w:rPr>
        <w:t>Cependant, une exception à ce principe existe puisqu’une taxe directe, contrairement à une taxe indirecte, peut rétroagir au 1</w:t>
      </w:r>
      <w:r w:rsidRPr="008D7EB7">
        <w:rPr>
          <w:rFonts w:cs="Calibri"/>
          <w:vertAlign w:val="superscript"/>
        </w:rPr>
        <w:t>er</w:t>
      </w:r>
      <w:r w:rsidRPr="008D7EB7">
        <w:rPr>
          <w:rFonts w:cs="Calibri"/>
        </w:rPr>
        <w:t xml:space="preserve"> janvier de l'exercice concerné.</w:t>
      </w:r>
    </w:p>
    <w:p w14:paraId="0CEE1FF9" w14:textId="3DE49E08" w:rsidR="006402A2" w:rsidRPr="008D7EB7" w:rsidRDefault="006402A2" w:rsidP="006402A2">
      <w:pPr>
        <w:spacing w:before="120"/>
        <w:jc w:val="both"/>
        <w:textAlignment w:val="baseline"/>
        <w:rPr>
          <w:rFonts w:cs="Calibri"/>
        </w:rPr>
      </w:pPr>
      <w:r w:rsidRPr="008D7EB7">
        <w:rPr>
          <w:rFonts w:cs="Calibri"/>
        </w:rPr>
        <w:t>Pour rappel, une taxe directe est une taxe qui frappe une situation durable dans le temps (</w:t>
      </w:r>
      <w:r w:rsidR="00634079">
        <w:rPr>
          <w:rFonts w:cs="Calibri"/>
        </w:rPr>
        <w:t xml:space="preserve">par exemple </w:t>
      </w:r>
      <w:r w:rsidRPr="008D7EB7">
        <w:rPr>
          <w:rFonts w:cs="Calibri"/>
        </w:rPr>
        <w:t xml:space="preserve">: </w:t>
      </w:r>
      <w:r w:rsidR="00634079">
        <w:rPr>
          <w:rFonts w:cs="Calibri"/>
        </w:rPr>
        <w:t xml:space="preserve">la </w:t>
      </w:r>
      <w:r w:rsidRPr="008D7EB7">
        <w:rPr>
          <w:rFonts w:cs="Calibri"/>
        </w:rPr>
        <w:t>taxe sur les terrains de tennis privés). À l'inverse, la taxe indirecte frappe des faits isolés, dont le contribuable est l'auteur déclaré ou, à défaut de celui-ci, l'auteur présumé.</w:t>
      </w:r>
    </w:p>
    <w:p w14:paraId="264D3F38" w14:textId="77777777" w:rsidR="006402A2" w:rsidRPr="008D7EB7" w:rsidRDefault="006402A2" w:rsidP="006402A2">
      <w:pPr>
        <w:spacing w:before="120"/>
        <w:jc w:val="both"/>
        <w:textAlignment w:val="baseline"/>
        <w:rPr>
          <w:rFonts w:cs="Calibri"/>
        </w:rPr>
      </w:pPr>
      <w:r w:rsidRPr="008D7EB7">
        <w:rPr>
          <w:rFonts w:cs="Calibri"/>
        </w:rPr>
        <w:t>Compte tenu de ce qui précède, je vous recommande de renouveler vos règlements taxes et redevances suffisamment tôt, de telle sorte qu'ils puissent entrer en vigueur avant le 1</w:t>
      </w:r>
      <w:r w:rsidRPr="008D7EB7">
        <w:rPr>
          <w:rFonts w:cs="Calibri"/>
          <w:vertAlign w:val="superscript"/>
        </w:rPr>
        <w:t>er</w:t>
      </w:r>
      <w:r w:rsidRPr="008D7EB7">
        <w:rPr>
          <w:rFonts w:cs="Calibri"/>
        </w:rPr>
        <w:t xml:space="preserve"> janvier de l'exercice concerné et ainsi, frapper les faits qui se produiront à partir du 1</w:t>
      </w:r>
      <w:r w:rsidRPr="008D7EB7">
        <w:rPr>
          <w:rFonts w:cs="Calibri"/>
          <w:vertAlign w:val="superscript"/>
        </w:rPr>
        <w:t>er</w:t>
      </w:r>
      <w:r w:rsidRPr="008D7EB7">
        <w:rPr>
          <w:rFonts w:cs="Calibri"/>
        </w:rPr>
        <w:t xml:space="preserve"> janvier.</w:t>
      </w:r>
    </w:p>
    <w:p w14:paraId="7C7EFDD0" w14:textId="77777777" w:rsidR="006402A2" w:rsidRPr="008D7EB7" w:rsidRDefault="006402A2" w:rsidP="006402A2">
      <w:pPr>
        <w:spacing w:before="120"/>
        <w:jc w:val="both"/>
        <w:textAlignment w:val="baseline"/>
        <w:rPr>
          <w:rFonts w:cs="Calibri"/>
          <w:spacing w:val="-2"/>
        </w:rPr>
      </w:pPr>
      <w:r w:rsidRPr="008D7EB7">
        <w:rPr>
          <w:rFonts w:cs="Calibri"/>
          <w:spacing w:val="-2"/>
        </w:rPr>
        <w:lastRenderedPageBreak/>
        <w:t xml:space="preserve">Les communes veilleront donc à renouveler au plus tôt leurs règlements fiscaux venant à expiration à la fin de l'exercice en cours. Je souhaiterais que les </w:t>
      </w:r>
      <w:r w:rsidRPr="008D7EB7">
        <w:rPr>
          <w:rFonts w:cs="Calibri"/>
        </w:rPr>
        <w:t>prévisions des recettes fiscales apparaissant dans le budget soient estimées sur base de règlements fiscaux approuvés, ou à tout le moins votés par le Conseil communal. Cette bonne pratique administrative permet d'éviter d'éventuels et regrettables dysfonctionnements.</w:t>
      </w:r>
    </w:p>
    <w:p w14:paraId="2EDC16CA" w14:textId="57410605" w:rsidR="006402A2" w:rsidRPr="008D7EB7" w:rsidRDefault="006402A2" w:rsidP="006402A2">
      <w:pPr>
        <w:spacing w:before="120"/>
        <w:jc w:val="both"/>
        <w:textAlignment w:val="baseline"/>
        <w:rPr>
          <w:rFonts w:cs="Calibri"/>
        </w:rPr>
      </w:pPr>
      <w:r w:rsidRPr="008D7EB7">
        <w:rPr>
          <w:rFonts w:cs="Calibri"/>
        </w:rPr>
        <w:t>Par ailleurs, je souhaite que la publication des règlements fiscaux soit également assurée en les intégrant sur le site internet de la commune.</w:t>
      </w:r>
      <w:r w:rsidR="000543BD" w:rsidRPr="000543BD">
        <w:t xml:space="preserve"> </w:t>
      </w:r>
      <w:r w:rsidR="000543BD" w:rsidRPr="000543BD">
        <w:rPr>
          <w:rFonts w:cs="Calibri"/>
        </w:rPr>
        <w:t>Idéalement la consultation du document doit être possible durant toute sa période de validité et ce dans version actualisée et coordonnée.</w:t>
      </w:r>
    </w:p>
    <w:p w14:paraId="03850AD2" w14:textId="77777777" w:rsidR="006402A2" w:rsidRDefault="006402A2" w:rsidP="00E063FD">
      <w:pPr>
        <w:spacing w:before="120"/>
        <w:jc w:val="both"/>
        <w:textAlignment w:val="baseline"/>
        <w:rPr>
          <w:rFonts w:asciiTheme="minorHAnsi" w:hAnsiTheme="minorHAnsi" w:cs="Calibri Light"/>
          <w:spacing w:val="-1"/>
        </w:rPr>
      </w:pPr>
    </w:p>
    <w:p w14:paraId="1D93FAB7" w14:textId="3CDE53AE" w:rsidR="00892FFC" w:rsidRPr="00DA6BD2" w:rsidRDefault="008D5D16" w:rsidP="00256E9F">
      <w:pPr>
        <w:pStyle w:val="Sam3"/>
      </w:pPr>
      <w:bookmarkStart w:id="3945" w:name="_Toc516739662"/>
      <w:bookmarkStart w:id="3946" w:name="_Toc516751575"/>
      <w:bookmarkStart w:id="3947" w:name="_Toc516825663"/>
      <w:bookmarkStart w:id="3948" w:name="_Toc516826221"/>
      <w:bookmarkStart w:id="3949" w:name="_Toc516837541"/>
      <w:bookmarkStart w:id="3950" w:name="_Toc516838100"/>
      <w:bookmarkStart w:id="3951" w:name="_Toc516838659"/>
      <w:bookmarkStart w:id="3952" w:name="_Toc516839219"/>
      <w:bookmarkStart w:id="3953" w:name="_Toc517173315"/>
      <w:bookmarkStart w:id="3954" w:name="_Toc517174989"/>
      <w:bookmarkStart w:id="3955" w:name="_Toc517175576"/>
      <w:bookmarkStart w:id="3956" w:name="_Toc517176164"/>
      <w:bookmarkStart w:id="3957" w:name="_Toc517337489"/>
      <w:bookmarkStart w:id="3958" w:name="_Toc517360285"/>
      <w:bookmarkStart w:id="3959" w:name="_Toc516739663"/>
      <w:bookmarkStart w:id="3960" w:name="_Toc516751576"/>
      <w:bookmarkStart w:id="3961" w:name="_Toc516825664"/>
      <w:bookmarkStart w:id="3962" w:name="_Toc516826222"/>
      <w:bookmarkStart w:id="3963" w:name="_Toc516837542"/>
      <w:bookmarkStart w:id="3964" w:name="_Toc516838101"/>
      <w:bookmarkStart w:id="3965" w:name="_Toc516838660"/>
      <w:bookmarkStart w:id="3966" w:name="_Toc516839220"/>
      <w:bookmarkStart w:id="3967" w:name="_Toc517173316"/>
      <w:bookmarkStart w:id="3968" w:name="_Toc517174990"/>
      <w:bookmarkStart w:id="3969" w:name="_Toc517175577"/>
      <w:bookmarkStart w:id="3970" w:name="_Toc517176165"/>
      <w:bookmarkStart w:id="3971" w:name="_Toc517337490"/>
      <w:bookmarkStart w:id="3972" w:name="_Toc517360286"/>
      <w:bookmarkStart w:id="3973" w:name="_Toc516739664"/>
      <w:bookmarkStart w:id="3974" w:name="_Toc516751577"/>
      <w:bookmarkStart w:id="3975" w:name="_Toc516825665"/>
      <w:bookmarkStart w:id="3976" w:name="_Toc516826223"/>
      <w:bookmarkStart w:id="3977" w:name="_Toc516837543"/>
      <w:bookmarkStart w:id="3978" w:name="_Toc516838102"/>
      <w:bookmarkStart w:id="3979" w:name="_Toc516838661"/>
      <w:bookmarkStart w:id="3980" w:name="_Toc516839221"/>
      <w:bookmarkStart w:id="3981" w:name="_Toc517173317"/>
      <w:bookmarkStart w:id="3982" w:name="_Toc517174991"/>
      <w:bookmarkStart w:id="3983" w:name="_Toc517175578"/>
      <w:bookmarkStart w:id="3984" w:name="_Toc517176166"/>
      <w:bookmarkStart w:id="3985" w:name="_Toc517337491"/>
      <w:bookmarkStart w:id="3986" w:name="_Toc517360287"/>
      <w:bookmarkStart w:id="3987" w:name="_Toc516739665"/>
      <w:bookmarkStart w:id="3988" w:name="_Toc516751578"/>
      <w:bookmarkStart w:id="3989" w:name="_Toc516825666"/>
      <w:bookmarkStart w:id="3990" w:name="_Toc516826224"/>
      <w:bookmarkStart w:id="3991" w:name="_Toc516837544"/>
      <w:bookmarkStart w:id="3992" w:name="_Toc516838103"/>
      <w:bookmarkStart w:id="3993" w:name="_Toc516838662"/>
      <w:bookmarkStart w:id="3994" w:name="_Toc516839222"/>
      <w:bookmarkStart w:id="3995" w:name="_Toc517173318"/>
      <w:bookmarkStart w:id="3996" w:name="_Toc517174992"/>
      <w:bookmarkStart w:id="3997" w:name="_Toc517175579"/>
      <w:bookmarkStart w:id="3998" w:name="_Toc517176167"/>
      <w:bookmarkStart w:id="3999" w:name="_Toc517337492"/>
      <w:bookmarkStart w:id="4000" w:name="_Toc517360288"/>
      <w:bookmarkStart w:id="4001" w:name="_Toc516739666"/>
      <w:bookmarkStart w:id="4002" w:name="_Toc516751579"/>
      <w:bookmarkStart w:id="4003" w:name="_Toc516825667"/>
      <w:bookmarkStart w:id="4004" w:name="_Toc516826225"/>
      <w:bookmarkStart w:id="4005" w:name="_Toc516837545"/>
      <w:bookmarkStart w:id="4006" w:name="_Toc516838104"/>
      <w:bookmarkStart w:id="4007" w:name="_Toc516838663"/>
      <w:bookmarkStart w:id="4008" w:name="_Toc516839223"/>
      <w:bookmarkStart w:id="4009" w:name="_Toc517173319"/>
      <w:bookmarkStart w:id="4010" w:name="_Toc517174993"/>
      <w:bookmarkStart w:id="4011" w:name="_Toc517175580"/>
      <w:bookmarkStart w:id="4012" w:name="_Toc517176168"/>
      <w:bookmarkStart w:id="4013" w:name="_Toc517337493"/>
      <w:bookmarkStart w:id="4014" w:name="_Toc517360289"/>
      <w:bookmarkStart w:id="4015" w:name="_Toc516739667"/>
      <w:bookmarkStart w:id="4016" w:name="_Toc516751580"/>
      <w:bookmarkStart w:id="4017" w:name="_Toc516825668"/>
      <w:bookmarkStart w:id="4018" w:name="_Toc516826226"/>
      <w:bookmarkStart w:id="4019" w:name="_Toc516837546"/>
      <w:bookmarkStart w:id="4020" w:name="_Toc516838105"/>
      <w:bookmarkStart w:id="4021" w:name="_Toc516838664"/>
      <w:bookmarkStart w:id="4022" w:name="_Toc516839224"/>
      <w:bookmarkStart w:id="4023" w:name="_Toc517173320"/>
      <w:bookmarkStart w:id="4024" w:name="_Toc517174994"/>
      <w:bookmarkStart w:id="4025" w:name="_Toc517175581"/>
      <w:bookmarkStart w:id="4026" w:name="_Toc517176169"/>
      <w:bookmarkStart w:id="4027" w:name="_Toc517337494"/>
      <w:bookmarkStart w:id="4028" w:name="_Toc517360290"/>
      <w:bookmarkStart w:id="4029" w:name="_Toc516739668"/>
      <w:bookmarkStart w:id="4030" w:name="_Toc516751581"/>
      <w:bookmarkStart w:id="4031" w:name="_Toc516825669"/>
      <w:bookmarkStart w:id="4032" w:name="_Toc516826227"/>
      <w:bookmarkStart w:id="4033" w:name="_Toc516837547"/>
      <w:bookmarkStart w:id="4034" w:name="_Toc516838106"/>
      <w:bookmarkStart w:id="4035" w:name="_Toc516838665"/>
      <w:bookmarkStart w:id="4036" w:name="_Toc516839225"/>
      <w:bookmarkStart w:id="4037" w:name="_Toc517173321"/>
      <w:bookmarkStart w:id="4038" w:name="_Toc517174995"/>
      <w:bookmarkStart w:id="4039" w:name="_Toc517175582"/>
      <w:bookmarkStart w:id="4040" w:name="_Toc517176170"/>
      <w:bookmarkStart w:id="4041" w:name="_Toc517337495"/>
      <w:bookmarkStart w:id="4042" w:name="_Toc517360291"/>
      <w:bookmarkStart w:id="4043" w:name="_Toc516739669"/>
      <w:bookmarkStart w:id="4044" w:name="_Toc516751582"/>
      <w:bookmarkStart w:id="4045" w:name="_Toc516825670"/>
      <w:bookmarkStart w:id="4046" w:name="_Toc516826228"/>
      <w:bookmarkStart w:id="4047" w:name="_Toc516837548"/>
      <w:bookmarkStart w:id="4048" w:name="_Toc516838107"/>
      <w:bookmarkStart w:id="4049" w:name="_Toc516838666"/>
      <w:bookmarkStart w:id="4050" w:name="_Toc516839226"/>
      <w:bookmarkStart w:id="4051" w:name="_Toc517173322"/>
      <w:bookmarkStart w:id="4052" w:name="_Toc517174996"/>
      <w:bookmarkStart w:id="4053" w:name="_Toc517175583"/>
      <w:bookmarkStart w:id="4054" w:name="_Toc517176171"/>
      <w:bookmarkStart w:id="4055" w:name="_Toc517337496"/>
      <w:bookmarkStart w:id="4056" w:name="_Toc517360292"/>
      <w:bookmarkStart w:id="4057" w:name="_Toc516739670"/>
      <w:bookmarkStart w:id="4058" w:name="_Toc516751583"/>
      <w:bookmarkStart w:id="4059" w:name="_Toc516825671"/>
      <w:bookmarkStart w:id="4060" w:name="_Toc516826229"/>
      <w:bookmarkStart w:id="4061" w:name="_Toc516837549"/>
      <w:bookmarkStart w:id="4062" w:name="_Toc516838108"/>
      <w:bookmarkStart w:id="4063" w:name="_Toc516838667"/>
      <w:bookmarkStart w:id="4064" w:name="_Toc516839227"/>
      <w:bookmarkStart w:id="4065" w:name="_Toc517173323"/>
      <w:bookmarkStart w:id="4066" w:name="_Toc517174997"/>
      <w:bookmarkStart w:id="4067" w:name="_Toc517175584"/>
      <w:bookmarkStart w:id="4068" w:name="_Toc517176172"/>
      <w:bookmarkStart w:id="4069" w:name="_Toc517337497"/>
      <w:bookmarkStart w:id="4070" w:name="_Toc517360293"/>
      <w:bookmarkStart w:id="4071" w:name="_Toc516739671"/>
      <w:bookmarkStart w:id="4072" w:name="_Toc516751584"/>
      <w:bookmarkStart w:id="4073" w:name="_Toc516825672"/>
      <w:bookmarkStart w:id="4074" w:name="_Toc516826230"/>
      <w:bookmarkStart w:id="4075" w:name="_Toc516837550"/>
      <w:bookmarkStart w:id="4076" w:name="_Toc516838109"/>
      <w:bookmarkStart w:id="4077" w:name="_Toc516838668"/>
      <w:bookmarkStart w:id="4078" w:name="_Toc516839228"/>
      <w:bookmarkStart w:id="4079" w:name="_Toc517173324"/>
      <w:bookmarkStart w:id="4080" w:name="_Toc517174998"/>
      <w:bookmarkStart w:id="4081" w:name="_Toc517175585"/>
      <w:bookmarkStart w:id="4082" w:name="_Toc517176173"/>
      <w:bookmarkStart w:id="4083" w:name="_Toc517337498"/>
      <w:bookmarkStart w:id="4084" w:name="_Toc517360294"/>
      <w:bookmarkStart w:id="4085" w:name="_Toc516739672"/>
      <w:bookmarkStart w:id="4086" w:name="_Toc516751585"/>
      <w:bookmarkStart w:id="4087" w:name="_Toc516825673"/>
      <w:bookmarkStart w:id="4088" w:name="_Toc516826231"/>
      <w:bookmarkStart w:id="4089" w:name="_Toc516837551"/>
      <w:bookmarkStart w:id="4090" w:name="_Toc516838110"/>
      <w:bookmarkStart w:id="4091" w:name="_Toc516838669"/>
      <w:bookmarkStart w:id="4092" w:name="_Toc516839229"/>
      <w:bookmarkStart w:id="4093" w:name="_Toc517173325"/>
      <w:bookmarkStart w:id="4094" w:name="_Toc517174999"/>
      <w:bookmarkStart w:id="4095" w:name="_Toc517175586"/>
      <w:bookmarkStart w:id="4096" w:name="_Toc517176174"/>
      <w:bookmarkStart w:id="4097" w:name="_Toc517337499"/>
      <w:bookmarkStart w:id="4098" w:name="_Toc517360295"/>
      <w:bookmarkStart w:id="4099" w:name="_Toc516739673"/>
      <w:bookmarkStart w:id="4100" w:name="_Toc516751586"/>
      <w:bookmarkStart w:id="4101" w:name="_Toc516825674"/>
      <w:bookmarkStart w:id="4102" w:name="_Toc516826232"/>
      <w:bookmarkStart w:id="4103" w:name="_Toc516837552"/>
      <w:bookmarkStart w:id="4104" w:name="_Toc516838111"/>
      <w:bookmarkStart w:id="4105" w:name="_Toc516838670"/>
      <w:bookmarkStart w:id="4106" w:name="_Toc516839230"/>
      <w:bookmarkStart w:id="4107" w:name="_Toc517173326"/>
      <w:bookmarkStart w:id="4108" w:name="_Toc517175000"/>
      <w:bookmarkStart w:id="4109" w:name="_Toc517175587"/>
      <w:bookmarkStart w:id="4110" w:name="_Toc517176175"/>
      <w:bookmarkStart w:id="4111" w:name="_Toc517337500"/>
      <w:bookmarkStart w:id="4112" w:name="_Toc517360296"/>
      <w:bookmarkStart w:id="4113" w:name="_Toc516739674"/>
      <w:bookmarkStart w:id="4114" w:name="_Toc516751587"/>
      <w:bookmarkStart w:id="4115" w:name="_Toc516825675"/>
      <w:bookmarkStart w:id="4116" w:name="_Toc516826233"/>
      <w:bookmarkStart w:id="4117" w:name="_Toc516837553"/>
      <w:bookmarkStart w:id="4118" w:name="_Toc516838112"/>
      <w:bookmarkStart w:id="4119" w:name="_Toc516838671"/>
      <w:bookmarkStart w:id="4120" w:name="_Toc516839231"/>
      <w:bookmarkStart w:id="4121" w:name="_Toc517173327"/>
      <w:bookmarkStart w:id="4122" w:name="_Toc517175001"/>
      <w:bookmarkStart w:id="4123" w:name="_Toc517175588"/>
      <w:bookmarkStart w:id="4124" w:name="_Toc517176176"/>
      <w:bookmarkStart w:id="4125" w:name="_Toc517337501"/>
      <w:bookmarkStart w:id="4126" w:name="_Toc517360297"/>
      <w:bookmarkStart w:id="4127" w:name="_Toc516739675"/>
      <w:bookmarkStart w:id="4128" w:name="_Toc516751588"/>
      <w:bookmarkStart w:id="4129" w:name="_Toc516825676"/>
      <w:bookmarkStart w:id="4130" w:name="_Toc516826234"/>
      <w:bookmarkStart w:id="4131" w:name="_Toc516837554"/>
      <w:bookmarkStart w:id="4132" w:name="_Toc516838113"/>
      <w:bookmarkStart w:id="4133" w:name="_Toc516838672"/>
      <w:bookmarkStart w:id="4134" w:name="_Toc516839232"/>
      <w:bookmarkStart w:id="4135" w:name="_Toc517173328"/>
      <w:bookmarkStart w:id="4136" w:name="_Toc517175002"/>
      <w:bookmarkStart w:id="4137" w:name="_Toc517175589"/>
      <w:bookmarkStart w:id="4138" w:name="_Toc517176177"/>
      <w:bookmarkStart w:id="4139" w:name="_Toc517337502"/>
      <w:bookmarkStart w:id="4140" w:name="_Toc517360298"/>
      <w:bookmarkStart w:id="4141" w:name="_Toc516739676"/>
      <w:bookmarkStart w:id="4142" w:name="_Toc516751589"/>
      <w:bookmarkStart w:id="4143" w:name="_Toc516825677"/>
      <w:bookmarkStart w:id="4144" w:name="_Toc516826235"/>
      <w:bookmarkStart w:id="4145" w:name="_Toc516837555"/>
      <w:bookmarkStart w:id="4146" w:name="_Toc516838114"/>
      <w:bookmarkStart w:id="4147" w:name="_Toc516838673"/>
      <w:bookmarkStart w:id="4148" w:name="_Toc516839233"/>
      <w:bookmarkStart w:id="4149" w:name="_Toc517173329"/>
      <w:bookmarkStart w:id="4150" w:name="_Toc517175003"/>
      <w:bookmarkStart w:id="4151" w:name="_Toc517175590"/>
      <w:bookmarkStart w:id="4152" w:name="_Toc517176178"/>
      <w:bookmarkStart w:id="4153" w:name="_Toc517337503"/>
      <w:bookmarkStart w:id="4154" w:name="_Toc517360299"/>
      <w:bookmarkStart w:id="4155" w:name="_Toc74557675"/>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r>
        <w:t xml:space="preserve">VI.3.7 </w:t>
      </w:r>
      <w:r w:rsidR="00892FFC">
        <w:t xml:space="preserve">L’enquête commodo et </w:t>
      </w:r>
      <w:proofErr w:type="spellStart"/>
      <w:r w:rsidR="00892FFC">
        <w:t>incommodo</w:t>
      </w:r>
      <w:bookmarkEnd w:id="4155"/>
      <w:proofErr w:type="spellEnd"/>
    </w:p>
    <w:p w14:paraId="5105F8C6" w14:textId="6D1E8923"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En ce qui concerne l'obligation de procéder à l'enquête commodo et </w:t>
      </w:r>
      <w:proofErr w:type="spellStart"/>
      <w:r w:rsidRPr="00DA6BD2">
        <w:rPr>
          <w:rFonts w:asciiTheme="minorHAnsi" w:hAnsiTheme="minorHAnsi" w:cs="Calibri Light"/>
        </w:rPr>
        <w:t>incommodo</w:t>
      </w:r>
      <w:proofErr w:type="spellEnd"/>
      <w:r w:rsidRPr="00DA6BD2">
        <w:rPr>
          <w:rFonts w:asciiTheme="minorHAnsi" w:hAnsiTheme="minorHAnsi" w:cs="Calibri Light"/>
        </w:rPr>
        <w:t>, cette formalité n'est pas une formalité obligatoire à l'adoption d'un règlement-</w:t>
      </w:r>
      <w:r w:rsidRPr="00892FFC">
        <w:rPr>
          <w:rFonts w:asciiTheme="minorHAnsi" w:hAnsiTheme="minorHAnsi" w:cs="Calibri Light"/>
        </w:rPr>
        <w:t>taxe</w:t>
      </w:r>
      <w:r w:rsidR="004B213F">
        <w:rPr>
          <w:rFonts w:asciiTheme="minorHAnsi" w:hAnsiTheme="minorHAnsi" w:cs="Calibri Light"/>
        </w:rPr>
        <w:t xml:space="preserve"> </w:t>
      </w:r>
      <w:r w:rsidR="00321916">
        <w:rPr>
          <w:rFonts w:asciiTheme="minorHAnsi" w:hAnsiTheme="minorHAnsi" w:cs="Calibri Light"/>
        </w:rPr>
        <w:t>e</w:t>
      </w:r>
      <w:r w:rsidRPr="00E063FD">
        <w:rPr>
          <w:rFonts w:asciiTheme="minorHAnsi" w:hAnsiTheme="minorHAnsi" w:cs="Calibri Light"/>
        </w:rPr>
        <w:t>t</w:t>
      </w:r>
      <w:r w:rsidRPr="00DA6BD2">
        <w:rPr>
          <w:rFonts w:asciiTheme="minorHAnsi" w:hAnsiTheme="minorHAnsi" w:cs="Calibri Light"/>
        </w:rPr>
        <w:t xml:space="preserve"> ne dispense pas la commune des formalités de publication de son règlement au sens des articles L 1133-1 à 3 du CDLD.</w:t>
      </w:r>
    </w:p>
    <w:p w14:paraId="4F15343C" w14:textId="77777777" w:rsidR="00434194" w:rsidRDefault="00434194" w:rsidP="00E063FD">
      <w:pPr>
        <w:spacing w:before="120"/>
        <w:jc w:val="both"/>
        <w:textAlignment w:val="baseline"/>
        <w:rPr>
          <w:rFonts w:asciiTheme="minorHAnsi" w:hAnsiTheme="minorHAnsi" w:cs="Calibri Light"/>
        </w:rPr>
      </w:pPr>
    </w:p>
    <w:p w14:paraId="6D25A9E8" w14:textId="018A39E7" w:rsidR="00892FFC" w:rsidRPr="00DA6BD2" w:rsidRDefault="008D5D16" w:rsidP="00256E9F">
      <w:pPr>
        <w:pStyle w:val="Sam3"/>
      </w:pPr>
      <w:bookmarkStart w:id="4156" w:name="_Toc74557676"/>
      <w:r>
        <w:t xml:space="preserve">VI.3.8 </w:t>
      </w:r>
      <w:r w:rsidR="00892FFC">
        <w:t>La consignation</w:t>
      </w:r>
      <w:bookmarkEnd w:id="4156"/>
    </w:p>
    <w:p w14:paraId="58F40B49" w14:textId="1E0682F0" w:rsidR="009B153C" w:rsidRDefault="009B153C" w:rsidP="00E063FD">
      <w:pPr>
        <w:spacing w:before="120"/>
        <w:jc w:val="both"/>
        <w:textAlignment w:val="baseline"/>
        <w:rPr>
          <w:rFonts w:asciiTheme="minorHAnsi" w:hAnsiTheme="minorHAnsi" w:cs="Calibri Light"/>
          <w:spacing w:val="-1"/>
        </w:rPr>
      </w:pPr>
      <w:bookmarkStart w:id="4157" w:name="_Hlk38964584"/>
      <w:r w:rsidRPr="00E063FD">
        <w:rPr>
          <w:rFonts w:asciiTheme="minorHAnsi" w:hAnsiTheme="minorHAnsi" w:cs="Calibri Light"/>
          <w:spacing w:val="-1"/>
        </w:rPr>
        <w:t>En</w:t>
      </w:r>
      <w:r w:rsidRPr="00892FFC">
        <w:rPr>
          <w:rFonts w:asciiTheme="minorHAnsi" w:hAnsiTheme="minorHAnsi" w:cs="Calibri Light"/>
          <w:spacing w:val="-1"/>
        </w:rPr>
        <w:t xml:space="preserve"> matière </w:t>
      </w:r>
      <w:r w:rsidR="004D6C36">
        <w:rPr>
          <w:rFonts w:asciiTheme="minorHAnsi" w:hAnsiTheme="minorHAnsi" w:cs="Calibri Light"/>
          <w:spacing w:val="-1"/>
        </w:rPr>
        <w:t>de taxe</w:t>
      </w:r>
      <w:r w:rsidRPr="00892FFC">
        <w:rPr>
          <w:rFonts w:asciiTheme="minorHAnsi" w:hAnsiTheme="minorHAnsi" w:cs="Calibri Light"/>
          <w:spacing w:val="-1"/>
        </w:rPr>
        <w:t xml:space="preserve">, la consignation </w:t>
      </w:r>
      <w:r w:rsidR="0003491B">
        <w:rPr>
          <w:rFonts w:asciiTheme="minorHAnsi" w:hAnsiTheme="minorHAnsi" w:cs="Calibri Light"/>
          <w:spacing w:val="-1"/>
        </w:rPr>
        <w:t xml:space="preserve">du montant de la taxe à un moment où celle-ci n’est pas encore exigible </w:t>
      </w:r>
      <w:r w:rsidRPr="00892FFC">
        <w:rPr>
          <w:rFonts w:asciiTheme="minorHAnsi" w:hAnsiTheme="minorHAnsi" w:cs="Calibri Light"/>
          <w:spacing w:val="-1"/>
        </w:rPr>
        <w:t xml:space="preserve">est interdite. </w:t>
      </w:r>
      <w:bookmarkEnd w:id="4157"/>
      <w:r w:rsidRPr="00892FFC">
        <w:rPr>
          <w:rFonts w:asciiTheme="minorHAnsi" w:hAnsiTheme="minorHAnsi" w:cs="Calibri Light"/>
          <w:spacing w:val="-1"/>
        </w:rPr>
        <w:t xml:space="preserve">En effet, l'article L3321-3 du </w:t>
      </w:r>
      <w:r w:rsidR="002F2849">
        <w:rPr>
          <w:rFonts w:asciiTheme="minorHAnsi" w:hAnsiTheme="minorHAnsi" w:cs="Calibri Light"/>
          <w:spacing w:val="-1"/>
        </w:rPr>
        <w:t>CDLD</w:t>
      </w:r>
      <w:r w:rsidRPr="00892FFC">
        <w:rPr>
          <w:rFonts w:asciiTheme="minorHAnsi" w:hAnsiTheme="minorHAnsi" w:cs="Calibri Light"/>
          <w:spacing w:val="-1"/>
        </w:rPr>
        <w:t xml:space="preserve"> n'habilite pas</w:t>
      </w:r>
      <w:r w:rsidRPr="00DA6BD2">
        <w:rPr>
          <w:rFonts w:asciiTheme="minorHAnsi" w:hAnsiTheme="minorHAnsi" w:cs="Calibri Light"/>
          <w:spacing w:val="-1"/>
        </w:rPr>
        <w:t xml:space="preserve"> les communes à obliger le contribuable à débourser le montant de la taxe à un moment où celle-ci n'est pas encore exigible au sens du code et aucune autre disposition de droit positif ne prévoit la possibilité de faire consigner un impôt communal avant que celui-ci ne soit dû par le redevable. </w:t>
      </w:r>
    </w:p>
    <w:p w14:paraId="24D83DCE" w14:textId="77777777" w:rsidR="0003491B" w:rsidRPr="0003491B" w:rsidRDefault="0003491B" w:rsidP="0003491B">
      <w:pPr>
        <w:spacing w:before="120"/>
        <w:jc w:val="both"/>
        <w:textAlignment w:val="baseline"/>
        <w:rPr>
          <w:rFonts w:asciiTheme="minorHAnsi" w:hAnsiTheme="minorHAnsi" w:cs="Calibri Light"/>
          <w:spacing w:val="-1"/>
        </w:rPr>
      </w:pPr>
      <w:r w:rsidRPr="0003491B">
        <w:rPr>
          <w:rFonts w:asciiTheme="minorHAnsi" w:hAnsiTheme="minorHAnsi" w:cs="Calibri Light"/>
          <w:spacing w:val="-1"/>
        </w:rPr>
        <w:t xml:space="preserve">Ainsi, par exemple, dans le cas d'une taxe au comptant sur la délivrance de documents administratifs, la taxe n'est exigible qu'au moment de l'accomplissement du fait taxable (à savoir, dans cette hypothèse, la délivrance du document) ou au moment de l'enrôlement de la taxe s'il s'avère que la perception ne peut être effectuée au comptant. </w:t>
      </w:r>
    </w:p>
    <w:p w14:paraId="3018A9D7" w14:textId="4F007E01" w:rsidR="00434194" w:rsidRDefault="0003491B" w:rsidP="00E063FD">
      <w:pPr>
        <w:spacing w:before="120"/>
        <w:jc w:val="both"/>
        <w:textAlignment w:val="baseline"/>
        <w:rPr>
          <w:rFonts w:asciiTheme="minorHAnsi" w:hAnsiTheme="minorHAnsi" w:cs="Calibri Light"/>
          <w:spacing w:val="-1"/>
        </w:rPr>
      </w:pPr>
      <w:r w:rsidRPr="0003491B">
        <w:rPr>
          <w:rFonts w:asciiTheme="minorHAnsi" w:hAnsiTheme="minorHAnsi" w:cs="Calibri Light"/>
          <w:spacing w:val="-1"/>
        </w:rPr>
        <w:t>Dès lors, si le Conseil communal prévoit dans son règlement-taxe une consignation du montant de la taxe au moment de l'introduction de la demande, lorsque ce document ne peut être délivré immédiatement, il transgresserait le principe de légalité en vertu duquel aucune autorité ne peut agir et prendre des décisions que si cette action ou cette décision peuvent s'inscrire dans le cadre de lois existantes ou de normes de droit inférieur existantes et régulièrement arrêtées.</w:t>
      </w:r>
      <w:r w:rsidR="004B213F">
        <w:rPr>
          <w:rFonts w:asciiTheme="minorHAnsi" w:hAnsiTheme="minorHAnsi" w:cs="Calibri Light"/>
          <w:spacing w:val="-1"/>
        </w:rPr>
        <w:t xml:space="preserve"> </w:t>
      </w:r>
      <w:proofErr w:type="gramStart"/>
      <w:r w:rsidR="009B153C" w:rsidRPr="00DA6BD2">
        <w:rPr>
          <w:rFonts w:asciiTheme="minorHAnsi" w:hAnsiTheme="minorHAnsi" w:cs="Calibri Light"/>
          <w:spacing w:val="-1"/>
        </w:rPr>
        <w:t>Par contre</w:t>
      </w:r>
      <w:proofErr w:type="gramEnd"/>
      <w:r w:rsidR="009B153C" w:rsidRPr="00DA6BD2">
        <w:rPr>
          <w:rFonts w:asciiTheme="minorHAnsi" w:hAnsiTheme="minorHAnsi" w:cs="Calibri Light"/>
          <w:spacing w:val="-1"/>
        </w:rPr>
        <w:t xml:space="preserve">, </w:t>
      </w:r>
      <w:r>
        <w:rPr>
          <w:rFonts w:asciiTheme="minorHAnsi" w:hAnsiTheme="minorHAnsi" w:cs="Calibri Light"/>
          <w:spacing w:val="-1"/>
        </w:rPr>
        <w:t>en ce qui concerne les</w:t>
      </w:r>
      <w:r w:rsidR="009B153C" w:rsidRPr="00DA6BD2">
        <w:rPr>
          <w:rFonts w:asciiTheme="minorHAnsi" w:hAnsiTheme="minorHAnsi" w:cs="Calibri Light"/>
          <w:spacing w:val="-1"/>
        </w:rPr>
        <w:t xml:space="preserve"> redevances</w:t>
      </w:r>
      <w:r>
        <w:rPr>
          <w:rFonts w:asciiTheme="minorHAnsi" w:hAnsiTheme="minorHAnsi" w:cs="Calibri Light"/>
          <w:spacing w:val="-1"/>
        </w:rPr>
        <w:t>,</w:t>
      </w:r>
      <w:r w:rsidR="009B153C" w:rsidRPr="00DA6BD2">
        <w:rPr>
          <w:rFonts w:asciiTheme="minorHAnsi" w:hAnsiTheme="minorHAnsi" w:cs="Calibri Light"/>
          <w:spacing w:val="-1"/>
        </w:rPr>
        <w:t xml:space="preserve"> la consignation est envisageable</w:t>
      </w:r>
      <w:r>
        <w:rPr>
          <w:rFonts w:asciiTheme="minorHAnsi" w:hAnsiTheme="minorHAnsi" w:cs="Calibri Light"/>
          <w:spacing w:val="-1"/>
        </w:rPr>
        <w:t xml:space="preserve"> étant donné que cette matière relève du droit civil</w:t>
      </w:r>
      <w:r w:rsidR="009B153C" w:rsidRPr="00DA6BD2">
        <w:rPr>
          <w:rFonts w:asciiTheme="minorHAnsi" w:hAnsiTheme="minorHAnsi" w:cs="Calibri Light"/>
          <w:spacing w:val="-1"/>
        </w:rPr>
        <w:t>.</w:t>
      </w:r>
      <w:bookmarkStart w:id="4158" w:name="_Toc512523765"/>
      <w:bookmarkStart w:id="4159" w:name="_Toc512525455"/>
      <w:bookmarkStart w:id="4160" w:name="_Toc515896762"/>
    </w:p>
    <w:p w14:paraId="34D54E6D" w14:textId="77777777" w:rsidR="00541AFA" w:rsidRDefault="00541AFA" w:rsidP="00E063FD">
      <w:pPr>
        <w:spacing w:before="120"/>
        <w:jc w:val="both"/>
        <w:textAlignment w:val="baseline"/>
      </w:pPr>
    </w:p>
    <w:p w14:paraId="36D4F94C" w14:textId="77777777" w:rsidR="009B153C" w:rsidRPr="00DA6BD2" w:rsidRDefault="009B153C" w:rsidP="00581DAD">
      <w:pPr>
        <w:pStyle w:val="Sam2"/>
      </w:pPr>
      <w:bookmarkStart w:id="4161" w:name="_Toc74557677"/>
      <w:r w:rsidRPr="00DA6BD2">
        <w:t>Recommandations particulières</w:t>
      </w:r>
      <w:bookmarkEnd w:id="4158"/>
      <w:bookmarkEnd w:id="4159"/>
      <w:bookmarkEnd w:id="4160"/>
      <w:bookmarkEnd w:id="4161"/>
      <w:r w:rsidRPr="00DA6BD2">
        <w:t xml:space="preserve"> </w:t>
      </w:r>
    </w:p>
    <w:p w14:paraId="236CA94F" w14:textId="0E648F67" w:rsidR="009B153C" w:rsidRPr="00DA6BD2" w:rsidRDefault="008D5D16" w:rsidP="00256E9F">
      <w:pPr>
        <w:pStyle w:val="Sam3"/>
      </w:pPr>
      <w:bookmarkStart w:id="4162" w:name="_Toc512523766"/>
      <w:bookmarkStart w:id="4163" w:name="_Toc512525456"/>
      <w:bookmarkStart w:id="4164" w:name="_Toc515896763"/>
      <w:bookmarkStart w:id="4165" w:name="_Toc74557678"/>
      <w:r>
        <w:t xml:space="preserve">VI.4.1 </w:t>
      </w:r>
      <w:r w:rsidR="009B153C" w:rsidRPr="00DA6BD2">
        <w:t>Perception des recettes</w:t>
      </w:r>
      <w:bookmarkEnd w:id="4162"/>
      <w:bookmarkEnd w:id="4163"/>
      <w:bookmarkEnd w:id="4164"/>
      <w:bookmarkEnd w:id="4165"/>
    </w:p>
    <w:p w14:paraId="3B2A1982" w14:textId="28DD089D"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En vertu de</w:t>
      </w:r>
      <w:r w:rsidR="003A6785">
        <w:rPr>
          <w:rFonts w:asciiTheme="minorHAnsi" w:hAnsiTheme="minorHAnsi" w:cs="Calibri Light"/>
        </w:rPr>
        <w:t>s articles L3321-9 à 12 du CDLD</w:t>
      </w:r>
      <w:r w:rsidRPr="00DA6BD2">
        <w:rPr>
          <w:rFonts w:asciiTheme="minorHAnsi" w:hAnsiTheme="minorHAnsi" w:cs="Calibri Light"/>
        </w:rPr>
        <w:t>, le Collège communal</w:t>
      </w:r>
      <w:r w:rsidR="002F2849">
        <w:rPr>
          <w:rStyle w:val="Appelnotedebasdep"/>
          <w:rFonts w:asciiTheme="minorHAnsi" w:hAnsiTheme="minorHAnsi" w:cs="Calibri Light"/>
        </w:rPr>
        <w:footnoteReference w:id="74"/>
      </w:r>
      <w:r w:rsidR="002F2849">
        <w:rPr>
          <w:rFonts w:asciiTheme="minorHAnsi" w:hAnsiTheme="minorHAnsi" w:cs="Calibri Light"/>
        </w:rPr>
        <w:t xml:space="preserve"> </w:t>
      </w:r>
      <w:r w:rsidRPr="00DA6BD2">
        <w:rPr>
          <w:rFonts w:asciiTheme="minorHAnsi" w:hAnsiTheme="minorHAnsi" w:cs="Calibri Light"/>
        </w:rPr>
        <w:t xml:space="preserve">est seul compétent, en tant qu'autorité administrative, pour statuer, au premier degré, sur les réclamations concernant </w:t>
      </w:r>
      <w:r w:rsidRPr="00DA6BD2">
        <w:rPr>
          <w:rFonts w:asciiTheme="minorHAnsi" w:hAnsiTheme="minorHAnsi" w:cs="Calibri Light"/>
        </w:rPr>
        <w:lastRenderedPageBreak/>
        <w:t xml:space="preserve">une taxe communale. La décision prise peut faire l'objet d'un recours devant le </w:t>
      </w:r>
      <w:r w:rsidR="002F2849">
        <w:rPr>
          <w:rFonts w:asciiTheme="minorHAnsi" w:hAnsiTheme="minorHAnsi" w:cs="Calibri Light"/>
        </w:rPr>
        <w:t>T</w:t>
      </w:r>
      <w:r w:rsidRPr="00DA6BD2">
        <w:rPr>
          <w:rFonts w:asciiTheme="minorHAnsi" w:hAnsiTheme="minorHAnsi" w:cs="Calibri Light"/>
        </w:rPr>
        <w:t>ribunal de première instance dans le ressort duquel la taxe a été établie.</w:t>
      </w:r>
    </w:p>
    <w:p w14:paraId="5921571C" w14:textId="2E2332AF" w:rsidR="002F2849"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règles de procédure à suivre dans le cadre de ce contentieux fiscal sont régies par l'arrêté royal du 12 avril 1999</w:t>
      </w:r>
      <w:r w:rsidR="002F2849">
        <w:rPr>
          <w:rStyle w:val="Appelnotedebasdep"/>
          <w:rFonts w:asciiTheme="minorHAnsi" w:hAnsiTheme="minorHAnsi" w:cs="Calibri Light"/>
        </w:rPr>
        <w:footnoteReference w:id="75"/>
      </w:r>
      <w:r w:rsidRPr="00DA6BD2">
        <w:rPr>
          <w:rFonts w:asciiTheme="minorHAnsi" w:hAnsiTheme="minorHAnsi" w:cs="Calibri Light"/>
        </w:rPr>
        <w:t xml:space="preserve"> déterminant la procédure devant le </w:t>
      </w:r>
      <w:r w:rsidR="003A6785">
        <w:rPr>
          <w:rFonts w:asciiTheme="minorHAnsi" w:hAnsiTheme="minorHAnsi" w:cs="Calibri Light"/>
        </w:rPr>
        <w:t>g</w:t>
      </w:r>
      <w:r w:rsidR="007B1A99">
        <w:rPr>
          <w:rFonts w:asciiTheme="minorHAnsi" w:hAnsiTheme="minorHAnsi" w:cs="Calibri Light"/>
        </w:rPr>
        <w:t xml:space="preserve">ouverneur (aujourd’hui </w:t>
      </w:r>
      <w:r w:rsidRPr="00DA6BD2">
        <w:rPr>
          <w:rFonts w:asciiTheme="minorHAnsi" w:hAnsiTheme="minorHAnsi" w:cs="Calibri Light"/>
        </w:rPr>
        <w:t>Collège</w:t>
      </w:r>
      <w:r w:rsidR="007B1A99">
        <w:rPr>
          <w:rFonts w:asciiTheme="minorHAnsi" w:hAnsiTheme="minorHAnsi" w:cs="Calibri Light"/>
        </w:rPr>
        <w:t xml:space="preserve"> provincial) ou devant le Collège des bourgmestres et échevins (aujourd’hui Collège communal)</w:t>
      </w:r>
      <w:r w:rsidRPr="00DA6BD2">
        <w:rPr>
          <w:rFonts w:asciiTheme="minorHAnsi" w:hAnsiTheme="minorHAnsi" w:cs="Calibri Light"/>
        </w:rPr>
        <w:t xml:space="preserve"> en matière de réclamation contre </w:t>
      </w:r>
      <w:r w:rsidR="007B1A99">
        <w:rPr>
          <w:rFonts w:asciiTheme="minorHAnsi" w:hAnsiTheme="minorHAnsi" w:cs="Calibri Light"/>
        </w:rPr>
        <w:t xml:space="preserve">une imposition provinciale ou </w:t>
      </w:r>
      <w:r w:rsidRPr="00DA6BD2">
        <w:rPr>
          <w:rFonts w:asciiTheme="minorHAnsi" w:hAnsiTheme="minorHAnsi" w:cs="Calibri Light"/>
        </w:rPr>
        <w:t>communale</w:t>
      </w:r>
      <w:r w:rsidR="002F2849">
        <w:rPr>
          <w:rFonts w:asciiTheme="minorHAnsi" w:hAnsiTheme="minorHAnsi" w:cs="Calibri Light"/>
        </w:rPr>
        <w:t>.</w:t>
      </w:r>
    </w:p>
    <w:p w14:paraId="6F17A091" w14:textId="42A0273B" w:rsidR="009B153C" w:rsidRPr="00DA6BD2" w:rsidRDefault="00577F11" w:rsidP="00E063FD">
      <w:pPr>
        <w:spacing w:before="120"/>
        <w:jc w:val="both"/>
        <w:textAlignment w:val="baseline"/>
        <w:rPr>
          <w:rFonts w:asciiTheme="minorHAnsi" w:hAnsiTheme="minorHAnsi" w:cs="Calibri Light"/>
        </w:rPr>
      </w:pPr>
      <w:r>
        <w:rPr>
          <w:rFonts w:asciiTheme="minorHAnsi" w:hAnsiTheme="minorHAnsi" w:cs="Calibri Light"/>
        </w:rPr>
        <w:t>La</w:t>
      </w:r>
      <w:r w:rsidR="009B153C" w:rsidRPr="00DA6BD2">
        <w:rPr>
          <w:rFonts w:asciiTheme="minorHAnsi" w:hAnsiTheme="minorHAnsi" w:cs="Calibri Light"/>
        </w:rPr>
        <w:t xml:space="preserve"> circulaire</w:t>
      </w:r>
      <w:r>
        <w:rPr>
          <w:rFonts w:asciiTheme="minorHAnsi" w:hAnsiTheme="minorHAnsi" w:cs="Calibri Light"/>
        </w:rPr>
        <w:t xml:space="preserve"> du 10 mai 2000</w:t>
      </w:r>
      <w:r w:rsidR="00720911">
        <w:rPr>
          <w:rStyle w:val="Appelnotedebasdep"/>
          <w:rFonts w:asciiTheme="minorHAnsi" w:hAnsiTheme="minorHAnsi" w:cs="Calibri Light"/>
        </w:rPr>
        <w:footnoteReference w:id="76"/>
      </w:r>
      <w:r w:rsidR="009B153C" w:rsidRPr="00DA6BD2">
        <w:rPr>
          <w:rFonts w:asciiTheme="minorHAnsi" w:hAnsiTheme="minorHAnsi" w:cs="Calibri Light"/>
        </w:rPr>
        <w:t xml:space="preserve"> s'avère particulièrement utile pour guider les Collèges communaux dans leur rôle de première autorité de décision sur une réclamation fiscale au niveau communal.</w:t>
      </w:r>
    </w:p>
    <w:p w14:paraId="7877BAE1" w14:textId="150DE51E" w:rsidR="009B153C" w:rsidRPr="00DA6BD2" w:rsidRDefault="00C50CA5" w:rsidP="00E063FD">
      <w:pPr>
        <w:spacing w:before="120"/>
        <w:jc w:val="both"/>
        <w:textAlignment w:val="baseline"/>
        <w:rPr>
          <w:rFonts w:asciiTheme="minorHAnsi" w:hAnsiTheme="minorHAnsi" w:cs="Calibri Light"/>
          <w:strike/>
          <w:highlight w:val="yellow"/>
        </w:rPr>
      </w:pPr>
      <w:r>
        <w:rPr>
          <w:rFonts w:asciiTheme="minorHAnsi" w:hAnsiTheme="minorHAnsi" w:cs="Calibri Light"/>
        </w:rPr>
        <w:t>L</w:t>
      </w:r>
      <w:r w:rsidR="009B153C" w:rsidRPr="00DA6BD2">
        <w:rPr>
          <w:rFonts w:asciiTheme="minorHAnsi" w:hAnsiTheme="minorHAnsi" w:cs="Calibri Light"/>
        </w:rPr>
        <w:t xml:space="preserve">a Cour </w:t>
      </w:r>
      <w:r w:rsidR="00792F8A">
        <w:rPr>
          <w:rFonts w:asciiTheme="minorHAnsi" w:hAnsiTheme="minorHAnsi" w:cs="Calibri Light"/>
        </w:rPr>
        <w:t>Constitutionnelle</w:t>
      </w:r>
      <w:r>
        <w:rPr>
          <w:rStyle w:val="Appelnotedebasdep"/>
          <w:rFonts w:asciiTheme="minorHAnsi" w:hAnsiTheme="minorHAnsi" w:cs="Calibri Light"/>
        </w:rPr>
        <w:footnoteReference w:id="77"/>
      </w:r>
      <w:r w:rsidR="009B153C" w:rsidRPr="00DA6BD2">
        <w:rPr>
          <w:rFonts w:asciiTheme="minorHAnsi" w:hAnsiTheme="minorHAnsi" w:cs="Calibri Light"/>
        </w:rPr>
        <w:t xml:space="preserve"> prescrit qu'à défaut de décision du Collège communal</w:t>
      </w:r>
      <w:r>
        <w:rPr>
          <w:rFonts w:asciiTheme="minorHAnsi" w:hAnsiTheme="minorHAnsi" w:cs="Calibri Light"/>
        </w:rPr>
        <w:t>,</w:t>
      </w:r>
      <w:r w:rsidR="009B153C" w:rsidRPr="00DA6BD2">
        <w:rPr>
          <w:rFonts w:asciiTheme="minorHAnsi" w:hAnsiTheme="minorHAnsi" w:cs="Calibri Light"/>
        </w:rPr>
        <w:t xml:space="preserve"> la réclamation est réputée fondée. </w:t>
      </w:r>
    </w:p>
    <w:p w14:paraId="244952A2"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 Collège communal peut statuer même en dehors du délai de 6 mois et ce, aussi longtemps que le contribuable n'a pas porté le litige devant le juge compétent.</w:t>
      </w:r>
    </w:p>
    <w:p w14:paraId="2BF3E54C" w14:textId="0EC210B0" w:rsidR="00C32AF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présomption que la réclamation est réputée fondée ne lie pas le juge</w:t>
      </w:r>
      <w:r w:rsidR="00C50CA5">
        <w:rPr>
          <w:rFonts w:asciiTheme="minorHAnsi" w:hAnsiTheme="minorHAnsi" w:cs="Calibri Light"/>
        </w:rPr>
        <w:t>.</w:t>
      </w:r>
    </w:p>
    <w:p w14:paraId="4606E3F0" w14:textId="12CEF16A" w:rsidR="001174FA" w:rsidRDefault="001174FA" w:rsidP="00E063FD">
      <w:pPr>
        <w:spacing w:before="120"/>
        <w:jc w:val="both"/>
        <w:textAlignment w:val="baseline"/>
        <w:rPr>
          <w:rFonts w:asciiTheme="minorHAnsi" w:hAnsiTheme="minorHAnsi" w:cs="Calibri Light"/>
        </w:rPr>
      </w:pPr>
      <w:r w:rsidRPr="00256E9F">
        <w:rPr>
          <w:rFonts w:asciiTheme="minorHAnsi" w:hAnsiTheme="minorHAnsi" w:cs="Calibri Light"/>
          <w:b/>
          <w:bCs/>
        </w:rPr>
        <w:t>Concernant les redevances,</w:t>
      </w:r>
      <w:r>
        <w:rPr>
          <w:rFonts w:asciiTheme="minorHAnsi" w:hAnsiTheme="minorHAnsi" w:cs="Calibri Light"/>
        </w:rPr>
        <w:t xml:space="preserve"> </w:t>
      </w:r>
      <w:r w:rsidRPr="001174FA">
        <w:rPr>
          <w:rFonts w:asciiTheme="minorHAnsi" w:hAnsiTheme="minorHAnsi" w:cs="Calibri Light"/>
        </w:rPr>
        <w:t xml:space="preserve">la procédure </w:t>
      </w:r>
      <w:r>
        <w:rPr>
          <w:rFonts w:asciiTheme="minorHAnsi" w:hAnsiTheme="minorHAnsi" w:cs="Calibri Light"/>
        </w:rPr>
        <w:t xml:space="preserve">de </w:t>
      </w:r>
      <w:r w:rsidRPr="001174FA">
        <w:rPr>
          <w:rFonts w:asciiTheme="minorHAnsi" w:hAnsiTheme="minorHAnsi" w:cs="Calibri Light"/>
        </w:rPr>
        <w:t>réclamation n’est pas organisée par la loi</w:t>
      </w:r>
      <w:r>
        <w:rPr>
          <w:rFonts w:asciiTheme="minorHAnsi" w:hAnsiTheme="minorHAnsi" w:cs="Calibri Light"/>
        </w:rPr>
        <w:t xml:space="preserve">. Dès lors, </w:t>
      </w:r>
      <w:r w:rsidRPr="001174FA">
        <w:rPr>
          <w:rFonts w:asciiTheme="minorHAnsi" w:hAnsiTheme="minorHAnsi" w:cs="Calibri Light"/>
        </w:rPr>
        <w:t xml:space="preserve">il appartient au conseil communal d’insérer un tel point </w:t>
      </w:r>
      <w:r>
        <w:rPr>
          <w:rFonts w:asciiTheme="minorHAnsi" w:hAnsiTheme="minorHAnsi" w:cs="Calibri Light"/>
        </w:rPr>
        <w:t xml:space="preserve">de procédure </w:t>
      </w:r>
      <w:r w:rsidRPr="001174FA">
        <w:rPr>
          <w:rFonts w:asciiTheme="minorHAnsi" w:hAnsiTheme="minorHAnsi" w:cs="Calibri Light"/>
        </w:rPr>
        <w:t>dans ses règlements redevances et d’en définir les modalités (délai d’introduction, à qui elle doit être adressée, accusé de réception du collège délai pour statuer et transmission de la décision).</w:t>
      </w:r>
    </w:p>
    <w:p w14:paraId="10ABE69C" w14:textId="77777777" w:rsidR="00792F8A" w:rsidRDefault="00792F8A" w:rsidP="00E063FD">
      <w:pPr>
        <w:spacing w:before="120"/>
        <w:jc w:val="both"/>
        <w:textAlignment w:val="baseline"/>
        <w:rPr>
          <w:rFonts w:asciiTheme="minorHAnsi" w:hAnsiTheme="minorHAnsi" w:cs="Calibri Light"/>
        </w:rPr>
      </w:pPr>
    </w:p>
    <w:p w14:paraId="46B06349" w14:textId="511B6BD7" w:rsidR="009B153C" w:rsidRPr="00DA6BD2" w:rsidRDefault="008D5D16" w:rsidP="00256E9F">
      <w:pPr>
        <w:pStyle w:val="Sam3"/>
      </w:pPr>
      <w:bookmarkStart w:id="4166" w:name="_Toc74557679"/>
      <w:r>
        <w:t xml:space="preserve">VI.4.2 </w:t>
      </w:r>
      <w:bookmarkStart w:id="4167" w:name="_Toc8121769"/>
      <w:bookmarkStart w:id="4168" w:name="_Toc8129710"/>
      <w:bookmarkStart w:id="4169" w:name="_Toc512523767"/>
      <w:bookmarkStart w:id="4170" w:name="_Toc512525457"/>
      <w:bookmarkStart w:id="4171" w:name="_Toc515896764"/>
      <w:bookmarkEnd w:id="4167"/>
      <w:bookmarkEnd w:id="4168"/>
      <w:r w:rsidR="009B153C" w:rsidRPr="00DA6BD2">
        <w:t>Interdiction de lever certaines taxes</w:t>
      </w:r>
      <w:bookmarkEnd w:id="4166"/>
      <w:bookmarkEnd w:id="4169"/>
      <w:bookmarkEnd w:id="4170"/>
      <w:bookmarkEnd w:id="4171"/>
    </w:p>
    <w:p w14:paraId="77DDB6B7"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J'attire plus spécialement l'attention des mandataires communaux sur l'interdiction de lever :</w:t>
      </w:r>
    </w:p>
    <w:p w14:paraId="0F478DA3" w14:textId="2EE3253D" w:rsidR="009B153C" w:rsidRPr="008D7EB7" w:rsidRDefault="00792F8A" w:rsidP="008D7EB7">
      <w:pPr>
        <w:pStyle w:val="Paragraphedeliste"/>
        <w:numPr>
          <w:ilvl w:val="0"/>
          <w:numId w:val="151"/>
        </w:numPr>
        <w:tabs>
          <w:tab w:val="left" w:pos="-148"/>
          <w:tab w:val="left" w:pos="432"/>
        </w:tabs>
        <w:spacing w:before="120"/>
        <w:jc w:val="both"/>
        <w:textAlignment w:val="baseline"/>
        <w:rPr>
          <w:rFonts w:asciiTheme="minorHAnsi" w:hAnsiTheme="minorHAnsi" w:cs="Calibri Light"/>
        </w:rPr>
      </w:pPr>
      <w:proofErr w:type="gramStart"/>
      <w:r>
        <w:rPr>
          <w:rFonts w:asciiTheme="minorHAnsi" w:hAnsiTheme="minorHAnsi" w:cs="Calibri Light"/>
          <w:b/>
        </w:rPr>
        <w:t>u</w:t>
      </w:r>
      <w:r w:rsidR="009B153C" w:rsidRPr="008D7EB7">
        <w:rPr>
          <w:rFonts w:asciiTheme="minorHAnsi" w:hAnsiTheme="minorHAnsi" w:cs="Calibri Light"/>
          <w:b/>
        </w:rPr>
        <w:t>ne</w:t>
      </w:r>
      <w:proofErr w:type="gramEnd"/>
      <w:r w:rsidR="009B153C" w:rsidRPr="008D7EB7">
        <w:rPr>
          <w:rFonts w:asciiTheme="minorHAnsi" w:hAnsiTheme="minorHAnsi" w:cs="Calibri Light"/>
          <w:b/>
        </w:rPr>
        <w:t xml:space="preserve"> taxe sur les jeux et paris</w:t>
      </w:r>
      <w:r w:rsidR="009B153C" w:rsidRPr="008D7EB7">
        <w:rPr>
          <w:rFonts w:asciiTheme="minorHAnsi" w:hAnsiTheme="minorHAnsi" w:cs="Calibri Light"/>
        </w:rPr>
        <w:t xml:space="preserve"> </w:t>
      </w:r>
      <w:r w:rsidR="009B153C" w:rsidRPr="008D7EB7">
        <w:rPr>
          <w:rFonts w:asciiTheme="minorHAnsi" w:hAnsiTheme="minorHAnsi" w:cs="Calibri Light"/>
          <w:b/>
        </w:rPr>
        <w:t>autres que les courses de chevaux</w:t>
      </w:r>
      <w:r w:rsidR="009B153C" w:rsidRPr="008D7EB7">
        <w:rPr>
          <w:rFonts w:asciiTheme="minorHAnsi" w:hAnsiTheme="minorHAnsi" w:cs="Calibri Light"/>
        </w:rPr>
        <w:t xml:space="preserve"> (article 74 du Code des taxes assimilées aux impôts sur les revenus) ;</w:t>
      </w:r>
    </w:p>
    <w:p w14:paraId="4711659B" w14:textId="5B18591E" w:rsidR="009B153C" w:rsidRPr="008D7EB7" w:rsidRDefault="00792F8A" w:rsidP="008D7EB7">
      <w:pPr>
        <w:pStyle w:val="Paragraphedeliste"/>
        <w:numPr>
          <w:ilvl w:val="0"/>
          <w:numId w:val="151"/>
        </w:numPr>
        <w:tabs>
          <w:tab w:val="left" w:pos="-148"/>
          <w:tab w:val="left" w:pos="432"/>
        </w:tabs>
        <w:spacing w:before="120"/>
        <w:jc w:val="both"/>
        <w:textAlignment w:val="baseline"/>
        <w:rPr>
          <w:rFonts w:asciiTheme="minorHAnsi" w:hAnsiTheme="minorHAnsi" w:cs="Calibri Light"/>
        </w:rPr>
      </w:pPr>
      <w:proofErr w:type="gramStart"/>
      <w:r>
        <w:rPr>
          <w:rFonts w:asciiTheme="minorHAnsi" w:hAnsiTheme="minorHAnsi" w:cs="Calibri Light"/>
          <w:b/>
        </w:rPr>
        <w:t>u</w:t>
      </w:r>
      <w:r w:rsidR="009B153C" w:rsidRPr="008D7EB7">
        <w:rPr>
          <w:rFonts w:asciiTheme="minorHAnsi" w:hAnsiTheme="minorHAnsi" w:cs="Calibri Light"/>
          <w:b/>
        </w:rPr>
        <w:t>ne</w:t>
      </w:r>
      <w:proofErr w:type="gramEnd"/>
      <w:r w:rsidR="009B153C" w:rsidRPr="008D7EB7">
        <w:rPr>
          <w:rFonts w:asciiTheme="minorHAnsi" w:hAnsiTheme="minorHAnsi" w:cs="Calibri Light"/>
          <w:b/>
        </w:rPr>
        <w:t xml:space="preserve"> taxe sur les captages d'eau</w:t>
      </w:r>
      <w:r w:rsidR="00C42772" w:rsidRPr="008D7EB7">
        <w:rPr>
          <w:rStyle w:val="Appelnotedebasdep"/>
          <w:rFonts w:asciiTheme="minorHAnsi" w:hAnsiTheme="minorHAnsi" w:cs="Calibri Light"/>
          <w:bCs/>
        </w:rPr>
        <w:footnoteReference w:id="78"/>
      </w:r>
      <w:r w:rsidR="00C42772" w:rsidRPr="008D7EB7">
        <w:rPr>
          <w:rFonts w:asciiTheme="minorHAnsi" w:hAnsiTheme="minorHAnsi" w:cs="Calibri Light"/>
          <w:bCs/>
        </w:rPr>
        <w:t xml:space="preserve"> </w:t>
      </w:r>
      <w:r w:rsidR="009B153C" w:rsidRPr="008D7EB7">
        <w:rPr>
          <w:rFonts w:asciiTheme="minorHAnsi" w:hAnsiTheme="minorHAnsi" w:cs="Calibri Light"/>
        </w:rPr>
        <w:t>;</w:t>
      </w:r>
    </w:p>
    <w:p w14:paraId="0173B86A" w14:textId="501FCA6F" w:rsidR="009B153C" w:rsidRPr="008D7EB7" w:rsidRDefault="00792F8A" w:rsidP="008D7EB7">
      <w:pPr>
        <w:pStyle w:val="Paragraphedeliste"/>
        <w:numPr>
          <w:ilvl w:val="0"/>
          <w:numId w:val="151"/>
        </w:numPr>
        <w:tabs>
          <w:tab w:val="left" w:pos="-148"/>
          <w:tab w:val="left" w:pos="432"/>
        </w:tabs>
        <w:spacing w:before="120"/>
        <w:jc w:val="both"/>
        <w:textAlignment w:val="baseline"/>
        <w:rPr>
          <w:rFonts w:asciiTheme="minorHAnsi" w:hAnsiTheme="minorHAnsi" w:cs="Calibri Light"/>
        </w:rPr>
      </w:pPr>
      <w:proofErr w:type="gramStart"/>
      <w:r>
        <w:rPr>
          <w:rFonts w:asciiTheme="minorHAnsi" w:hAnsiTheme="minorHAnsi" w:cs="Calibri Light"/>
          <w:b/>
        </w:rPr>
        <w:t>u</w:t>
      </w:r>
      <w:r w:rsidR="009B153C" w:rsidRPr="008D7EB7">
        <w:rPr>
          <w:rFonts w:asciiTheme="minorHAnsi" w:hAnsiTheme="minorHAnsi" w:cs="Calibri Light"/>
          <w:b/>
        </w:rPr>
        <w:t>ne</w:t>
      </w:r>
      <w:proofErr w:type="gramEnd"/>
      <w:r w:rsidR="009B153C" w:rsidRPr="008D7EB7">
        <w:rPr>
          <w:rFonts w:asciiTheme="minorHAnsi" w:hAnsiTheme="minorHAnsi" w:cs="Calibri Light"/>
          <w:b/>
        </w:rPr>
        <w:t xml:space="preserve"> taxe sur les bois exploités</w:t>
      </w:r>
      <w:r w:rsidR="00C42772" w:rsidRPr="008D7EB7">
        <w:rPr>
          <w:rStyle w:val="Appelnotedebasdep"/>
          <w:rFonts w:asciiTheme="minorHAnsi" w:hAnsiTheme="minorHAnsi" w:cs="Calibri Light"/>
          <w:bCs/>
        </w:rPr>
        <w:footnoteReference w:id="79"/>
      </w:r>
      <w:r w:rsidR="009B153C" w:rsidRPr="008D7EB7">
        <w:rPr>
          <w:rFonts w:asciiTheme="minorHAnsi" w:hAnsiTheme="minorHAnsi" w:cs="Calibri Light"/>
        </w:rPr>
        <w:t xml:space="preserve"> ;</w:t>
      </w:r>
    </w:p>
    <w:p w14:paraId="4F766A76" w14:textId="7B3B4C76" w:rsidR="009B153C" w:rsidRPr="008D7EB7" w:rsidRDefault="008722FF" w:rsidP="008D7EB7">
      <w:pPr>
        <w:pStyle w:val="Paragraphedeliste"/>
        <w:numPr>
          <w:ilvl w:val="0"/>
          <w:numId w:val="151"/>
        </w:numPr>
        <w:tabs>
          <w:tab w:val="left" w:pos="-148"/>
          <w:tab w:val="left" w:pos="432"/>
        </w:tabs>
        <w:spacing w:before="120"/>
        <w:jc w:val="both"/>
        <w:textAlignment w:val="baseline"/>
        <w:rPr>
          <w:rFonts w:asciiTheme="minorHAnsi" w:hAnsiTheme="minorHAnsi" w:cs="Calibri Light"/>
        </w:rPr>
      </w:pPr>
      <w:proofErr w:type="gramStart"/>
      <w:r>
        <w:rPr>
          <w:rFonts w:asciiTheme="minorHAnsi" w:hAnsiTheme="minorHAnsi" w:cs="Calibri Light"/>
          <w:b/>
        </w:rPr>
        <w:t>u</w:t>
      </w:r>
      <w:r w:rsidR="009B153C" w:rsidRPr="008D7EB7">
        <w:rPr>
          <w:rFonts w:asciiTheme="minorHAnsi" w:hAnsiTheme="minorHAnsi" w:cs="Calibri Light"/>
          <w:b/>
        </w:rPr>
        <w:t>ne</w:t>
      </w:r>
      <w:proofErr w:type="gramEnd"/>
      <w:r w:rsidR="009B153C" w:rsidRPr="008D7EB7">
        <w:rPr>
          <w:rFonts w:asciiTheme="minorHAnsi" w:hAnsiTheme="minorHAnsi" w:cs="Calibri Light"/>
          <w:b/>
        </w:rPr>
        <w:t xml:space="preserve"> taxe sur la distribution des annuaires téléphoniques officiels</w:t>
      </w:r>
      <w:r w:rsidR="00C42772" w:rsidRPr="008D7EB7">
        <w:rPr>
          <w:rStyle w:val="Appelnotedebasdep"/>
          <w:rFonts w:asciiTheme="minorHAnsi" w:hAnsiTheme="minorHAnsi" w:cs="Calibri Light"/>
          <w:bCs/>
        </w:rPr>
        <w:footnoteReference w:id="80"/>
      </w:r>
      <w:r w:rsidR="009B153C" w:rsidRPr="008D7EB7">
        <w:rPr>
          <w:rFonts w:asciiTheme="minorHAnsi" w:hAnsiTheme="minorHAnsi" w:cs="Calibri Light"/>
        </w:rPr>
        <w:t xml:space="preserve"> ;</w:t>
      </w:r>
    </w:p>
    <w:p w14:paraId="0CDF144D" w14:textId="01DA6767" w:rsidR="009B153C" w:rsidRPr="008D7EB7" w:rsidRDefault="00792F8A" w:rsidP="008D7EB7">
      <w:pPr>
        <w:pStyle w:val="Paragraphedeliste"/>
        <w:numPr>
          <w:ilvl w:val="0"/>
          <w:numId w:val="151"/>
        </w:numPr>
        <w:tabs>
          <w:tab w:val="left" w:pos="-148"/>
          <w:tab w:val="left" w:pos="432"/>
        </w:tabs>
        <w:spacing w:before="120"/>
        <w:jc w:val="both"/>
        <w:textAlignment w:val="baseline"/>
        <w:rPr>
          <w:rFonts w:asciiTheme="minorHAnsi" w:hAnsiTheme="minorHAnsi" w:cs="Calibri Light"/>
        </w:rPr>
      </w:pPr>
      <w:proofErr w:type="gramStart"/>
      <w:r>
        <w:rPr>
          <w:rFonts w:asciiTheme="minorHAnsi" w:hAnsiTheme="minorHAnsi" w:cs="Calibri Light"/>
          <w:b/>
        </w:rPr>
        <w:t>u</w:t>
      </w:r>
      <w:r w:rsidR="009B153C" w:rsidRPr="008D7EB7">
        <w:rPr>
          <w:rFonts w:asciiTheme="minorHAnsi" w:hAnsiTheme="minorHAnsi" w:cs="Calibri Light"/>
          <w:b/>
        </w:rPr>
        <w:t>ne</w:t>
      </w:r>
      <w:proofErr w:type="gramEnd"/>
      <w:r w:rsidR="009B153C" w:rsidRPr="008D7EB7">
        <w:rPr>
          <w:rFonts w:asciiTheme="minorHAnsi" w:hAnsiTheme="minorHAnsi" w:cs="Calibri Light"/>
          <w:b/>
        </w:rPr>
        <w:t xml:space="preserve"> taxe sur les antennes paraboliques</w:t>
      </w:r>
      <w:r w:rsidR="004B213F" w:rsidRPr="008D7EB7">
        <w:rPr>
          <w:rStyle w:val="Appelnotedebasdep"/>
          <w:rFonts w:asciiTheme="minorHAnsi" w:hAnsiTheme="minorHAnsi" w:cs="Calibri Light"/>
          <w:bCs/>
        </w:rPr>
        <w:footnoteReference w:id="81"/>
      </w:r>
      <w:r w:rsidR="003A6785" w:rsidRPr="008D7EB7">
        <w:rPr>
          <w:rFonts w:asciiTheme="minorHAnsi" w:hAnsiTheme="minorHAnsi" w:cs="Calibri Light"/>
        </w:rPr>
        <w:t> ;</w:t>
      </w:r>
    </w:p>
    <w:p w14:paraId="651A8E56" w14:textId="32BD9204" w:rsidR="009B153C" w:rsidRPr="008D7EB7" w:rsidRDefault="00792F8A" w:rsidP="008D7EB7">
      <w:pPr>
        <w:pStyle w:val="Paragraphedeliste"/>
        <w:numPr>
          <w:ilvl w:val="0"/>
          <w:numId w:val="151"/>
        </w:numPr>
        <w:tabs>
          <w:tab w:val="left" w:pos="-148"/>
          <w:tab w:val="left" w:pos="432"/>
        </w:tabs>
        <w:spacing w:before="120"/>
        <w:jc w:val="both"/>
        <w:textAlignment w:val="baseline"/>
        <w:rPr>
          <w:rFonts w:asciiTheme="minorHAnsi" w:hAnsiTheme="minorHAnsi" w:cs="Calibri Light"/>
        </w:rPr>
      </w:pPr>
      <w:proofErr w:type="gramStart"/>
      <w:r>
        <w:rPr>
          <w:rFonts w:asciiTheme="minorHAnsi" w:hAnsiTheme="minorHAnsi" w:cs="Calibri Light"/>
          <w:b/>
        </w:rPr>
        <w:t>u</w:t>
      </w:r>
      <w:r w:rsidR="009B153C" w:rsidRPr="008D7EB7">
        <w:rPr>
          <w:rFonts w:asciiTheme="minorHAnsi" w:hAnsiTheme="minorHAnsi" w:cs="Calibri Light"/>
          <w:b/>
        </w:rPr>
        <w:t>ne</w:t>
      </w:r>
      <w:proofErr w:type="gramEnd"/>
      <w:r w:rsidR="009B153C" w:rsidRPr="008D7EB7">
        <w:rPr>
          <w:rFonts w:asciiTheme="minorHAnsi" w:hAnsiTheme="minorHAnsi" w:cs="Calibri Light"/>
          <w:b/>
        </w:rPr>
        <w:t xml:space="preserve"> taxe indirecte sur les mines, minières et carrières</w:t>
      </w:r>
      <w:r w:rsidR="00C42772" w:rsidRPr="008D7EB7">
        <w:rPr>
          <w:rStyle w:val="Appelnotedebasdep"/>
          <w:rFonts w:asciiTheme="minorHAnsi" w:hAnsiTheme="minorHAnsi" w:cs="Calibri Light"/>
          <w:bCs/>
        </w:rPr>
        <w:footnoteReference w:id="82"/>
      </w:r>
      <w:r w:rsidR="009B153C" w:rsidRPr="008D7EB7">
        <w:rPr>
          <w:rFonts w:asciiTheme="minorHAnsi" w:hAnsiTheme="minorHAnsi" w:cs="Calibri Light"/>
        </w:rPr>
        <w:t>.</w:t>
      </w:r>
    </w:p>
    <w:p w14:paraId="43554E82" w14:textId="76C6C713" w:rsidR="00434194" w:rsidRDefault="00434194" w:rsidP="00434194">
      <w:pPr>
        <w:tabs>
          <w:tab w:val="left" w:pos="-148"/>
          <w:tab w:val="left" w:pos="432"/>
        </w:tabs>
        <w:spacing w:before="120"/>
        <w:jc w:val="both"/>
        <w:textAlignment w:val="baseline"/>
        <w:rPr>
          <w:rFonts w:asciiTheme="minorHAnsi" w:hAnsiTheme="minorHAnsi" w:cs="Calibri Light"/>
        </w:rPr>
      </w:pPr>
    </w:p>
    <w:p w14:paraId="401B1468" w14:textId="27718806" w:rsidR="007B15CD" w:rsidRDefault="007B15CD" w:rsidP="00434194">
      <w:pPr>
        <w:tabs>
          <w:tab w:val="left" w:pos="-148"/>
          <w:tab w:val="left" w:pos="432"/>
        </w:tabs>
        <w:spacing w:before="120"/>
        <w:jc w:val="both"/>
        <w:textAlignment w:val="baseline"/>
        <w:rPr>
          <w:rFonts w:asciiTheme="minorHAnsi" w:hAnsiTheme="minorHAnsi" w:cs="Calibri Light"/>
        </w:rPr>
      </w:pPr>
    </w:p>
    <w:p w14:paraId="497C265F" w14:textId="346E073D" w:rsidR="007B15CD" w:rsidRDefault="007B15CD" w:rsidP="00434194">
      <w:pPr>
        <w:tabs>
          <w:tab w:val="left" w:pos="-148"/>
          <w:tab w:val="left" w:pos="432"/>
        </w:tabs>
        <w:spacing w:before="120"/>
        <w:jc w:val="both"/>
        <w:textAlignment w:val="baseline"/>
        <w:rPr>
          <w:rFonts w:asciiTheme="minorHAnsi" w:hAnsiTheme="minorHAnsi" w:cs="Calibri Light"/>
        </w:rPr>
      </w:pPr>
    </w:p>
    <w:p w14:paraId="7C187BA9" w14:textId="77777777" w:rsidR="007B15CD" w:rsidRPr="007B15CD" w:rsidRDefault="007B15CD" w:rsidP="00434194">
      <w:pPr>
        <w:tabs>
          <w:tab w:val="left" w:pos="-148"/>
          <w:tab w:val="left" w:pos="432"/>
        </w:tabs>
        <w:spacing w:before="120"/>
        <w:jc w:val="both"/>
        <w:textAlignment w:val="baseline"/>
        <w:rPr>
          <w:rFonts w:asciiTheme="minorHAnsi" w:hAnsiTheme="minorHAnsi" w:cs="Calibri Light"/>
          <w:sz w:val="2"/>
          <w:szCs w:val="2"/>
        </w:rPr>
      </w:pPr>
    </w:p>
    <w:p w14:paraId="46D35434" w14:textId="1449B21C" w:rsidR="009B153C" w:rsidRPr="00691096" w:rsidRDefault="008D5D16" w:rsidP="00256E9F">
      <w:pPr>
        <w:pStyle w:val="Sam3"/>
      </w:pPr>
      <w:bookmarkStart w:id="4172" w:name="_Toc74557680"/>
      <w:r>
        <w:lastRenderedPageBreak/>
        <w:t xml:space="preserve">VI.4.3 </w:t>
      </w:r>
      <w:bookmarkStart w:id="4173" w:name="_Toc515896765"/>
      <w:r w:rsidR="009B153C" w:rsidRPr="00691096">
        <w:t xml:space="preserve">Interdiction d'établir des taxes </w:t>
      </w:r>
      <w:r w:rsidR="00526546">
        <w:t>prohibitives</w:t>
      </w:r>
      <w:bookmarkEnd w:id="4172"/>
      <w:bookmarkEnd w:id="4173"/>
    </w:p>
    <w:p w14:paraId="6ABBD03A" w14:textId="79F78083" w:rsidR="00A02E08" w:rsidRPr="00A02E08" w:rsidRDefault="00A02E08" w:rsidP="00A02E08">
      <w:pPr>
        <w:spacing w:before="120"/>
        <w:jc w:val="both"/>
        <w:textAlignment w:val="baseline"/>
        <w:rPr>
          <w:rFonts w:asciiTheme="minorHAnsi" w:hAnsiTheme="minorHAnsi" w:cs="Calibri Light"/>
        </w:rPr>
      </w:pPr>
      <w:r>
        <w:rPr>
          <w:rFonts w:asciiTheme="minorHAnsi" w:hAnsiTheme="minorHAnsi" w:cs="Calibri Light"/>
        </w:rPr>
        <w:t>S</w:t>
      </w:r>
      <w:r w:rsidRPr="00A02E08">
        <w:rPr>
          <w:rFonts w:asciiTheme="minorHAnsi" w:hAnsiTheme="minorHAnsi" w:cs="Calibri Light"/>
        </w:rPr>
        <w:t>i l'objectif principal de la taxe est principalement d'ordre budgétaire, rien ne s'oppose à ce que le Conseil communal poursuive des objectifs accessoires, non financiers, d'incitation ou de dissuasion. Cet objectif accessoire de dissuasion ne doit pas nécessairement ressortir des dispositions du règlement-taxe.</w:t>
      </w:r>
    </w:p>
    <w:p w14:paraId="42303D9A" w14:textId="77777777" w:rsidR="00A02E08" w:rsidRPr="00A02E08" w:rsidRDefault="00A02E08" w:rsidP="00A02E08">
      <w:pPr>
        <w:spacing w:before="120"/>
        <w:jc w:val="both"/>
        <w:textAlignment w:val="baseline"/>
        <w:rPr>
          <w:rFonts w:asciiTheme="minorHAnsi" w:hAnsiTheme="minorHAnsi" w:cs="Calibri Light"/>
        </w:rPr>
      </w:pPr>
      <w:r w:rsidRPr="00A02E08">
        <w:rPr>
          <w:rFonts w:asciiTheme="minorHAnsi" w:hAnsiTheme="minorHAnsi" w:cs="Calibri Light"/>
        </w:rPr>
        <w:t>Néanmoins, dans une telle hypothèse, le Conseil communal doit éviter d'établir des « taxes prohibitives » qui auraient pour seul objectif d'empêcher l'exercice d'une « activité licite ». Autrement dit, la taxe ne peut pas entraver au-delà du raisonnable, voire empêcher, l'installation ou le développement d’une activité sur le territoire de la commune. Comme le souligne le Conseil d’Etat, une imposition n'est excessive que lorsqu'elle a pour effet de faire disparaître l'activité qu'elle taxe.</w:t>
      </w:r>
    </w:p>
    <w:p w14:paraId="4FB81270" w14:textId="1E21DA2C" w:rsidR="00A02E08" w:rsidRPr="00A02E08" w:rsidRDefault="00A02E08" w:rsidP="00A02E08">
      <w:pPr>
        <w:spacing w:before="120"/>
        <w:jc w:val="both"/>
        <w:textAlignment w:val="baseline"/>
        <w:rPr>
          <w:rFonts w:asciiTheme="minorHAnsi" w:hAnsiTheme="minorHAnsi" w:cs="Calibri Light"/>
        </w:rPr>
      </w:pPr>
      <w:r w:rsidRPr="00A02E08">
        <w:rPr>
          <w:rFonts w:asciiTheme="minorHAnsi" w:hAnsiTheme="minorHAnsi" w:cs="Calibri Light"/>
        </w:rPr>
        <w:t xml:space="preserve">N’est pas </w:t>
      </w:r>
      <w:r w:rsidR="008E2608" w:rsidRPr="00792F8A">
        <w:rPr>
          <w:rFonts w:asciiTheme="minorHAnsi" w:hAnsiTheme="minorHAnsi" w:cs="Calibri Light"/>
        </w:rPr>
        <w:t>considérée</w:t>
      </w:r>
      <w:r w:rsidRPr="00A02E08">
        <w:rPr>
          <w:rFonts w:asciiTheme="minorHAnsi" w:hAnsiTheme="minorHAnsi" w:cs="Calibri Light"/>
        </w:rPr>
        <w:t xml:space="preserve"> comme prohibitive, la taxe qui tient compte de la faculté contributive de l’ensemble des personnes qui y sont soumises et pour laquelle il existe un « rapport de proportionnalité » entre les moyens utilisés et le but poursuivi.</w:t>
      </w:r>
    </w:p>
    <w:p w14:paraId="63A83631" w14:textId="1B500377" w:rsidR="00A02E08" w:rsidRPr="00A02E08" w:rsidRDefault="00A02E08" w:rsidP="00A02E08">
      <w:pPr>
        <w:spacing w:before="120"/>
        <w:jc w:val="both"/>
        <w:textAlignment w:val="baseline"/>
        <w:rPr>
          <w:rFonts w:asciiTheme="minorHAnsi" w:hAnsiTheme="minorHAnsi" w:cs="Calibri Light"/>
        </w:rPr>
      </w:pPr>
      <w:r w:rsidRPr="00A02E08">
        <w:rPr>
          <w:rFonts w:asciiTheme="minorHAnsi" w:hAnsiTheme="minorHAnsi" w:cs="Calibri Light"/>
        </w:rPr>
        <w:t xml:space="preserve">A cet égard, la jurisprudence constante du Conseil d’Etat fait apparaître qu’il ne fait pas de doute qu'une taxe poursuivant un objectif de dissuasion n'est pas disproportionnée au seul motif que son montant est </w:t>
      </w:r>
      <w:r w:rsidR="001044C0" w:rsidRPr="00A02E08">
        <w:rPr>
          <w:rFonts w:asciiTheme="minorHAnsi" w:hAnsiTheme="minorHAnsi" w:cs="Calibri Light"/>
        </w:rPr>
        <w:t>important ;</w:t>
      </w:r>
      <w:r w:rsidRPr="00A02E08">
        <w:rPr>
          <w:rFonts w:asciiTheme="minorHAnsi" w:hAnsiTheme="minorHAnsi" w:cs="Calibri Light"/>
        </w:rPr>
        <w:t xml:space="preserve"> qu'en effet, le caractère dissuasif que tend à se donner la </w:t>
      </w:r>
      <w:r w:rsidR="001044C0" w:rsidRPr="00A02E08">
        <w:rPr>
          <w:rFonts w:asciiTheme="minorHAnsi" w:hAnsiTheme="minorHAnsi" w:cs="Calibri Light"/>
        </w:rPr>
        <w:t>taxe implique</w:t>
      </w:r>
      <w:r w:rsidRPr="00A02E08">
        <w:rPr>
          <w:rFonts w:asciiTheme="minorHAnsi" w:hAnsiTheme="minorHAnsi" w:cs="Calibri Light"/>
        </w:rPr>
        <w:t xml:space="preserve"> nécessairement que son montant soit élevé.</w:t>
      </w:r>
    </w:p>
    <w:p w14:paraId="72103A53" w14:textId="67A19D62" w:rsidR="00A02E08" w:rsidRDefault="00A02E08" w:rsidP="00A02E08">
      <w:pPr>
        <w:spacing w:before="120"/>
        <w:jc w:val="both"/>
        <w:textAlignment w:val="baseline"/>
        <w:rPr>
          <w:rFonts w:asciiTheme="minorHAnsi" w:hAnsiTheme="minorHAnsi" w:cs="Calibri Light"/>
        </w:rPr>
      </w:pPr>
      <w:r w:rsidRPr="00A02E08">
        <w:rPr>
          <w:rFonts w:asciiTheme="minorHAnsi" w:hAnsiTheme="minorHAnsi" w:cs="Calibri Light"/>
        </w:rPr>
        <w:t xml:space="preserve">Enfin, la taxe « dissuasive » ne peut en aucun cas violer le principe de la liberté du commerce et de l'industrie ou </w:t>
      </w:r>
      <w:r w:rsidR="008E2608" w:rsidRPr="00792F8A">
        <w:rPr>
          <w:rFonts w:asciiTheme="minorHAnsi" w:hAnsiTheme="minorHAnsi" w:cs="Calibri Light"/>
        </w:rPr>
        <w:t>apporter</w:t>
      </w:r>
      <w:r w:rsidR="008E2608" w:rsidRPr="00A02E08">
        <w:rPr>
          <w:rFonts w:asciiTheme="minorHAnsi" w:hAnsiTheme="minorHAnsi" w:cs="Calibri Light"/>
        </w:rPr>
        <w:t xml:space="preserve"> </w:t>
      </w:r>
      <w:r w:rsidRPr="00A02E08">
        <w:rPr>
          <w:rFonts w:asciiTheme="minorHAnsi" w:hAnsiTheme="minorHAnsi" w:cs="Calibri Light"/>
        </w:rPr>
        <w:t>une restriction excessive à cette liberté par rapport à ce qu'exige le maintien de l'ordre public. Inversement, cette liberté du commerce et de l’industrie n’est pas illimitée et n’est en tout cas pas de nature à entraver le pouvoir d’un Conseil communal d’établir des taxes sur les activités économiques et commerciales.</w:t>
      </w:r>
    </w:p>
    <w:p w14:paraId="51E27DB9"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Une taxe ne peut non plus être appliquée à des situations illégales dans le but d'y mettre fin. En l'occurrence, ce sont les voies pénales</w:t>
      </w:r>
      <w:r w:rsidR="00C50CA5">
        <w:rPr>
          <w:rFonts w:asciiTheme="minorHAnsi" w:hAnsiTheme="minorHAnsi" w:cs="Calibri Light"/>
        </w:rPr>
        <w:t>, ou les sanctions administratives,</w:t>
      </w:r>
      <w:r w:rsidRPr="00DA6BD2">
        <w:rPr>
          <w:rFonts w:asciiTheme="minorHAnsi" w:hAnsiTheme="minorHAnsi" w:cs="Calibri Light"/>
        </w:rPr>
        <w:t xml:space="preserve"> qui doivent être utilisées</w:t>
      </w:r>
      <w:r w:rsidR="00C50CA5">
        <w:rPr>
          <w:rFonts w:asciiTheme="minorHAnsi" w:hAnsiTheme="minorHAnsi" w:cs="Calibri Light"/>
        </w:rPr>
        <w:t xml:space="preserve">. </w:t>
      </w:r>
      <w:r w:rsidRPr="00DA6BD2">
        <w:rPr>
          <w:rFonts w:asciiTheme="minorHAnsi" w:hAnsiTheme="minorHAnsi" w:cs="Calibri Light"/>
        </w:rPr>
        <w:t>Je renvoie à ce sujet à l'article L1122-33 du CDLD pour les modalités de mise en œuvre soit d'une peine soit d'une sanction administrative en cas d'infraction à un règlement ou à une ordonnance communale.</w:t>
      </w:r>
    </w:p>
    <w:p w14:paraId="78FDF60C" w14:textId="05FEBE29"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Je vous invite à regrouper ces amendes sous un article 100/380-03 (éventuellement individualisé au niveau du code fonctionnel : 100xx/380-03).</w:t>
      </w:r>
    </w:p>
    <w:p w14:paraId="18D1CC9D" w14:textId="77777777" w:rsidR="00434194" w:rsidRPr="00DA6BD2" w:rsidRDefault="00434194" w:rsidP="00E063FD">
      <w:pPr>
        <w:spacing w:before="120"/>
        <w:jc w:val="both"/>
        <w:textAlignment w:val="baseline"/>
        <w:rPr>
          <w:rFonts w:asciiTheme="minorHAnsi" w:hAnsiTheme="minorHAnsi" w:cs="Calibri Light"/>
        </w:rPr>
      </w:pPr>
    </w:p>
    <w:p w14:paraId="2862D402" w14:textId="6EC159B7" w:rsidR="009B153C" w:rsidRPr="00DA6BD2" w:rsidRDefault="008D5D16" w:rsidP="00256E9F">
      <w:pPr>
        <w:pStyle w:val="Sam3"/>
      </w:pPr>
      <w:bookmarkStart w:id="4174" w:name="_Toc515896766"/>
      <w:bookmarkStart w:id="4175" w:name="_Toc74557681"/>
      <w:r>
        <w:t xml:space="preserve">VI.4.4 </w:t>
      </w:r>
      <w:bookmarkStart w:id="4176" w:name="_Toc512523768"/>
      <w:bookmarkStart w:id="4177" w:name="_Toc512525458"/>
      <w:bookmarkStart w:id="4178" w:name="_Toc515896767"/>
      <w:bookmarkEnd w:id="4174"/>
      <w:r w:rsidR="009B153C" w:rsidRPr="00DA6BD2">
        <w:t>Transmission des taxes additionnelles</w:t>
      </w:r>
      <w:bookmarkEnd w:id="4175"/>
      <w:bookmarkEnd w:id="4176"/>
      <w:bookmarkEnd w:id="4177"/>
      <w:bookmarkEnd w:id="4178"/>
      <w:r w:rsidR="009B153C" w:rsidRPr="00DA6BD2">
        <w:t xml:space="preserve"> </w:t>
      </w:r>
    </w:p>
    <w:p w14:paraId="726C07CC" w14:textId="2B980374" w:rsidR="009B153C" w:rsidRPr="00892FF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L’article 468 du </w:t>
      </w:r>
      <w:r w:rsidR="00A04F0B">
        <w:rPr>
          <w:rFonts w:asciiTheme="minorHAnsi" w:hAnsiTheme="minorHAnsi" w:cs="Calibri Light"/>
        </w:rPr>
        <w:t xml:space="preserve">code des impôts sur les revenus </w:t>
      </w:r>
      <w:r w:rsidRPr="00DA6BD2">
        <w:rPr>
          <w:rFonts w:asciiTheme="minorHAnsi" w:hAnsiTheme="minorHAnsi" w:cs="Calibri Light"/>
        </w:rPr>
        <w:t>prévoit qu'un règlement-</w:t>
      </w:r>
      <w:r w:rsidRPr="00C63B44">
        <w:rPr>
          <w:rFonts w:asciiTheme="minorHAnsi" w:hAnsiTheme="minorHAnsi" w:cs="Calibri Light"/>
        </w:rPr>
        <w:t xml:space="preserve">taxe </w:t>
      </w:r>
      <w:r w:rsidRPr="00E063FD">
        <w:rPr>
          <w:rFonts w:asciiTheme="minorHAnsi" w:hAnsiTheme="minorHAnsi" w:cs="Calibri Light"/>
        </w:rPr>
        <w:t xml:space="preserve">relatif à </w:t>
      </w:r>
      <w:r w:rsidR="007377DF">
        <w:rPr>
          <w:rFonts w:asciiTheme="minorHAnsi" w:hAnsiTheme="minorHAnsi" w:cs="Calibri Light"/>
        </w:rPr>
        <w:t xml:space="preserve">la </w:t>
      </w:r>
      <w:r w:rsidRPr="00E063FD">
        <w:rPr>
          <w:rFonts w:asciiTheme="minorHAnsi" w:hAnsiTheme="minorHAnsi" w:cs="Calibri Light"/>
        </w:rPr>
        <w:t>taxe additionnelle à l'IPP</w:t>
      </w:r>
      <w:r w:rsidRPr="00C63B44">
        <w:rPr>
          <w:rFonts w:asciiTheme="minorHAnsi" w:hAnsiTheme="minorHAnsi" w:cs="Calibri Light"/>
        </w:rPr>
        <w:t xml:space="preserve"> </w:t>
      </w:r>
      <w:r w:rsidRPr="00E063FD">
        <w:rPr>
          <w:rFonts w:asciiTheme="minorHAnsi" w:hAnsiTheme="minorHAnsi" w:cs="Calibri Light"/>
        </w:rPr>
        <w:t>doit</w:t>
      </w:r>
      <w:r w:rsidRPr="00C63B44">
        <w:rPr>
          <w:rFonts w:asciiTheme="minorHAnsi" w:hAnsiTheme="minorHAnsi" w:cs="Calibri Light"/>
        </w:rPr>
        <w:t xml:space="preserve"> entrer</w:t>
      </w:r>
      <w:r w:rsidRPr="00DA6BD2">
        <w:rPr>
          <w:rFonts w:asciiTheme="minorHAnsi" w:hAnsiTheme="minorHAnsi" w:cs="Calibri Light"/>
        </w:rPr>
        <w:t xml:space="preserve"> en vigueur avant le 31 JANVIER de l'année civile dont le millésime désigne l'exercice d'imposition et que, à défaut, l'enrôlement se fera sur </w:t>
      </w:r>
      <w:r w:rsidR="003A6785">
        <w:rPr>
          <w:rFonts w:asciiTheme="minorHAnsi" w:hAnsiTheme="minorHAnsi" w:cs="Calibri Light"/>
        </w:rPr>
        <w:t xml:space="preserve">la </w:t>
      </w:r>
      <w:r w:rsidRPr="00DA6BD2">
        <w:rPr>
          <w:rFonts w:asciiTheme="minorHAnsi" w:hAnsiTheme="minorHAnsi" w:cs="Calibri Light"/>
        </w:rPr>
        <w:t xml:space="preserve">base du pourcentage communal </w:t>
      </w:r>
      <w:r w:rsidRPr="00892FFC">
        <w:rPr>
          <w:rFonts w:asciiTheme="minorHAnsi" w:hAnsiTheme="minorHAnsi" w:cs="Calibri Light"/>
        </w:rPr>
        <w:t>applicable pour l'exercice précédent.</w:t>
      </w:r>
    </w:p>
    <w:p w14:paraId="35740A5B" w14:textId="5BF60410" w:rsidR="009B153C" w:rsidRPr="00892FFC" w:rsidRDefault="009B153C" w:rsidP="00E063FD">
      <w:pPr>
        <w:spacing w:before="120"/>
        <w:jc w:val="both"/>
        <w:textAlignment w:val="baseline"/>
        <w:rPr>
          <w:rFonts w:asciiTheme="minorHAnsi" w:hAnsiTheme="minorHAnsi" w:cs="Calibri Light"/>
        </w:rPr>
      </w:pPr>
      <w:r w:rsidRPr="00892FFC">
        <w:rPr>
          <w:rFonts w:asciiTheme="minorHAnsi" w:hAnsiTheme="minorHAnsi" w:cs="Calibri Light"/>
        </w:rPr>
        <w:t>Concrètement</w:t>
      </w:r>
      <w:r w:rsidR="00126FCF">
        <w:rPr>
          <w:rFonts w:asciiTheme="minorHAnsi" w:hAnsiTheme="minorHAnsi" w:cs="Calibri Light"/>
        </w:rPr>
        <w:t>,</w:t>
      </w:r>
      <w:r w:rsidRPr="00892FFC">
        <w:rPr>
          <w:rFonts w:asciiTheme="minorHAnsi" w:hAnsiTheme="minorHAnsi" w:cs="Calibri Light"/>
        </w:rPr>
        <w:t xml:space="preserve"> cela veut dire qu'un règlement fixant le taux de la taxe additionnelle à l'IPP pour l'exercice </w:t>
      </w:r>
      <w:r w:rsidR="00046E7D">
        <w:rPr>
          <w:rFonts w:asciiTheme="minorHAnsi" w:hAnsiTheme="minorHAnsi" w:cs="Calibri Light"/>
        </w:rPr>
        <w:t>2022</w:t>
      </w:r>
      <w:r w:rsidR="00046E7D" w:rsidRPr="00892FFC">
        <w:rPr>
          <w:rFonts w:asciiTheme="minorHAnsi" w:hAnsiTheme="minorHAnsi" w:cs="Calibri Light"/>
        </w:rPr>
        <w:t xml:space="preserve"> </w:t>
      </w:r>
      <w:r w:rsidRPr="00892FFC">
        <w:rPr>
          <w:rFonts w:asciiTheme="minorHAnsi" w:hAnsiTheme="minorHAnsi" w:cs="Calibri Light"/>
        </w:rPr>
        <w:t xml:space="preserve">(revenus </w:t>
      </w:r>
      <w:r w:rsidR="00046E7D">
        <w:rPr>
          <w:rFonts w:asciiTheme="minorHAnsi" w:hAnsiTheme="minorHAnsi" w:cs="Calibri Light"/>
        </w:rPr>
        <w:t>2021</w:t>
      </w:r>
      <w:r w:rsidRPr="00892FFC">
        <w:rPr>
          <w:rFonts w:asciiTheme="minorHAnsi" w:hAnsiTheme="minorHAnsi" w:cs="Calibri Light"/>
        </w:rPr>
        <w:t xml:space="preserve">) doit être voté, transmis au Gouvernement wallon, et </w:t>
      </w:r>
      <w:r w:rsidRPr="00892FFC">
        <w:rPr>
          <w:rFonts w:asciiTheme="minorHAnsi" w:hAnsiTheme="minorHAnsi" w:cs="Calibri Light"/>
          <w:u w:val="single"/>
        </w:rPr>
        <w:t>publié conformément</w:t>
      </w:r>
      <w:r w:rsidRPr="00892FFC">
        <w:rPr>
          <w:rFonts w:asciiTheme="minorHAnsi" w:hAnsiTheme="minorHAnsi" w:cs="Calibri Light"/>
        </w:rPr>
        <w:t xml:space="preserve"> au CDLD de manière telle qu'il puisse être entré en vigueur pour le 31 janvier </w:t>
      </w:r>
      <w:r w:rsidR="00046E7D">
        <w:rPr>
          <w:rFonts w:asciiTheme="minorHAnsi" w:hAnsiTheme="minorHAnsi" w:cs="Calibri Light"/>
        </w:rPr>
        <w:t>2022</w:t>
      </w:r>
      <w:r w:rsidRPr="00892FFC">
        <w:rPr>
          <w:rFonts w:asciiTheme="minorHAnsi" w:hAnsiTheme="minorHAnsi" w:cs="Calibri Light"/>
        </w:rPr>
        <w:t>.</w:t>
      </w:r>
    </w:p>
    <w:p w14:paraId="09FB75BD" w14:textId="74D60D98" w:rsidR="00792F8A" w:rsidRDefault="009B153C" w:rsidP="00E063FD">
      <w:pPr>
        <w:spacing w:before="120" w:after="262"/>
        <w:jc w:val="both"/>
        <w:textAlignment w:val="baseline"/>
        <w:rPr>
          <w:rFonts w:asciiTheme="minorHAnsi" w:hAnsiTheme="minorHAnsi" w:cs="Calibri Light"/>
        </w:rPr>
      </w:pPr>
      <w:r w:rsidRPr="00892FFC">
        <w:rPr>
          <w:rFonts w:asciiTheme="minorHAnsi" w:hAnsiTheme="minorHAnsi" w:cs="Calibri Light"/>
        </w:rPr>
        <w:t>Je recommande</w:t>
      </w:r>
      <w:r w:rsidRPr="00DA6BD2">
        <w:rPr>
          <w:rFonts w:asciiTheme="minorHAnsi" w:hAnsiTheme="minorHAnsi" w:cs="Calibri Light"/>
        </w:rPr>
        <w:t xml:space="preserve"> aux autorités locales de bien veiller à voter et à transmettre suffisamment tôt à l'autorité de tutelle les règlements relatifs aux taxes additionnelles.</w:t>
      </w:r>
    </w:p>
    <w:p w14:paraId="235373EE" w14:textId="0B2AE21C" w:rsidR="002017D0" w:rsidRPr="00DA6BD2" w:rsidRDefault="002017D0" w:rsidP="002017D0">
      <w:pPr>
        <w:pBdr>
          <w:top w:val="single" w:sz="4" w:space="1" w:color="000000"/>
          <w:left w:val="single" w:sz="4" w:space="7" w:color="000000"/>
          <w:bottom w:val="single" w:sz="4" w:space="8" w:color="000000"/>
          <w:right w:val="single" w:sz="4" w:space="0" w:color="000000"/>
        </w:pBdr>
        <w:spacing w:before="3"/>
        <w:jc w:val="both"/>
        <w:textAlignment w:val="baseline"/>
        <w:rPr>
          <w:rFonts w:asciiTheme="minorHAnsi" w:hAnsiTheme="minorHAnsi" w:cs="Calibri Light"/>
          <w:b/>
        </w:rPr>
      </w:pPr>
      <w:r w:rsidRPr="00DA6BD2">
        <w:rPr>
          <w:rFonts w:asciiTheme="minorHAnsi" w:hAnsiTheme="minorHAnsi" w:cs="Calibri Light"/>
        </w:rPr>
        <w:lastRenderedPageBreak/>
        <w:t xml:space="preserve">Afin d'éviter tout problème au niveau de la transmission au SPF Finances des données nécessaires à l'enrôlement, il appartient aux pouvoirs locaux </w:t>
      </w:r>
      <w:r w:rsidRPr="00DA6BD2">
        <w:rPr>
          <w:rFonts w:asciiTheme="minorHAnsi" w:hAnsiTheme="minorHAnsi" w:cs="Calibri Light"/>
          <w:u w:val="single"/>
        </w:rPr>
        <w:t>de transmettre</w:t>
      </w:r>
      <w:r w:rsidRPr="00DA6BD2">
        <w:rPr>
          <w:rFonts w:asciiTheme="minorHAnsi" w:hAnsiTheme="minorHAnsi" w:cs="Calibri Light"/>
        </w:rPr>
        <w:t xml:space="preserve"> la délibération concernée et la lettre</w:t>
      </w:r>
      <w:r w:rsidR="007B1A99">
        <w:rPr>
          <w:rFonts w:asciiTheme="minorHAnsi" w:hAnsiTheme="minorHAnsi" w:cs="Calibri Light"/>
        </w:rPr>
        <w:t xml:space="preserve"> </w:t>
      </w:r>
      <w:r w:rsidRPr="00DA6BD2">
        <w:rPr>
          <w:rFonts w:asciiTheme="minorHAnsi" w:hAnsiTheme="minorHAnsi" w:cs="Calibri Light"/>
        </w:rPr>
        <w:t>ministérielle laissant devenir exécutoire la délibération</w:t>
      </w:r>
      <w:r w:rsidRPr="00DA6BD2">
        <w:rPr>
          <w:rFonts w:asciiTheme="minorHAnsi" w:hAnsiTheme="minorHAnsi" w:cs="Calibri Light"/>
          <w:b/>
        </w:rPr>
        <w:t xml:space="preserve"> relative à l'Impôt des Personnes Physiques au :</w:t>
      </w:r>
    </w:p>
    <w:p w14:paraId="5474BDE0" w14:textId="77777777" w:rsidR="002017D0" w:rsidRPr="00DA6BD2" w:rsidRDefault="002017D0" w:rsidP="002017D0">
      <w:pPr>
        <w:pBdr>
          <w:top w:val="single" w:sz="4" w:space="1" w:color="000000"/>
          <w:left w:val="single" w:sz="4" w:space="7" w:color="000000"/>
          <w:bottom w:val="single" w:sz="4" w:space="8" w:color="000000"/>
          <w:right w:val="single" w:sz="4" w:space="0" w:color="000000"/>
        </w:pBdr>
        <w:spacing w:before="2"/>
        <w:jc w:val="both"/>
        <w:textAlignment w:val="baseline"/>
        <w:rPr>
          <w:rFonts w:asciiTheme="minorHAnsi" w:hAnsiTheme="minorHAnsi" w:cs="Calibri Light"/>
          <w:u w:val="single"/>
        </w:rPr>
      </w:pPr>
      <w:r w:rsidRPr="00DA6BD2">
        <w:rPr>
          <w:rFonts w:asciiTheme="minorHAnsi" w:hAnsiTheme="minorHAnsi" w:cs="Calibri Light"/>
          <w:u w:val="single"/>
        </w:rPr>
        <w:t xml:space="preserve">Service Public Fédéral Finances </w:t>
      </w:r>
    </w:p>
    <w:p w14:paraId="64E50708" w14:textId="06B36FA3" w:rsidR="002017D0" w:rsidRPr="00DA6BD2" w:rsidRDefault="005547D1"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u w:val="single"/>
        </w:rPr>
      </w:pPr>
      <w:r>
        <w:rPr>
          <w:rFonts w:asciiTheme="minorHAnsi" w:hAnsiTheme="minorHAnsi" w:cs="Calibri Light"/>
          <w:u w:val="single"/>
        </w:rPr>
        <w:t xml:space="preserve">Administration générale </w:t>
      </w:r>
      <w:r w:rsidR="002017D0" w:rsidRPr="00DA6BD2">
        <w:rPr>
          <w:rFonts w:asciiTheme="minorHAnsi" w:hAnsiTheme="minorHAnsi" w:cs="Calibri Light"/>
          <w:u w:val="single"/>
        </w:rPr>
        <w:t xml:space="preserve">Expertise et Support Stratégique </w:t>
      </w:r>
    </w:p>
    <w:p w14:paraId="414BBB56" w14:textId="04F0164A" w:rsidR="002017D0" w:rsidRPr="00DA6BD2" w:rsidRDefault="002017D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u w:val="single"/>
        </w:rPr>
      </w:pPr>
      <w:r w:rsidRPr="00DA6BD2">
        <w:rPr>
          <w:rFonts w:asciiTheme="minorHAnsi" w:hAnsiTheme="minorHAnsi" w:cs="Calibri Light"/>
          <w:u w:val="single"/>
        </w:rPr>
        <w:t xml:space="preserve">Service d'Etude </w:t>
      </w:r>
    </w:p>
    <w:p w14:paraId="48A05AAB" w14:textId="3DB4E241" w:rsidR="005547D1" w:rsidRDefault="005547D1" w:rsidP="002017D0">
      <w:pPr>
        <w:pBdr>
          <w:top w:val="single" w:sz="4" w:space="1" w:color="000000"/>
          <w:left w:val="single" w:sz="4" w:space="7" w:color="000000"/>
          <w:bottom w:val="single" w:sz="4" w:space="8" w:color="000000"/>
          <w:right w:val="single" w:sz="4" w:space="0" w:color="000000"/>
        </w:pBdr>
        <w:spacing w:before="5"/>
        <w:jc w:val="both"/>
        <w:textAlignment w:val="baseline"/>
        <w:rPr>
          <w:rFonts w:asciiTheme="minorHAnsi" w:hAnsiTheme="minorHAnsi" w:cs="Calibri Light"/>
          <w:u w:val="single"/>
        </w:rPr>
      </w:pPr>
      <w:r>
        <w:rPr>
          <w:rFonts w:asciiTheme="minorHAnsi" w:hAnsiTheme="minorHAnsi" w:cs="Calibri Light"/>
          <w:u w:val="single"/>
        </w:rPr>
        <w:t>Direction Analyse et micro-simulations</w:t>
      </w:r>
    </w:p>
    <w:p w14:paraId="785E2EE7" w14:textId="76021303" w:rsidR="002017D0" w:rsidRPr="00DA6BD2" w:rsidRDefault="002017D0" w:rsidP="002017D0">
      <w:pPr>
        <w:pBdr>
          <w:top w:val="single" w:sz="4" w:space="1" w:color="000000"/>
          <w:left w:val="single" w:sz="4" w:space="7" w:color="000000"/>
          <w:bottom w:val="single" w:sz="4" w:space="8" w:color="000000"/>
          <w:right w:val="single" w:sz="4" w:space="0" w:color="000000"/>
        </w:pBdr>
        <w:spacing w:before="5"/>
        <w:jc w:val="both"/>
        <w:textAlignment w:val="baseline"/>
        <w:rPr>
          <w:rFonts w:asciiTheme="minorHAnsi" w:hAnsiTheme="minorHAnsi" w:cs="Calibri Light"/>
          <w:u w:val="single"/>
        </w:rPr>
      </w:pPr>
      <w:r w:rsidRPr="00DA6BD2">
        <w:rPr>
          <w:rFonts w:asciiTheme="minorHAnsi" w:hAnsiTheme="minorHAnsi" w:cs="Calibri Light"/>
          <w:u w:val="single"/>
        </w:rPr>
        <w:t xml:space="preserve">A l'attention </w:t>
      </w:r>
      <w:r w:rsidRPr="009315DC">
        <w:rPr>
          <w:rFonts w:cs="Calibri Light"/>
          <w:spacing w:val="1"/>
        </w:rPr>
        <w:t>de Mr HERMANS M.</w:t>
      </w:r>
      <w:r w:rsidRPr="00DA6BD2">
        <w:rPr>
          <w:rFonts w:asciiTheme="minorHAnsi" w:hAnsiTheme="minorHAnsi" w:cs="Calibri Light"/>
          <w:u w:val="single"/>
        </w:rPr>
        <w:t xml:space="preserve"> </w:t>
      </w:r>
    </w:p>
    <w:p w14:paraId="503A3AA5" w14:textId="082C240F" w:rsidR="002017D0" w:rsidRPr="00DA6BD2" w:rsidRDefault="002017D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spacing w:val="-9"/>
          <w:u w:val="single"/>
        </w:rPr>
      </w:pPr>
      <w:r w:rsidRPr="00DA6BD2">
        <w:rPr>
          <w:rFonts w:asciiTheme="minorHAnsi" w:hAnsiTheme="minorHAnsi" w:cs="Calibri Light"/>
          <w:spacing w:val="-9"/>
          <w:u w:val="single"/>
        </w:rPr>
        <w:t xml:space="preserve">North Galaxy — Tour B </w:t>
      </w:r>
      <w:r w:rsidR="005547D1">
        <w:rPr>
          <w:rFonts w:asciiTheme="minorHAnsi" w:hAnsiTheme="minorHAnsi" w:cs="Calibri Light"/>
          <w:spacing w:val="-9"/>
          <w:u w:val="single"/>
        </w:rPr>
        <w:t>6</w:t>
      </w:r>
      <w:r w:rsidRPr="00DA6BD2">
        <w:rPr>
          <w:rFonts w:asciiTheme="minorHAnsi" w:hAnsiTheme="minorHAnsi" w:cs="Calibri Light"/>
          <w:spacing w:val="-9"/>
          <w:u w:val="single"/>
          <w:vertAlign w:val="superscript"/>
        </w:rPr>
        <w:t>ème</w:t>
      </w:r>
      <w:r w:rsidRPr="00DA6BD2">
        <w:rPr>
          <w:rFonts w:asciiTheme="minorHAnsi" w:hAnsiTheme="minorHAnsi" w:cs="Calibri Light"/>
          <w:spacing w:val="-9"/>
          <w:u w:val="single"/>
        </w:rPr>
        <w:t xml:space="preserve"> étage </w:t>
      </w:r>
    </w:p>
    <w:p w14:paraId="64E8A6FA" w14:textId="20700EDF" w:rsidR="002017D0" w:rsidRPr="00C63B44" w:rsidRDefault="002017D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spacing w:val="-1"/>
          <w:u w:val="single"/>
        </w:rPr>
      </w:pPr>
      <w:r w:rsidRPr="00DA6BD2">
        <w:rPr>
          <w:rFonts w:asciiTheme="minorHAnsi" w:hAnsiTheme="minorHAnsi" w:cs="Calibri Light"/>
          <w:spacing w:val="-1"/>
          <w:u w:val="single"/>
        </w:rPr>
        <w:t xml:space="preserve">Boulevard du Roi Albert II, 33, boîte </w:t>
      </w:r>
      <w:r w:rsidR="005547D1">
        <w:rPr>
          <w:rFonts w:asciiTheme="minorHAnsi" w:hAnsiTheme="minorHAnsi" w:cs="Calibri Light"/>
          <w:spacing w:val="-1"/>
          <w:u w:val="single"/>
        </w:rPr>
        <w:t>22</w:t>
      </w:r>
      <w:r w:rsidR="005547D1" w:rsidRPr="00C63B44">
        <w:rPr>
          <w:rFonts w:asciiTheme="minorHAnsi" w:hAnsiTheme="minorHAnsi" w:cs="Calibri Light"/>
          <w:spacing w:val="-1"/>
          <w:u w:val="single"/>
        </w:rPr>
        <w:t xml:space="preserve"> </w:t>
      </w:r>
    </w:p>
    <w:p w14:paraId="4C5AB942" w14:textId="77777777" w:rsidR="002017D0" w:rsidRPr="00C63B44" w:rsidRDefault="002017D0" w:rsidP="002017D0">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2"/>
          <w:u w:val="single"/>
        </w:rPr>
      </w:pPr>
      <w:r w:rsidRPr="00C63B44">
        <w:rPr>
          <w:rFonts w:asciiTheme="minorHAnsi" w:hAnsiTheme="minorHAnsi" w:cs="Calibri Light"/>
          <w:spacing w:val="-2"/>
          <w:u w:val="single"/>
        </w:rPr>
        <w:t>1030 Bruxelles,</w:t>
      </w:r>
    </w:p>
    <w:p w14:paraId="4F81FD28" w14:textId="73BBBC3C" w:rsidR="002017D0" w:rsidRPr="00C63B44" w:rsidRDefault="002017D0" w:rsidP="002017D0">
      <w:pPr>
        <w:pBdr>
          <w:top w:val="single" w:sz="4" w:space="1" w:color="000000"/>
          <w:left w:val="single" w:sz="4" w:space="7" w:color="000000"/>
          <w:bottom w:val="single" w:sz="4" w:space="8" w:color="000000"/>
          <w:right w:val="single" w:sz="4" w:space="0" w:color="000000"/>
        </w:pBdr>
        <w:tabs>
          <w:tab w:val="left" w:pos="6480"/>
        </w:tabs>
        <w:spacing w:before="1"/>
        <w:jc w:val="both"/>
        <w:textAlignment w:val="baseline"/>
        <w:rPr>
          <w:rFonts w:asciiTheme="minorHAnsi" w:hAnsiTheme="minorHAnsi" w:cs="Calibri Light"/>
          <w:spacing w:val="1"/>
        </w:rPr>
      </w:pPr>
      <w:r w:rsidRPr="00C63B44">
        <w:rPr>
          <w:rFonts w:asciiTheme="minorHAnsi" w:hAnsiTheme="minorHAnsi" w:cs="Calibri Light"/>
          <w:spacing w:val="1"/>
        </w:rPr>
        <w:t>Pour toute information complémentaire : M</w:t>
      </w:r>
      <w:r w:rsidR="005547D1">
        <w:rPr>
          <w:rFonts w:asciiTheme="minorHAnsi" w:hAnsiTheme="minorHAnsi" w:cs="Calibri Light"/>
          <w:spacing w:val="1"/>
        </w:rPr>
        <w:t>r</w:t>
      </w:r>
      <w:r w:rsidRPr="00C63B44">
        <w:rPr>
          <w:rFonts w:asciiTheme="minorHAnsi" w:hAnsiTheme="minorHAnsi" w:cs="Calibri Light"/>
          <w:spacing w:val="1"/>
        </w:rPr>
        <w:t>. HERMANS</w:t>
      </w:r>
      <w:r w:rsidRPr="00C63B44">
        <w:rPr>
          <w:rFonts w:asciiTheme="minorHAnsi" w:hAnsiTheme="minorHAnsi" w:cs="Calibri Light"/>
          <w:spacing w:val="1"/>
        </w:rPr>
        <w:tab/>
      </w:r>
      <w:r w:rsidR="001044C0" w:rsidRPr="00E063FD">
        <w:rPr>
          <w:rFonts w:asciiTheme="minorHAnsi" w:hAnsiTheme="minorHAnsi" w:cs="Calibri Light"/>
          <w:spacing w:val="-9"/>
        </w:rPr>
        <w:t>Tél :</w:t>
      </w:r>
      <w:r w:rsidRPr="00C63B44">
        <w:rPr>
          <w:rFonts w:asciiTheme="minorHAnsi" w:hAnsiTheme="minorHAnsi" w:cs="Calibri Light"/>
          <w:spacing w:val="-9"/>
        </w:rPr>
        <w:t xml:space="preserve"> </w:t>
      </w:r>
      <w:r w:rsidRPr="00C63B44">
        <w:rPr>
          <w:rFonts w:asciiTheme="minorHAnsi" w:hAnsiTheme="minorHAnsi" w:cs="Calibri Light"/>
          <w:spacing w:val="1"/>
        </w:rPr>
        <w:t xml:space="preserve"> 0257/622.41</w:t>
      </w:r>
    </w:p>
    <w:p w14:paraId="48D9BBC0" w14:textId="77777777" w:rsidR="002017D0" w:rsidRPr="00C63B44" w:rsidRDefault="002017D0" w:rsidP="002017D0">
      <w:pPr>
        <w:pBdr>
          <w:top w:val="single" w:sz="4" w:space="1" w:color="000000"/>
          <w:left w:val="single" w:sz="4" w:space="7" w:color="000000"/>
          <w:bottom w:val="single" w:sz="4" w:space="8" w:color="000000"/>
          <w:right w:val="single" w:sz="4" w:space="0" w:color="000000"/>
        </w:pBdr>
        <w:spacing w:before="4"/>
        <w:jc w:val="both"/>
        <w:textAlignment w:val="baseline"/>
        <w:rPr>
          <w:rFonts w:asciiTheme="minorHAnsi" w:hAnsiTheme="minorHAnsi" w:cs="Calibri Light"/>
          <w:lang w:val="fr-BE"/>
        </w:rPr>
      </w:pPr>
      <w:proofErr w:type="gramStart"/>
      <w:r w:rsidRPr="00C63B44">
        <w:rPr>
          <w:rFonts w:asciiTheme="minorHAnsi" w:hAnsiTheme="minorHAnsi" w:cs="Calibri Light"/>
          <w:i/>
          <w:spacing w:val="4"/>
        </w:rPr>
        <w:t>E-mail</w:t>
      </w:r>
      <w:proofErr w:type="gramEnd"/>
      <w:r w:rsidRPr="00C63B44">
        <w:rPr>
          <w:rFonts w:asciiTheme="minorHAnsi" w:hAnsiTheme="minorHAnsi" w:cs="Calibri Light"/>
          <w:i/>
          <w:spacing w:val="4"/>
        </w:rPr>
        <w:t xml:space="preserve"> : </w:t>
      </w:r>
      <w:hyperlink r:id="rId14">
        <w:r w:rsidRPr="00C63B44">
          <w:rPr>
            <w:rFonts w:asciiTheme="minorHAnsi" w:hAnsiTheme="minorHAnsi" w:cs="Calibri Light"/>
            <w:spacing w:val="4"/>
            <w:u w:val="single"/>
          </w:rPr>
          <w:t>michel.hermans@minfin.fed.be</w:t>
        </w:r>
      </w:hyperlink>
    </w:p>
    <w:p w14:paraId="640494E2" w14:textId="77777777" w:rsidR="002017D0" w:rsidRPr="00C63B44" w:rsidRDefault="002017D0" w:rsidP="002017D0">
      <w:pPr>
        <w:pBdr>
          <w:top w:val="single" w:sz="4" w:space="1" w:color="000000"/>
          <w:left w:val="single" w:sz="4" w:space="7" w:color="000000"/>
          <w:bottom w:val="single" w:sz="4" w:space="8" w:color="000000"/>
          <w:right w:val="single" w:sz="4" w:space="0" w:color="000000"/>
        </w:pBdr>
        <w:spacing w:before="4"/>
        <w:jc w:val="both"/>
        <w:textAlignment w:val="baseline"/>
        <w:rPr>
          <w:rFonts w:asciiTheme="minorHAnsi" w:hAnsiTheme="minorHAnsi" w:cs="Calibri Light"/>
          <w:i/>
          <w:spacing w:val="4"/>
        </w:rPr>
      </w:pPr>
    </w:p>
    <w:p w14:paraId="1ED07DAB" w14:textId="7F4AA3C6" w:rsidR="002017D0" w:rsidRPr="00C63B44" w:rsidRDefault="00FE400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b/>
          <w:spacing w:val="1"/>
        </w:rPr>
      </w:pPr>
      <w:r>
        <w:rPr>
          <w:rFonts w:asciiTheme="minorHAnsi" w:hAnsiTheme="minorHAnsi" w:cs="Calibri Light"/>
          <w:b/>
          <w:spacing w:val="1"/>
        </w:rPr>
        <w:t xml:space="preserve">Quant à la délibération établissant le taux des centimes additionnels </w:t>
      </w:r>
      <w:r w:rsidR="00131F5C">
        <w:rPr>
          <w:rFonts w:asciiTheme="minorHAnsi" w:hAnsiTheme="minorHAnsi" w:cs="Calibri Light"/>
          <w:b/>
          <w:spacing w:val="1"/>
        </w:rPr>
        <w:t>au</w:t>
      </w:r>
      <w:r w:rsidR="002017D0" w:rsidRPr="00C63B44">
        <w:rPr>
          <w:rFonts w:asciiTheme="minorHAnsi" w:hAnsiTheme="minorHAnsi" w:cs="Calibri Light"/>
          <w:b/>
          <w:spacing w:val="1"/>
        </w:rPr>
        <w:t xml:space="preserve"> Précompte Immobilier :</w:t>
      </w:r>
    </w:p>
    <w:p w14:paraId="3F71BB40" w14:textId="77777777" w:rsidR="002017D0" w:rsidRPr="00C63B44" w:rsidRDefault="002017D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spacing w:val="1"/>
        </w:rPr>
      </w:pPr>
    </w:p>
    <w:p w14:paraId="00BF1617" w14:textId="05F73611" w:rsidR="00792F8A" w:rsidRPr="00363C86" w:rsidRDefault="00930E3E" w:rsidP="00930E3E">
      <w:pPr>
        <w:pBdr>
          <w:top w:val="single" w:sz="4" w:space="1" w:color="000000"/>
          <w:left w:val="single" w:sz="4" w:space="7" w:color="000000"/>
          <w:bottom w:val="single" w:sz="4" w:space="8" w:color="000000"/>
          <w:right w:val="single" w:sz="4" w:space="0" w:color="000000"/>
        </w:pBdr>
        <w:spacing w:before="4"/>
        <w:jc w:val="both"/>
        <w:textAlignment w:val="baseline"/>
        <w:rPr>
          <w:rFonts w:asciiTheme="minorHAnsi" w:hAnsiTheme="minorHAnsi" w:cs="Calibri Light"/>
          <w:color w:val="FF0000"/>
          <w:spacing w:val="1"/>
        </w:rPr>
      </w:pPr>
      <w:r w:rsidRPr="008D7EB7">
        <w:rPr>
          <w:rFonts w:asciiTheme="minorHAnsi" w:hAnsiTheme="minorHAnsi" w:cs="Calibri Light"/>
          <w:spacing w:val="1"/>
        </w:rPr>
        <w:t xml:space="preserve">L’administration du SPW-IAS transmettra les taux approuvés des communes au SPW-Fiscalité. </w:t>
      </w:r>
      <w:bookmarkStart w:id="4179" w:name="_Hlk34928892"/>
      <w:r w:rsidRPr="008D7EB7">
        <w:rPr>
          <w:rFonts w:asciiTheme="minorHAnsi" w:hAnsiTheme="minorHAnsi" w:cs="Calibri Light"/>
          <w:spacing w:val="1"/>
        </w:rPr>
        <w:t>Les communes devront juste s’assurer de l’accomplissement de la formalité de la publication afin que leurs règlements-taxes soient bien entrés en vigueur dans les délais requis.</w:t>
      </w:r>
    </w:p>
    <w:bookmarkEnd w:id="4179"/>
    <w:p w14:paraId="36ED14B6" w14:textId="5307F164" w:rsidR="00930E3E" w:rsidRDefault="002017D0" w:rsidP="00930E3E">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9"/>
        </w:rPr>
      </w:pPr>
      <w:r w:rsidRPr="00C63B44">
        <w:rPr>
          <w:rFonts w:asciiTheme="minorHAnsi" w:hAnsiTheme="minorHAnsi" w:cs="Calibri Light"/>
          <w:spacing w:val="-9"/>
          <w:u w:val="single"/>
        </w:rPr>
        <w:t xml:space="preserve">Rem </w:t>
      </w:r>
      <w:r w:rsidRPr="00C63B44">
        <w:rPr>
          <w:rFonts w:asciiTheme="minorHAnsi" w:hAnsiTheme="minorHAnsi" w:cs="Calibri Light"/>
          <w:spacing w:val="-9"/>
        </w:rPr>
        <w:t xml:space="preserve">: en ce qui concerne le document 173x, </w:t>
      </w:r>
      <w:r w:rsidR="003D6169">
        <w:rPr>
          <w:rFonts w:asciiTheme="minorHAnsi" w:hAnsiTheme="minorHAnsi" w:cs="Calibri Light"/>
          <w:spacing w:val="-9"/>
        </w:rPr>
        <w:t>et depuis</w:t>
      </w:r>
      <w:r w:rsidR="003A6785">
        <w:rPr>
          <w:rFonts w:asciiTheme="minorHAnsi" w:hAnsiTheme="minorHAnsi" w:cs="Calibri Light"/>
          <w:spacing w:val="-9"/>
        </w:rPr>
        <w:t xml:space="preserve"> l’année 202</w:t>
      </w:r>
      <w:r w:rsidR="00327889">
        <w:rPr>
          <w:rFonts w:asciiTheme="minorHAnsi" w:hAnsiTheme="minorHAnsi" w:cs="Calibri Light"/>
          <w:spacing w:val="-9"/>
        </w:rPr>
        <w:t>1</w:t>
      </w:r>
      <w:r w:rsidR="003A6785">
        <w:rPr>
          <w:rFonts w:asciiTheme="minorHAnsi" w:hAnsiTheme="minorHAnsi" w:cs="Calibri Light"/>
          <w:spacing w:val="-9"/>
        </w:rPr>
        <w:t xml:space="preserve">, </w:t>
      </w:r>
      <w:r w:rsidR="003D6169">
        <w:rPr>
          <w:rFonts w:asciiTheme="minorHAnsi" w:hAnsiTheme="minorHAnsi" w:cs="Calibri Light"/>
          <w:spacing w:val="-9"/>
        </w:rPr>
        <w:t xml:space="preserve">c’est l’administration fiscale wallonne qui le transmet par mail, via son service de la comptabilité des recettes fiscales. </w:t>
      </w:r>
      <w:bookmarkStart w:id="4180" w:name="_Hlk34929057"/>
    </w:p>
    <w:p w14:paraId="46A238B5" w14:textId="77777777" w:rsidR="003D6169" w:rsidRDefault="003D6169" w:rsidP="00930E3E">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9"/>
        </w:rPr>
      </w:pPr>
    </w:p>
    <w:p w14:paraId="10EEA8C2" w14:textId="73AFD3B2" w:rsidR="002017D0" w:rsidRPr="00DA6BD2" w:rsidRDefault="00046E7D" w:rsidP="00046E7D">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9"/>
        </w:rPr>
      </w:pPr>
      <w:r>
        <w:rPr>
          <w:rFonts w:asciiTheme="minorHAnsi" w:hAnsiTheme="minorHAnsi"/>
          <w:spacing w:val="-9"/>
        </w:rPr>
        <w:t xml:space="preserve">C’est le SPW-Intérieur Action sociale </w:t>
      </w:r>
      <w:r w:rsidR="00930E3E">
        <w:rPr>
          <w:rFonts w:asciiTheme="minorHAnsi" w:hAnsiTheme="minorHAnsi" w:cs="Calibri Light"/>
          <w:spacing w:val="-9"/>
        </w:rPr>
        <w:t xml:space="preserve">qui enverra les prévisions initiales en ce qui concerne le précompte immobilier </w:t>
      </w:r>
      <w:bookmarkEnd w:id="4180"/>
    </w:p>
    <w:p w14:paraId="494F75CC" w14:textId="77777777" w:rsidR="00257704" w:rsidRDefault="00257704" w:rsidP="00E063FD">
      <w:pPr>
        <w:spacing w:before="120"/>
        <w:jc w:val="both"/>
        <w:textAlignment w:val="baseline"/>
        <w:rPr>
          <w:rFonts w:asciiTheme="minorHAnsi" w:hAnsiTheme="minorHAnsi" w:cs="Calibri Light"/>
        </w:rPr>
      </w:pPr>
    </w:p>
    <w:p w14:paraId="43733713" w14:textId="2FFC94BF"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L'attention des autorités locales est attirée sur le fait que, </w:t>
      </w:r>
      <w:bookmarkStart w:id="4181" w:name="_Hlk67577959"/>
      <w:r w:rsidRPr="00DA6BD2">
        <w:rPr>
          <w:rFonts w:asciiTheme="minorHAnsi" w:hAnsiTheme="minorHAnsi" w:cs="Calibri Light"/>
        </w:rPr>
        <w:t xml:space="preserve">si le règlement </w:t>
      </w:r>
      <w:r w:rsidR="00257704">
        <w:rPr>
          <w:rFonts w:asciiTheme="minorHAnsi" w:hAnsiTheme="minorHAnsi" w:cs="Calibri Light"/>
        </w:rPr>
        <w:t xml:space="preserve">relatif à la taxe additionnelle IPP </w:t>
      </w:r>
      <w:r w:rsidRPr="00DA6BD2">
        <w:rPr>
          <w:rFonts w:asciiTheme="minorHAnsi" w:hAnsiTheme="minorHAnsi" w:cs="Calibri Light"/>
        </w:rPr>
        <w:t xml:space="preserve">est adopté pour plusieurs exercices, le SPF Finances estime primordial de recevoir, </w:t>
      </w:r>
      <w:r w:rsidR="005547D1">
        <w:rPr>
          <w:rFonts w:asciiTheme="minorHAnsi" w:hAnsiTheme="minorHAnsi" w:cs="Calibri Light"/>
        </w:rPr>
        <w:t>la première année</w:t>
      </w:r>
      <w:r w:rsidRPr="00DA6BD2">
        <w:rPr>
          <w:rFonts w:asciiTheme="minorHAnsi" w:hAnsiTheme="minorHAnsi" w:cs="Calibri Light"/>
        </w:rPr>
        <w:t>, notification du règlement et la lettre ministérielle laissant devenir exécutoire la délibération</w:t>
      </w:r>
      <w:r w:rsidR="005547D1">
        <w:rPr>
          <w:rFonts w:asciiTheme="minorHAnsi" w:hAnsiTheme="minorHAnsi" w:cs="Calibri Light"/>
        </w:rPr>
        <w:t xml:space="preserve"> </w:t>
      </w:r>
      <w:r w:rsidR="005547D1" w:rsidRPr="005547D1">
        <w:rPr>
          <w:rFonts w:asciiTheme="minorHAnsi" w:hAnsiTheme="minorHAnsi" w:cs="Calibri Light"/>
        </w:rPr>
        <w:t>et les années suivantes, la confirmation, par mail de préférence (voir mail de Mr HERMANS M. ci-dessus), que le règlement est toujours d’application et donc que le taux reste inchangé pour l’exercice d’imposition en cours</w:t>
      </w:r>
      <w:r w:rsidRPr="00DA6BD2">
        <w:rPr>
          <w:rFonts w:asciiTheme="minorHAnsi" w:hAnsiTheme="minorHAnsi" w:cs="Calibri Light"/>
        </w:rPr>
        <w:t>.</w:t>
      </w:r>
    </w:p>
    <w:bookmarkEnd w:id="4181"/>
    <w:p w14:paraId="3614A0DB"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rappel, ces transmissions doivent être faites pour :</w:t>
      </w:r>
    </w:p>
    <w:p w14:paraId="506BB9F0" w14:textId="7F628E0F" w:rsidR="009B153C" w:rsidRPr="00792F8A" w:rsidRDefault="00280CFA" w:rsidP="008D7EB7">
      <w:pPr>
        <w:pStyle w:val="Paragraphedeliste"/>
        <w:numPr>
          <w:ilvl w:val="0"/>
          <w:numId w:val="152"/>
        </w:numPr>
        <w:tabs>
          <w:tab w:val="left" w:pos="710"/>
          <w:tab w:val="left" w:pos="792"/>
        </w:tabs>
        <w:spacing w:before="120"/>
        <w:jc w:val="both"/>
        <w:textAlignment w:val="baseline"/>
        <w:rPr>
          <w:rFonts w:asciiTheme="minorHAnsi" w:hAnsiTheme="minorHAnsi" w:cs="Calibri Light"/>
        </w:rPr>
      </w:pPr>
      <w:r w:rsidRPr="00A65F14">
        <w:rPr>
          <w:rFonts w:asciiTheme="minorHAnsi" w:hAnsiTheme="minorHAnsi" w:cs="Calibri Light"/>
          <w:b/>
          <w:bCs/>
        </w:rPr>
        <w:t xml:space="preserve">En ce qui concerne le </w:t>
      </w:r>
      <w:proofErr w:type="spellStart"/>
      <w:r w:rsidRPr="00A65F14">
        <w:rPr>
          <w:rFonts w:asciiTheme="minorHAnsi" w:hAnsiTheme="minorHAnsi" w:cs="Calibri Light"/>
          <w:b/>
          <w:bCs/>
        </w:rPr>
        <w:t>P</w:t>
      </w:r>
      <w:r w:rsidR="00B31E8D" w:rsidRPr="00A65F14">
        <w:rPr>
          <w:rFonts w:asciiTheme="minorHAnsi" w:hAnsiTheme="minorHAnsi" w:cs="Calibri Light"/>
          <w:b/>
          <w:bCs/>
        </w:rPr>
        <w:t>r</w:t>
      </w:r>
      <w:r w:rsidRPr="00A65F14">
        <w:rPr>
          <w:rFonts w:asciiTheme="minorHAnsi" w:hAnsiTheme="minorHAnsi" w:cs="Calibri Light"/>
          <w:b/>
          <w:bCs/>
        </w:rPr>
        <w:t>I</w:t>
      </w:r>
      <w:proofErr w:type="spellEnd"/>
      <w:r w:rsidRPr="008D7EB7">
        <w:rPr>
          <w:rFonts w:asciiTheme="minorHAnsi" w:hAnsiTheme="minorHAnsi" w:cs="Calibri Light"/>
        </w:rPr>
        <w:t xml:space="preserve"> : le règlement-taxe doit être transmis suffisamment t</w:t>
      </w:r>
      <w:r w:rsidR="003A6785" w:rsidRPr="008D7EB7">
        <w:rPr>
          <w:rFonts w:asciiTheme="minorHAnsi" w:hAnsiTheme="minorHAnsi" w:cs="Calibri Light"/>
        </w:rPr>
        <w:t>ôt</w:t>
      </w:r>
      <w:r w:rsidRPr="008D7EB7">
        <w:rPr>
          <w:rFonts w:asciiTheme="minorHAnsi" w:hAnsiTheme="minorHAnsi" w:cs="Calibri Light"/>
        </w:rPr>
        <w:t xml:space="preserve"> au SPW-IAS afin qu’il puisse être </w:t>
      </w:r>
      <w:r w:rsidR="003A19DE">
        <w:rPr>
          <w:rFonts w:asciiTheme="minorHAnsi" w:hAnsiTheme="minorHAnsi" w:cs="Calibri Light"/>
        </w:rPr>
        <w:t>transmis au SPW Finances</w:t>
      </w:r>
      <w:r w:rsidR="003A19DE" w:rsidRPr="008D7EB7">
        <w:rPr>
          <w:rFonts w:asciiTheme="minorHAnsi" w:hAnsiTheme="minorHAnsi" w:cs="Calibri Light"/>
        </w:rPr>
        <w:t xml:space="preserve"> </w:t>
      </w:r>
      <w:r w:rsidR="00526546">
        <w:rPr>
          <w:rFonts w:asciiTheme="minorHAnsi" w:hAnsiTheme="minorHAnsi" w:cs="Calibri Light"/>
        </w:rPr>
        <w:t xml:space="preserve">dans les délais réclamés par ce dernier, à savoir </w:t>
      </w:r>
      <w:r w:rsidRPr="008D7EB7">
        <w:rPr>
          <w:rFonts w:asciiTheme="minorHAnsi" w:hAnsiTheme="minorHAnsi" w:cs="Calibri Light"/>
        </w:rPr>
        <w:t xml:space="preserve">pour le </w:t>
      </w:r>
      <w:r w:rsidR="003A19DE">
        <w:rPr>
          <w:rFonts w:asciiTheme="minorHAnsi" w:hAnsiTheme="minorHAnsi" w:cs="Calibri Light"/>
          <w:b/>
          <w:bCs/>
        </w:rPr>
        <w:t>15 février</w:t>
      </w:r>
      <w:r w:rsidRPr="008D7EB7">
        <w:rPr>
          <w:rFonts w:asciiTheme="minorHAnsi" w:hAnsiTheme="minorHAnsi" w:cs="Calibri Light"/>
        </w:rPr>
        <w:t xml:space="preserve">, soit </w:t>
      </w:r>
      <w:r w:rsidR="00526546">
        <w:rPr>
          <w:rFonts w:asciiTheme="minorHAnsi" w:hAnsiTheme="minorHAnsi" w:cs="Calibri Light"/>
        </w:rPr>
        <w:t xml:space="preserve">au SPWIAS </w:t>
      </w:r>
      <w:r w:rsidR="003A6785" w:rsidRPr="008D7EB7">
        <w:rPr>
          <w:rFonts w:asciiTheme="minorHAnsi" w:hAnsiTheme="minorHAnsi" w:cs="Calibri Light"/>
        </w:rPr>
        <w:t xml:space="preserve">impérativement et au plus tard </w:t>
      </w:r>
      <w:r w:rsidRPr="008D7EB7">
        <w:rPr>
          <w:rFonts w:asciiTheme="minorHAnsi" w:hAnsiTheme="minorHAnsi" w:cs="Calibri Light"/>
        </w:rPr>
        <w:t xml:space="preserve">avant </w:t>
      </w:r>
      <w:r w:rsidR="003A19DE">
        <w:rPr>
          <w:rFonts w:asciiTheme="minorHAnsi" w:hAnsiTheme="minorHAnsi" w:cs="Calibri Light"/>
        </w:rPr>
        <w:t>le 15 janvier ;</w:t>
      </w:r>
    </w:p>
    <w:p w14:paraId="4FC917DC" w14:textId="0116E1A5" w:rsidR="009B153C" w:rsidRPr="00792F8A" w:rsidRDefault="00280CFA" w:rsidP="008D7EB7">
      <w:pPr>
        <w:pStyle w:val="Paragraphedeliste"/>
        <w:numPr>
          <w:ilvl w:val="0"/>
          <w:numId w:val="152"/>
        </w:numPr>
        <w:tabs>
          <w:tab w:val="left" w:pos="710"/>
          <w:tab w:val="left" w:pos="792"/>
        </w:tabs>
        <w:spacing w:before="120"/>
        <w:jc w:val="both"/>
        <w:textAlignment w:val="baseline"/>
        <w:rPr>
          <w:rFonts w:asciiTheme="minorHAnsi" w:hAnsiTheme="minorHAnsi" w:cs="Calibri Light"/>
        </w:rPr>
      </w:pPr>
      <w:bookmarkStart w:id="4182" w:name="_Hlk67578030"/>
      <w:r w:rsidRPr="00A65F14">
        <w:rPr>
          <w:rFonts w:asciiTheme="minorHAnsi" w:hAnsiTheme="minorHAnsi" w:cs="Calibri Light"/>
          <w:b/>
          <w:bCs/>
        </w:rPr>
        <w:t>En ce qui concerne l’IPP</w:t>
      </w:r>
      <w:r w:rsidRPr="008D7EB7">
        <w:rPr>
          <w:rFonts w:asciiTheme="minorHAnsi" w:hAnsiTheme="minorHAnsi" w:cs="Calibri Light"/>
        </w:rPr>
        <w:t xml:space="preserve"> : le règlement-taxe et la lettre d’exécutoire doivent être transmises </w:t>
      </w:r>
      <w:r w:rsidR="005547D1">
        <w:rPr>
          <w:rFonts w:asciiTheme="minorHAnsi" w:hAnsiTheme="minorHAnsi" w:cs="Calibri Light"/>
        </w:rPr>
        <w:t>à Mr. HERMANS M.</w:t>
      </w:r>
      <w:r w:rsidRPr="008D7EB7">
        <w:rPr>
          <w:rFonts w:asciiTheme="minorHAnsi" w:hAnsiTheme="minorHAnsi" w:cs="Calibri Light"/>
        </w:rPr>
        <w:t xml:space="preserve"> pour le </w:t>
      </w:r>
      <w:r w:rsidR="005547D1" w:rsidRPr="00A65F14">
        <w:rPr>
          <w:rFonts w:asciiTheme="minorHAnsi" w:hAnsiTheme="minorHAnsi" w:cs="Calibri Light"/>
          <w:b/>
          <w:bCs/>
        </w:rPr>
        <w:t>15 février</w:t>
      </w:r>
      <w:r w:rsidR="003A6785" w:rsidRPr="00A65F14">
        <w:rPr>
          <w:rFonts w:asciiTheme="minorHAnsi" w:hAnsiTheme="minorHAnsi" w:cs="Calibri Light"/>
          <w:b/>
          <w:bCs/>
        </w:rPr>
        <w:t xml:space="preserve"> </w:t>
      </w:r>
      <w:r w:rsidR="003A6785" w:rsidRPr="008D7EB7">
        <w:rPr>
          <w:rFonts w:asciiTheme="minorHAnsi" w:hAnsiTheme="minorHAnsi" w:cs="Calibri Light"/>
        </w:rPr>
        <w:t>au plus tard</w:t>
      </w:r>
      <w:bookmarkEnd w:id="4182"/>
      <w:r w:rsidRPr="008D7EB7">
        <w:rPr>
          <w:rFonts w:asciiTheme="minorHAnsi" w:hAnsiTheme="minorHAnsi" w:cs="Calibri Light"/>
        </w:rPr>
        <w:t>.</w:t>
      </w:r>
    </w:p>
    <w:p w14:paraId="70A52D6F" w14:textId="77777777" w:rsidR="009B153C" w:rsidRPr="00A65F14" w:rsidRDefault="009B153C" w:rsidP="00E063FD">
      <w:pPr>
        <w:spacing w:before="120"/>
        <w:jc w:val="both"/>
        <w:textAlignment w:val="baseline"/>
        <w:rPr>
          <w:rFonts w:asciiTheme="minorHAnsi" w:hAnsiTheme="minorHAnsi" w:cs="Calibri Light"/>
          <w:b/>
          <w:bCs/>
        </w:rPr>
      </w:pPr>
      <w:r w:rsidRPr="00A65F14">
        <w:rPr>
          <w:rFonts w:asciiTheme="minorHAnsi" w:hAnsiTheme="minorHAnsi" w:cs="Calibri Light"/>
          <w:b/>
          <w:bCs/>
        </w:rPr>
        <w:t>Tout manquement à ces règles retarde la perception de ces recettes fiscales et met en péril l'équilibre de trésorerie non seulement pour cet exercice mais aussi pour l'exercice suivant.</w:t>
      </w:r>
    </w:p>
    <w:p w14:paraId="0BCCE55A" w14:textId="76A78B66" w:rsidR="009B153C"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lastRenderedPageBreak/>
        <w:t>En outre, pour éviter les confusions et les rôles supplétifs, je recommande, sauf circonstances exceptionnelles, de ne pas modifier les taux des taxes additionnelles en cours d'exercice.</w:t>
      </w:r>
    </w:p>
    <w:p w14:paraId="2416D6A7" w14:textId="77777777" w:rsidR="00434194" w:rsidRPr="006B47EE" w:rsidRDefault="00434194" w:rsidP="00E063FD">
      <w:pPr>
        <w:spacing w:before="120"/>
        <w:jc w:val="both"/>
        <w:textAlignment w:val="baseline"/>
        <w:rPr>
          <w:rFonts w:asciiTheme="minorHAnsi" w:hAnsiTheme="minorHAnsi" w:cs="Calibri Light"/>
          <w:spacing w:val="-2"/>
          <w:sz w:val="2"/>
          <w:szCs w:val="2"/>
        </w:rPr>
      </w:pPr>
    </w:p>
    <w:p w14:paraId="4E876212" w14:textId="52D46EBD" w:rsidR="009B153C" w:rsidRDefault="008D5D16" w:rsidP="00256E9F">
      <w:pPr>
        <w:pStyle w:val="Sam3"/>
      </w:pPr>
      <w:bookmarkStart w:id="4183" w:name="_Toc516739685"/>
      <w:bookmarkStart w:id="4184" w:name="_Toc516751598"/>
      <w:bookmarkStart w:id="4185" w:name="_Toc516825686"/>
      <w:bookmarkStart w:id="4186" w:name="_Toc516826244"/>
      <w:bookmarkStart w:id="4187" w:name="_Toc516837564"/>
      <w:bookmarkStart w:id="4188" w:name="_Toc516838123"/>
      <w:bookmarkStart w:id="4189" w:name="_Toc516838682"/>
      <w:bookmarkStart w:id="4190" w:name="_Toc516839242"/>
      <w:bookmarkStart w:id="4191" w:name="_Toc517173338"/>
      <w:bookmarkStart w:id="4192" w:name="_Toc517175012"/>
      <w:bookmarkStart w:id="4193" w:name="_Toc517175599"/>
      <w:bookmarkStart w:id="4194" w:name="_Toc517176187"/>
      <w:bookmarkStart w:id="4195" w:name="_Toc517337512"/>
      <w:bookmarkStart w:id="4196" w:name="_Toc517360308"/>
      <w:bookmarkStart w:id="4197" w:name="_Toc516739686"/>
      <w:bookmarkStart w:id="4198" w:name="_Toc516751599"/>
      <w:bookmarkStart w:id="4199" w:name="_Toc516825687"/>
      <w:bookmarkStart w:id="4200" w:name="_Toc516826245"/>
      <w:bookmarkStart w:id="4201" w:name="_Toc516837565"/>
      <w:bookmarkStart w:id="4202" w:name="_Toc516838124"/>
      <w:bookmarkStart w:id="4203" w:name="_Toc516838683"/>
      <w:bookmarkStart w:id="4204" w:name="_Toc516839243"/>
      <w:bookmarkStart w:id="4205" w:name="_Toc517173339"/>
      <w:bookmarkStart w:id="4206" w:name="_Toc517175013"/>
      <w:bookmarkStart w:id="4207" w:name="_Toc517175600"/>
      <w:bookmarkStart w:id="4208" w:name="_Toc517176188"/>
      <w:bookmarkStart w:id="4209" w:name="_Toc517337513"/>
      <w:bookmarkStart w:id="4210" w:name="_Toc517360309"/>
      <w:bookmarkStart w:id="4211" w:name="_Toc516739687"/>
      <w:bookmarkStart w:id="4212" w:name="_Toc516751600"/>
      <w:bookmarkStart w:id="4213" w:name="_Toc516825688"/>
      <w:bookmarkStart w:id="4214" w:name="_Toc516826246"/>
      <w:bookmarkStart w:id="4215" w:name="_Toc516837566"/>
      <w:bookmarkStart w:id="4216" w:name="_Toc516838125"/>
      <w:bookmarkStart w:id="4217" w:name="_Toc516838684"/>
      <w:bookmarkStart w:id="4218" w:name="_Toc516839244"/>
      <w:bookmarkStart w:id="4219" w:name="_Toc517173340"/>
      <w:bookmarkStart w:id="4220" w:name="_Toc517175014"/>
      <w:bookmarkStart w:id="4221" w:name="_Toc517175601"/>
      <w:bookmarkStart w:id="4222" w:name="_Toc517176189"/>
      <w:bookmarkStart w:id="4223" w:name="_Toc517337514"/>
      <w:bookmarkStart w:id="4224" w:name="_Toc517360310"/>
      <w:bookmarkStart w:id="4225" w:name="_Toc516739688"/>
      <w:bookmarkStart w:id="4226" w:name="_Toc516751601"/>
      <w:bookmarkStart w:id="4227" w:name="_Toc516825689"/>
      <w:bookmarkStart w:id="4228" w:name="_Toc516826247"/>
      <w:bookmarkStart w:id="4229" w:name="_Toc516837567"/>
      <w:bookmarkStart w:id="4230" w:name="_Toc516838126"/>
      <w:bookmarkStart w:id="4231" w:name="_Toc516838685"/>
      <w:bookmarkStart w:id="4232" w:name="_Toc516839245"/>
      <w:bookmarkStart w:id="4233" w:name="_Toc517173341"/>
      <w:bookmarkStart w:id="4234" w:name="_Toc517175015"/>
      <w:bookmarkStart w:id="4235" w:name="_Toc517175602"/>
      <w:bookmarkStart w:id="4236" w:name="_Toc517176190"/>
      <w:bookmarkStart w:id="4237" w:name="_Toc517337515"/>
      <w:bookmarkStart w:id="4238" w:name="_Toc517360311"/>
      <w:bookmarkStart w:id="4239" w:name="_Toc512523769"/>
      <w:bookmarkStart w:id="4240" w:name="_Toc512525459"/>
      <w:bookmarkStart w:id="4241" w:name="_Toc515896768"/>
      <w:bookmarkStart w:id="4242" w:name="_Toc74557682"/>
      <w:bookmarkStart w:id="4243" w:name="_Hlk105600698"/>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r>
        <w:t xml:space="preserve">VI.4.5 </w:t>
      </w:r>
      <w:r w:rsidR="009B153C" w:rsidRPr="00DA6BD2">
        <w:t>Exonération en faveur des industries nouvelles et des investissements</w:t>
      </w:r>
      <w:bookmarkEnd w:id="4239"/>
      <w:bookmarkEnd w:id="4240"/>
      <w:bookmarkEnd w:id="4241"/>
      <w:bookmarkEnd w:id="4242"/>
      <w:r w:rsidR="009B153C" w:rsidRPr="00DA6BD2">
        <w:t xml:space="preserve"> </w:t>
      </w:r>
    </w:p>
    <w:p w14:paraId="3AA91F81" w14:textId="77777777" w:rsidR="00541AFA" w:rsidRPr="00DA6BD2" w:rsidRDefault="00541AFA" w:rsidP="00256E9F">
      <w:pPr>
        <w:pStyle w:val="Sam3"/>
      </w:pPr>
    </w:p>
    <w:p w14:paraId="3ACA251B" w14:textId="2AB16FED" w:rsidR="00892FFC" w:rsidRDefault="00892FFC" w:rsidP="00581DAD">
      <w:pPr>
        <w:pStyle w:val="Sam4"/>
      </w:pPr>
      <w:bookmarkStart w:id="4244" w:name="_Toc516245067"/>
      <w:bookmarkStart w:id="4245" w:name="_Toc516473638"/>
      <w:bookmarkStart w:id="4246" w:name="_Toc516473948"/>
      <w:bookmarkStart w:id="4247" w:name="_Toc516474258"/>
      <w:bookmarkStart w:id="4248" w:name="_Toc516474566"/>
      <w:bookmarkStart w:id="4249" w:name="_Toc516474898"/>
      <w:bookmarkStart w:id="4250" w:name="_Toc516478929"/>
      <w:bookmarkStart w:id="4251" w:name="_Toc516479392"/>
      <w:bookmarkStart w:id="4252" w:name="_Toc516479709"/>
      <w:bookmarkStart w:id="4253" w:name="_Toc516480031"/>
      <w:bookmarkStart w:id="4254" w:name="_Toc516480345"/>
      <w:bookmarkStart w:id="4255" w:name="_Toc516480659"/>
      <w:bookmarkStart w:id="4256" w:name="_Toc516480973"/>
      <w:bookmarkStart w:id="4257" w:name="_Toc516481287"/>
      <w:bookmarkStart w:id="4258" w:name="_Toc516481601"/>
      <w:bookmarkStart w:id="4259" w:name="_Toc516481915"/>
      <w:bookmarkStart w:id="4260" w:name="_Toc516482229"/>
      <w:bookmarkStart w:id="4261" w:name="_Toc516482543"/>
      <w:bookmarkStart w:id="4262" w:name="_Toc516739690"/>
      <w:bookmarkStart w:id="4263" w:name="_Toc516751603"/>
      <w:bookmarkStart w:id="4264" w:name="_Toc516825691"/>
      <w:bookmarkStart w:id="4265" w:name="_Toc516826249"/>
      <w:bookmarkStart w:id="4266" w:name="_Toc516837569"/>
      <w:bookmarkStart w:id="4267" w:name="_Toc516838128"/>
      <w:bookmarkStart w:id="4268" w:name="_Toc516838687"/>
      <w:bookmarkStart w:id="4269" w:name="_Toc516839247"/>
      <w:bookmarkStart w:id="4270" w:name="_Toc517173343"/>
      <w:bookmarkStart w:id="4271" w:name="_Toc517175017"/>
      <w:bookmarkStart w:id="4272" w:name="_Toc517175604"/>
      <w:bookmarkStart w:id="4273" w:name="_Toc517176192"/>
      <w:bookmarkStart w:id="4274" w:name="_Toc517337517"/>
      <w:bookmarkStart w:id="4275" w:name="_Toc517360313"/>
      <w:bookmarkStart w:id="4276" w:name="_Toc7455768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r>
        <w:t>Expansion économique</w:t>
      </w:r>
      <w:bookmarkEnd w:id="4276"/>
      <w:r>
        <w:t xml:space="preserve"> </w:t>
      </w:r>
    </w:p>
    <w:p w14:paraId="719443E4" w14:textId="76CD8FB7" w:rsidR="009B153C" w:rsidRDefault="00CE39D1" w:rsidP="00E063FD">
      <w:pPr>
        <w:spacing w:before="120"/>
        <w:jc w:val="both"/>
        <w:textAlignment w:val="baseline"/>
        <w:rPr>
          <w:rFonts w:asciiTheme="minorHAnsi" w:hAnsiTheme="minorHAnsi" w:cs="Calibri Light"/>
        </w:rPr>
      </w:pPr>
      <w:bookmarkStart w:id="4277" w:name="_Hlk105664858"/>
      <w:bookmarkEnd w:id="4243"/>
      <w:r>
        <w:rPr>
          <w:rFonts w:asciiTheme="minorHAnsi" w:hAnsiTheme="minorHAnsi" w:cs="Calibri Light"/>
        </w:rPr>
        <w:t xml:space="preserve">Sur la base d’une circulaire du 9 août 1985, </w:t>
      </w:r>
      <w:bookmarkEnd w:id="4277"/>
      <w:r w:rsidR="009B153C" w:rsidRPr="00DA6BD2">
        <w:rPr>
          <w:rFonts w:asciiTheme="minorHAnsi" w:hAnsiTheme="minorHAnsi" w:cs="Calibri Light"/>
        </w:rPr>
        <w:t>les Conseils communaux peuvent, moyennant certaines conditions, exonérer temporairement de certaines taxes les industries nouvelles et les investissements sur leur territoire en précisant que l'exonération peut porter notamment sur :</w:t>
      </w:r>
    </w:p>
    <w:p w14:paraId="5B5256B4" w14:textId="77777777" w:rsidR="00792F8A" w:rsidRPr="00256E9F" w:rsidRDefault="00792F8A" w:rsidP="00E063FD">
      <w:pPr>
        <w:spacing w:before="120"/>
        <w:jc w:val="both"/>
        <w:textAlignment w:val="baseline"/>
        <w:rPr>
          <w:rFonts w:asciiTheme="minorHAnsi" w:hAnsiTheme="minorHAnsi" w:cs="Calibri Light"/>
          <w:sz w:val="4"/>
          <w:szCs w:val="4"/>
        </w:rPr>
      </w:pPr>
    </w:p>
    <w:p w14:paraId="5FFD700C" w14:textId="1F6B373D" w:rsidR="009B153C" w:rsidRPr="008D7EB7" w:rsidRDefault="00792F8A" w:rsidP="008D7EB7">
      <w:pPr>
        <w:pStyle w:val="Paragraphedeliste"/>
        <w:numPr>
          <w:ilvl w:val="0"/>
          <w:numId w:val="153"/>
        </w:numPr>
        <w:tabs>
          <w:tab w:val="left" w:pos="-148"/>
          <w:tab w:val="left" w:pos="360"/>
        </w:tabs>
        <w:spacing w:before="9"/>
        <w:jc w:val="both"/>
        <w:textAlignment w:val="baseline"/>
        <w:rPr>
          <w:rFonts w:asciiTheme="minorHAnsi" w:hAnsiTheme="minorHAnsi" w:cs="Calibri Light"/>
        </w:rPr>
      </w:pPr>
      <w:proofErr w:type="gramStart"/>
      <w:r w:rsidRPr="008D7EB7">
        <w:rPr>
          <w:rFonts w:asciiTheme="minorHAnsi" w:hAnsiTheme="minorHAnsi" w:cs="Calibri Light"/>
        </w:rPr>
        <w:t>l</w:t>
      </w:r>
      <w:r w:rsidR="005F4C75" w:rsidRPr="008D7EB7">
        <w:rPr>
          <w:rFonts w:asciiTheme="minorHAnsi" w:hAnsiTheme="minorHAnsi" w:cs="Calibri Light"/>
        </w:rPr>
        <w:t>a</w:t>
      </w:r>
      <w:proofErr w:type="gramEnd"/>
      <w:r w:rsidR="005F4C75" w:rsidRPr="008D7EB7">
        <w:rPr>
          <w:rFonts w:asciiTheme="minorHAnsi" w:hAnsiTheme="minorHAnsi" w:cs="Calibri Light"/>
        </w:rPr>
        <w:t xml:space="preserve"> taxe</w:t>
      </w:r>
      <w:r w:rsidR="009B153C" w:rsidRPr="008D7EB7">
        <w:rPr>
          <w:rFonts w:asciiTheme="minorHAnsi" w:hAnsiTheme="minorHAnsi" w:cs="Calibri Light"/>
        </w:rPr>
        <w:t xml:space="preserve"> sur la force motrice</w:t>
      </w:r>
      <w:r w:rsidR="00C42772" w:rsidRPr="008D7EB7">
        <w:rPr>
          <w:rFonts w:asciiTheme="minorHAnsi" w:hAnsiTheme="minorHAnsi" w:cs="Calibri Light"/>
        </w:rPr>
        <w:t xml:space="preserve"> </w:t>
      </w:r>
      <w:r w:rsidR="009B153C" w:rsidRPr="008D7EB7">
        <w:rPr>
          <w:rFonts w:asciiTheme="minorHAnsi" w:hAnsiTheme="minorHAnsi" w:cs="Calibri Light"/>
        </w:rPr>
        <w:t>;</w:t>
      </w:r>
    </w:p>
    <w:p w14:paraId="18C05DB2" w14:textId="6F32EF55" w:rsidR="009B153C" w:rsidRPr="008D7EB7" w:rsidRDefault="00792F8A" w:rsidP="008D7EB7">
      <w:pPr>
        <w:pStyle w:val="Paragraphedeliste"/>
        <w:numPr>
          <w:ilvl w:val="0"/>
          <w:numId w:val="153"/>
        </w:numPr>
        <w:tabs>
          <w:tab w:val="left" w:pos="-148"/>
          <w:tab w:val="left" w:pos="360"/>
        </w:tabs>
        <w:jc w:val="both"/>
        <w:textAlignment w:val="baseline"/>
        <w:rPr>
          <w:rFonts w:asciiTheme="minorHAnsi" w:hAnsiTheme="minorHAnsi" w:cs="Calibri Light"/>
          <w:spacing w:val="-1"/>
        </w:rPr>
      </w:pPr>
      <w:proofErr w:type="gramStart"/>
      <w:r w:rsidRPr="008D7EB7">
        <w:rPr>
          <w:rFonts w:asciiTheme="minorHAnsi" w:hAnsiTheme="minorHAnsi" w:cs="Calibri Light"/>
          <w:spacing w:val="-1"/>
        </w:rPr>
        <w:t>l</w:t>
      </w:r>
      <w:r w:rsidR="005F4C75" w:rsidRPr="008D7EB7">
        <w:rPr>
          <w:rFonts w:asciiTheme="minorHAnsi" w:hAnsiTheme="minorHAnsi" w:cs="Calibri Light"/>
          <w:spacing w:val="-1"/>
        </w:rPr>
        <w:t>a</w:t>
      </w:r>
      <w:proofErr w:type="gramEnd"/>
      <w:r w:rsidR="005F4C75" w:rsidRPr="008D7EB7">
        <w:rPr>
          <w:rFonts w:asciiTheme="minorHAnsi" w:hAnsiTheme="minorHAnsi" w:cs="Calibri Light"/>
          <w:spacing w:val="-1"/>
        </w:rPr>
        <w:t xml:space="preserve"> taxe</w:t>
      </w:r>
      <w:r w:rsidR="009B153C" w:rsidRPr="008D7EB7">
        <w:rPr>
          <w:rFonts w:asciiTheme="minorHAnsi" w:hAnsiTheme="minorHAnsi" w:cs="Calibri Light"/>
          <w:spacing w:val="-1"/>
        </w:rPr>
        <w:t xml:space="preserve"> sur les établissements dangereux, insalubres et incommodes ;</w:t>
      </w:r>
    </w:p>
    <w:p w14:paraId="26D72745" w14:textId="1014775C" w:rsidR="009B153C" w:rsidRPr="008D7EB7" w:rsidRDefault="00792F8A" w:rsidP="008D7EB7">
      <w:pPr>
        <w:pStyle w:val="Paragraphedeliste"/>
        <w:numPr>
          <w:ilvl w:val="0"/>
          <w:numId w:val="153"/>
        </w:numPr>
        <w:tabs>
          <w:tab w:val="left" w:pos="-148"/>
          <w:tab w:val="left" w:pos="360"/>
        </w:tabs>
        <w:jc w:val="both"/>
        <w:textAlignment w:val="baseline"/>
        <w:rPr>
          <w:rFonts w:asciiTheme="minorHAnsi" w:hAnsiTheme="minorHAnsi" w:cs="Calibri Light"/>
          <w:spacing w:val="-1"/>
        </w:rPr>
      </w:pPr>
      <w:proofErr w:type="gramStart"/>
      <w:r w:rsidRPr="008D7EB7">
        <w:rPr>
          <w:rFonts w:asciiTheme="minorHAnsi" w:hAnsiTheme="minorHAnsi" w:cs="Calibri Light"/>
          <w:spacing w:val="-1"/>
        </w:rPr>
        <w:t>l</w:t>
      </w:r>
      <w:r w:rsidR="005F4C75" w:rsidRPr="008D7EB7">
        <w:rPr>
          <w:rFonts w:asciiTheme="minorHAnsi" w:hAnsiTheme="minorHAnsi" w:cs="Calibri Light"/>
          <w:spacing w:val="-1"/>
        </w:rPr>
        <w:t>a</w:t>
      </w:r>
      <w:proofErr w:type="gramEnd"/>
      <w:r w:rsidR="005F4C75" w:rsidRPr="008D7EB7">
        <w:rPr>
          <w:rFonts w:asciiTheme="minorHAnsi" w:hAnsiTheme="minorHAnsi" w:cs="Calibri Light"/>
          <w:spacing w:val="-1"/>
        </w:rPr>
        <w:t xml:space="preserve"> taxe </w:t>
      </w:r>
      <w:r w:rsidR="009B153C" w:rsidRPr="008D7EB7">
        <w:rPr>
          <w:rFonts w:asciiTheme="minorHAnsi" w:hAnsiTheme="minorHAnsi" w:cs="Calibri Light"/>
          <w:spacing w:val="-1"/>
        </w:rPr>
        <w:t>sur les constructions ;</w:t>
      </w:r>
    </w:p>
    <w:p w14:paraId="270A3EFC" w14:textId="7C33B20D" w:rsidR="009B153C" w:rsidRPr="008D7EB7" w:rsidRDefault="00792F8A" w:rsidP="008D7EB7">
      <w:pPr>
        <w:pStyle w:val="Paragraphedeliste"/>
        <w:numPr>
          <w:ilvl w:val="0"/>
          <w:numId w:val="153"/>
        </w:numPr>
        <w:tabs>
          <w:tab w:val="left" w:pos="-148"/>
          <w:tab w:val="left" w:pos="360"/>
        </w:tabs>
        <w:spacing w:before="1"/>
        <w:jc w:val="both"/>
        <w:textAlignment w:val="baseline"/>
        <w:rPr>
          <w:rFonts w:asciiTheme="minorHAnsi" w:hAnsiTheme="minorHAnsi" w:cs="Calibri Light"/>
          <w:spacing w:val="-2"/>
        </w:rPr>
      </w:pPr>
      <w:proofErr w:type="gramStart"/>
      <w:r w:rsidRPr="008D7EB7">
        <w:rPr>
          <w:rFonts w:asciiTheme="minorHAnsi" w:hAnsiTheme="minorHAnsi" w:cs="Calibri Light"/>
          <w:spacing w:val="-2"/>
        </w:rPr>
        <w:t>l</w:t>
      </w:r>
      <w:r w:rsidR="005F4C75" w:rsidRPr="008D7EB7">
        <w:rPr>
          <w:rFonts w:asciiTheme="minorHAnsi" w:hAnsiTheme="minorHAnsi" w:cs="Calibri Light"/>
          <w:spacing w:val="-2"/>
        </w:rPr>
        <w:t>a</w:t>
      </w:r>
      <w:proofErr w:type="gramEnd"/>
      <w:r w:rsidR="005F4C75" w:rsidRPr="008D7EB7">
        <w:rPr>
          <w:rFonts w:asciiTheme="minorHAnsi" w:hAnsiTheme="minorHAnsi" w:cs="Calibri Light"/>
          <w:spacing w:val="-2"/>
        </w:rPr>
        <w:t xml:space="preserve"> taxe sur les </w:t>
      </w:r>
      <w:r w:rsidR="009B153C" w:rsidRPr="008D7EB7">
        <w:rPr>
          <w:rFonts w:asciiTheme="minorHAnsi" w:hAnsiTheme="minorHAnsi" w:cs="Calibri Light"/>
          <w:spacing w:val="-2"/>
        </w:rPr>
        <w:t>tanks et réservoirs ;</w:t>
      </w:r>
    </w:p>
    <w:p w14:paraId="4F1F16DF" w14:textId="66428E50" w:rsidR="009B153C" w:rsidRPr="008D7EB7" w:rsidRDefault="00792F8A" w:rsidP="008D7EB7">
      <w:pPr>
        <w:pStyle w:val="Paragraphedeliste"/>
        <w:numPr>
          <w:ilvl w:val="0"/>
          <w:numId w:val="153"/>
        </w:numPr>
        <w:tabs>
          <w:tab w:val="left" w:pos="-148"/>
          <w:tab w:val="left" w:pos="360"/>
        </w:tabs>
        <w:spacing w:before="3"/>
        <w:jc w:val="both"/>
        <w:textAlignment w:val="baseline"/>
        <w:rPr>
          <w:rFonts w:asciiTheme="minorHAnsi" w:hAnsiTheme="minorHAnsi" w:cs="Calibri Light"/>
          <w:spacing w:val="-1"/>
        </w:rPr>
      </w:pPr>
      <w:proofErr w:type="gramStart"/>
      <w:r w:rsidRPr="008D7EB7">
        <w:rPr>
          <w:rFonts w:asciiTheme="minorHAnsi" w:hAnsiTheme="minorHAnsi" w:cs="Calibri Light"/>
          <w:spacing w:val="-1"/>
        </w:rPr>
        <w:t>l</w:t>
      </w:r>
      <w:r w:rsidR="009B153C" w:rsidRPr="008D7EB7">
        <w:rPr>
          <w:rFonts w:asciiTheme="minorHAnsi" w:hAnsiTheme="minorHAnsi" w:cs="Calibri Light"/>
          <w:spacing w:val="-1"/>
        </w:rPr>
        <w:t>a</w:t>
      </w:r>
      <w:proofErr w:type="gramEnd"/>
      <w:r w:rsidR="009B153C" w:rsidRPr="008D7EB7">
        <w:rPr>
          <w:rFonts w:asciiTheme="minorHAnsi" w:hAnsiTheme="minorHAnsi" w:cs="Calibri Light"/>
          <w:spacing w:val="-1"/>
        </w:rPr>
        <w:t xml:space="preserve"> taxe sur les enseignes et publicités assimilées ;</w:t>
      </w:r>
    </w:p>
    <w:p w14:paraId="76BD543B" w14:textId="042D1348" w:rsidR="009B153C" w:rsidRPr="008D7EB7" w:rsidRDefault="00792F8A" w:rsidP="008D7EB7">
      <w:pPr>
        <w:pStyle w:val="Paragraphedeliste"/>
        <w:numPr>
          <w:ilvl w:val="0"/>
          <w:numId w:val="153"/>
        </w:numPr>
        <w:tabs>
          <w:tab w:val="left" w:pos="-148"/>
          <w:tab w:val="left" w:pos="360"/>
        </w:tabs>
        <w:spacing w:before="7"/>
        <w:jc w:val="both"/>
        <w:textAlignment w:val="baseline"/>
        <w:rPr>
          <w:rFonts w:asciiTheme="minorHAnsi" w:hAnsiTheme="minorHAnsi" w:cs="Calibri Light"/>
        </w:rPr>
      </w:pPr>
      <w:proofErr w:type="gramStart"/>
      <w:r w:rsidRPr="008D7EB7">
        <w:rPr>
          <w:rFonts w:asciiTheme="minorHAnsi" w:hAnsiTheme="minorHAnsi" w:cs="Calibri Light"/>
        </w:rPr>
        <w:t>la</w:t>
      </w:r>
      <w:proofErr w:type="gramEnd"/>
      <w:r w:rsidR="009B153C" w:rsidRPr="008D7EB7">
        <w:rPr>
          <w:rFonts w:asciiTheme="minorHAnsi" w:hAnsiTheme="minorHAnsi" w:cs="Calibri Light"/>
        </w:rPr>
        <w:t xml:space="preserve"> taxe industrielle compensatoire</w:t>
      </w:r>
      <w:r w:rsidR="00C42772" w:rsidRPr="008D7EB7">
        <w:rPr>
          <w:rFonts w:asciiTheme="minorHAnsi" w:hAnsiTheme="minorHAnsi" w:cs="Calibri Light"/>
        </w:rPr>
        <w:t xml:space="preserve"> </w:t>
      </w:r>
      <w:r w:rsidR="009B153C" w:rsidRPr="008D7EB7">
        <w:rPr>
          <w:rFonts w:asciiTheme="minorHAnsi" w:hAnsiTheme="minorHAnsi" w:cs="Calibri Light"/>
        </w:rPr>
        <w:t>;</w:t>
      </w:r>
    </w:p>
    <w:p w14:paraId="585558DD" w14:textId="616ECCAF" w:rsidR="009B153C" w:rsidRDefault="00792F8A" w:rsidP="008D7EB7">
      <w:pPr>
        <w:pStyle w:val="Paragraphedeliste"/>
        <w:numPr>
          <w:ilvl w:val="0"/>
          <w:numId w:val="153"/>
        </w:numPr>
        <w:tabs>
          <w:tab w:val="left" w:pos="-148"/>
          <w:tab w:val="left" w:pos="360"/>
        </w:tabs>
        <w:jc w:val="both"/>
        <w:textAlignment w:val="baseline"/>
        <w:rPr>
          <w:rFonts w:asciiTheme="minorHAnsi" w:hAnsiTheme="minorHAnsi" w:cs="Calibri Light"/>
          <w:spacing w:val="-1"/>
        </w:rPr>
      </w:pPr>
      <w:proofErr w:type="gramStart"/>
      <w:r w:rsidRPr="008D7EB7">
        <w:rPr>
          <w:rFonts w:asciiTheme="minorHAnsi" w:hAnsiTheme="minorHAnsi" w:cs="Calibri Light"/>
          <w:spacing w:val="-1"/>
        </w:rPr>
        <w:t>l</w:t>
      </w:r>
      <w:r w:rsidR="009B153C" w:rsidRPr="008D7EB7">
        <w:rPr>
          <w:rFonts w:asciiTheme="minorHAnsi" w:hAnsiTheme="minorHAnsi" w:cs="Calibri Light"/>
          <w:spacing w:val="-1"/>
        </w:rPr>
        <w:t>es</w:t>
      </w:r>
      <w:proofErr w:type="gramEnd"/>
      <w:r w:rsidR="009B153C" w:rsidRPr="008D7EB7">
        <w:rPr>
          <w:rFonts w:asciiTheme="minorHAnsi" w:hAnsiTheme="minorHAnsi" w:cs="Calibri Light"/>
          <w:spacing w:val="-1"/>
        </w:rPr>
        <w:t xml:space="preserve"> diverses taxes sur le patrimoine industriel.</w:t>
      </w:r>
    </w:p>
    <w:p w14:paraId="72AF4A29" w14:textId="77777777" w:rsidR="0071350C" w:rsidRPr="008D7EB7" w:rsidRDefault="0071350C" w:rsidP="0071350C">
      <w:pPr>
        <w:pStyle w:val="Paragraphedeliste"/>
        <w:tabs>
          <w:tab w:val="left" w:pos="-148"/>
          <w:tab w:val="left" w:pos="360"/>
        </w:tabs>
        <w:ind w:left="720"/>
        <w:jc w:val="both"/>
        <w:textAlignment w:val="baseline"/>
        <w:rPr>
          <w:rFonts w:asciiTheme="minorHAnsi" w:hAnsiTheme="minorHAnsi" w:cs="Calibri Light"/>
          <w:spacing w:val="-1"/>
        </w:rPr>
      </w:pPr>
    </w:p>
    <w:p w14:paraId="52F648A4" w14:textId="77777777" w:rsidR="00892FFC" w:rsidRPr="00DA6BD2" w:rsidRDefault="00892FFC" w:rsidP="00581DAD">
      <w:pPr>
        <w:pStyle w:val="Sam4"/>
      </w:pPr>
      <w:bookmarkStart w:id="4278" w:name="_Toc74557684"/>
      <w:r>
        <w:t>Actions prioritaires pour l’avenir wallon</w:t>
      </w:r>
      <w:bookmarkEnd w:id="4278"/>
    </w:p>
    <w:p w14:paraId="4D4D9A10" w14:textId="2975BA3C"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Dans le cadre des « Actions prioritaires pour l'Avenir wallon »</w:t>
      </w:r>
      <w:r w:rsidR="00A04F0B">
        <w:rPr>
          <w:rStyle w:val="Appelnotedebasdep"/>
          <w:rFonts w:asciiTheme="minorHAnsi" w:hAnsiTheme="minorHAnsi" w:cs="Calibri Light"/>
        </w:rPr>
        <w:footnoteReference w:id="83"/>
      </w:r>
      <w:r w:rsidRPr="00DA6BD2">
        <w:rPr>
          <w:rFonts w:asciiTheme="minorHAnsi" w:hAnsiTheme="minorHAnsi" w:cs="Calibri Light"/>
        </w:rPr>
        <w:t>, le Parlement de Wallonie a décidé que « tous les investissements en matériel et outillage, acquis ou constitués à l'état neuf à partir du 1</w:t>
      </w:r>
      <w:r w:rsidRPr="00DA6BD2">
        <w:rPr>
          <w:rFonts w:asciiTheme="minorHAnsi" w:hAnsiTheme="minorHAnsi" w:cs="Calibri Light"/>
          <w:vertAlign w:val="superscript"/>
        </w:rPr>
        <w:t>er</w:t>
      </w:r>
      <w:r w:rsidRPr="00DA6BD2">
        <w:rPr>
          <w:rFonts w:asciiTheme="minorHAnsi" w:hAnsiTheme="minorHAnsi" w:cs="Calibri Light"/>
        </w:rPr>
        <w:t xml:space="preserve"> janvier 2006 sont exonérés du précompte immobilier. » Cette mesure s'applique sur tout le territoire de la Région wallonne et à toutes les entreprises.</w:t>
      </w:r>
    </w:p>
    <w:p w14:paraId="351C3387" w14:textId="40581EB4"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Au niveau local, la taxe sur la force motrice est supprimée sur tout nouvel investissement acquis ou consti</w:t>
      </w:r>
      <w:r>
        <w:rPr>
          <w:rFonts w:asciiTheme="minorHAnsi" w:hAnsiTheme="minorHAnsi" w:cs="Calibri Light"/>
        </w:rPr>
        <w:t xml:space="preserve">tué à l'état neuf </w:t>
      </w:r>
      <w:r w:rsidR="00553D05">
        <w:rPr>
          <w:rFonts w:asciiTheme="minorHAnsi" w:hAnsiTheme="minorHAnsi" w:cs="Calibri Light"/>
        </w:rPr>
        <w:t>depuis le</w:t>
      </w:r>
      <w:r>
        <w:rPr>
          <w:rFonts w:asciiTheme="minorHAnsi" w:hAnsiTheme="minorHAnsi" w:cs="Calibri Light"/>
        </w:rPr>
        <w:t xml:space="preserve"> 1</w:t>
      </w:r>
      <w:r w:rsidRPr="0006147B">
        <w:rPr>
          <w:rFonts w:asciiTheme="minorHAnsi" w:hAnsiTheme="minorHAnsi" w:cs="Calibri Light"/>
          <w:vertAlign w:val="superscript"/>
        </w:rPr>
        <w:t>er</w:t>
      </w:r>
      <w:r>
        <w:rPr>
          <w:rFonts w:asciiTheme="minorHAnsi" w:hAnsiTheme="minorHAnsi" w:cs="Calibri Light"/>
        </w:rPr>
        <w:t xml:space="preserve"> </w:t>
      </w:r>
      <w:r w:rsidRPr="00DA6BD2">
        <w:rPr>
          <w:rFonts w:asciiTheme="minorHAnsi" w:hAnsiTheme="minorHAnsi" w:cs="Calibri Light"/>
        </w:rPr>
        <w:t>janvier 2006, pour toutes les communes et provinces de la Région wallonne.</w:t>
      </w:r>
    </w:p>
    <w:p w14:paraId="0F9EB1DA" w14:textId="2ED08A8A" w:rsidR="006E344A" w:rsidRDefault="006E344A" w:rsidP="00E063FD">
      <w:pPr>
        <w:spacing w:before="120"/>
        <w:jc w:val="both"/>
        <w:textAlignment w:val="baseline"/>
        <w:rPr>
          <w:rFonts w:asciiTheme="minorHAnsi" w:hAnsiTheme="minorHAnsi" w:cs="Calibri Light"/>
        </w:rPr>
      </w:pPr>
      <w:bookmarkStart w:id="4279" w:name="_Hlk105664884"/>
      <w:r>
        <w:rPr>
          <w:rFonts w:asciiTheme="minorHAnsi" w:hAnsiTheme="minorHAnsi" w:cs="Calibri Light"/>
        </w:rPr>
        <w:t xml:space="preserve">Toutefois, comme rappelé ci-dessus, compte tenu des jugements récents intervenus concernant les compensations des mesures fiscales ci-dessus, le Gouvernement wallon réfléchit à une </w:t>
      </w:r>
      <w:r w:rsidRPr="006E344A">
        <w:rPr>
          <w:rFonts w:asciiTheme="minorHAnsi" w:hAnsiTheme="minorHAnsi" w:cs="Calibri Light"/>
        </w:rPr>
        <w:t>nouvelle forme de contractualisation du financement des compensations fiscales octroyées aux pouvoirs locaux</w:t>
      </w:r>
      <w:r>
        <w:rPr>
          <w:rFonts w:asciiTheme="minorHAnsi" w:hAnsiTheme="minorHAnsi" w:cs="Calibri Light"/>
        </w:rPr>
        <w:t>.</w:t>
      </w:r>
    </w:p>
    <w:p w14:paraId="115F9DB0" w14:textId="76710405" w:rsidR="006E344A" w:rsidRPr="00256E9F" w:rsidRDefault="006E344A" w:rsidP="00E063FD">
      <w:pPr>
        <w:spacing w:before="120"/>
        <w:jc w:val="both"/>
        <w:textAlignment w:val="baseline"/>
        <w:rPr>
          <w:rFonts w:asciiTheme="minorHAnsi" w:hAnsiTheme="minorHAnsi" w:cs="Calibri Light"/>
          <w:b/>
          <w:bCs/>
        </w:rPr>
      </w:pPr>
      <w:r w:rsidRPr="00256E9F">
        <w:rPr>
          <w:rFonts w:asciiTheme="minorHAnsi" w:hAnsiTheme="minorHAnsi" w:cs="Calibri Light"/>
          <w:b/>
          <w:bCs/>
        </w:rPr>
        <w:t>Dès lors qu’une décision aura été prise concernant celle-ci, une information spécifique vous sera transmise.</w:t>
      </w:r>
    </w:p>
    <w:p w14:paraId="546D54AD" w14:textId="77777777" w:rsidR="00434194" w:rsidRPr="00DA6BD2" w:rsidRDefault="00434194" w:rsidP="00E063FD">
      <w:pPr>
        <w:spacing w:before="120"/>
        <w:jc w:val="both"/>
        <w:textAlignment w:val="baseline"/>
        <w:rPr>
          <w:rFonts w:asciiTheme="minorHAnsi" w:hAnsiTheme="minorHAnsi" w:cs="Calibri Light"/>
        </w:rPr>
      </w:pPr>
    </w:p>
    <w:p w14:paraId="15F1821C" w14:textId="56C77616" w:rsidR="009B153C" w:rsidRPr="00DA6BD2" w:rsidRDefault="008D5D16" w:rsidP="00256E9F">
      <w:pPr>
        <w:pStyle w:val="Sam3"/>
      </w:pPr>
      <w:bookmarkStart w:id="4280" w:name="_Toc512523770"/>
      <w:bookmarkStart w:id="4281" w:name="_Toc512525460"/>
      <w:bookmarkStart w:id="4282" w:name="_Toc515896769"/>
      <w:bookmarkStart w:id="4283" w:name="_Toc74557685"/>
      <w:bookmarkEnd w:id="4279"/>
      <w:r>
        <w:t>VI.4.</w:t>
      </w:r>
      <w:r w:rsidR="00A51939">
        <w:t>6</w:t>
      </w:r>
      <w:r>
        <w:t xml:space="preserve"> </w:t>
      </w:r>
      <w:r w:rsidR="009B153C" w:rsidRPr="00DA6BD2">
        <w:t>Exonération en faveur des bâtiments publics</w:t>
      </w:r>
      <w:bookmarkEnd w:id="4280"/>
      <w:bookmarkEnd w:id="4281"/>
      <w:bookmarkEnd w:id="4282"/>
      <w:bookmarkEnd w:id="4283"/>
    </w:p>
    <w:p w14:paraId="0E6D5989" w14:textId="77777777" w:rsidR="00280CFA" w:rsidRPr="008D7EB7" w:rsidRDefault="00280CFA" w:rsidP="00280CFA">
      <w:pPr>
        <w:spacing w:before="120"/>
        <w:jc w:val="both"/>
        <w:textAlignment w:val="baseline"/>
        <w:rPr>
          <w:rFonts w:cs="Calibri Light"/>
        </w:rPr>
      </w:pPr>
      <w:r w:rsidRPr="008D7EB7">
        <w:rPr>
          <w:rFonts w:cs="Calibri Light"/>
        </w:rPr>
        <w:t>L'arrêt rendu par la Cour d'appel de Mons le 27 avril 2012 dans l'affaire qui mettait en cause la taxe sur les immeubles inoccupés de la ville de Charleroi mérite une attention particulière.</w:t>
      </w:r>
    </w:p>
    <w:p w14:paraId="14109B90" w14:textId="77777777" w:rsidR="00280CFA" w:rsidRPr="008D7EB7" w:rsidRDefault="00280CFA" w:rsidP="00280CFA">
      <w:pPr>
        <w:spacing w:before="120"/>
        <w:jc w:val="both"/>
        <w:textAlignment w:val="baseline"/>
        <w:rPr>
          <w:rFonts w:cs="Calibri Light"/>
        </w:rPr>
      </w:pPr>
      <w:r w:rsidRPr="008D7EB7">
        <w:rPr>
          <w:rFonts w:cs="Calibri Light"/>
        </w:rPr>
        <w:t>Ce règlement-taxe qui prévoyait une exonération, sans restriction, de la taxe sur les immeubles inoccupés en faveur des personnes morales de droit public a été déclaré illégal par le juge.</w:t>
      </w:r>
    </w:p>
    <w:p w14:paraId="5C2C9F07" w14:textId="77777777" w:rsidR="00280CFA" w:rsidRPr="008D7EB7" w:rsidRDefault="00280CFA" w:rsidP="00280CFA">
      <w:pPr>
        <w:spacing w:before="120"/>
        <w:jc w:val="both"/>
        <w:textAlignment w:val="baseline"/>
        <w:rPr>
          <w:rFonts w:cs="Calibri Light"/>
        </w:rPr>
      </w:pPr>
      <w:r w:rsidRPr="008D7EB7">
        <w:rPr>
          <w:rFonts w:cs="Calibri Light"/>
        </w:rPr>
        <w:t>Quels sont en réalité les enseignements à tirer de cet arrêt ?</w:t>
      </w:r>
    </w:p>
    <w:p w14:paraId="36DDC6D4" w14:textId="0A941D96" w:rsidR="00280CFA" w:rsidRPr="008D7EB7" w:rsidRDefault="00280CFA" w:rsidP="00280CFA">
      <w:pPr>
        <w:spacing w:before="120"/>
        <w:jc w:val="both"/>
        <w:textAlignment w:val="baseline"/>
        <w:rPr>
          <w:rFonts w:cs="Calibri Light"/>
        </w:rPr>
      </w:pPr>
      <w:r w:rsidRPr="008D7EB7">
        <w:rPr>
          <w:rFonts w:cs="Calibri Light"/>
        </w:rPr>
        <w:lastRenderedPageBreak/>
        <w:t xml:space="preserve">1° Il est primordial de motiver dans le préambule du règlement-taxe </w:t>
      </w:r>
      <w:r w:rsidR="004D6C36" w:rsidRPr="008D7EB7">
        <w:rPr>
          <w:rFonts w:cs="Calibri Light"/>
        </w:rPr>
        <w:t>et</w:t>
      </w:r>
      <w:r w:rsidRPr="008D7EB7">
        <w:rPr>
          <w:rFonts w:cs="Calibri Light"/>
        </w:rPr>
        <w:t xml:space="preserve"> dans le dossier administratif relatif à l'élaboration dudit règlement</w:t>
      </w:r>
      <w:r w:rsidR="006D3567" w:rsidRPr="008D7EB7">
        <w:rPr>
          <w:rFonts w:cs="Calibri Light"/>
        </w:rPr>
        <w:t xml:space="preserve"> (quand il existe),</w:t>
      </w:r>
      <w:r w:rsidRPr="008D7EB7">
        <w:rPr>
          <w:rFonts w:cs="Calibri Light"/>
        </w:rPr>
        <w:t xml:space="preserve"> les motifs qui justifient son adoption et ceux qui justifient tout traitement différencié.</w:t>
      </w:r>
    </w:p>
    <w:p w14:paraId="75219372" w14:textId="77777777" w:rsidR="00280CFA" w:rsidRPr="008D7EB7" w:rsidRDefault="00280CFA" w:rsidP="00280CFA">
      <w:pPr>
        <w:spacing w:before="120"/>
        <w:jc w:val="both"/>
        <w:textAlignment w:val="baseline"/>
        <w:rPr>
          <w:rFonts w:cs="Calibri Light"/>
        </w:rPr>
      </w:pPr>
      <w:r w:rsidRPr="008D7EB7">
        <w:rPr>
          <w:rFonts w:cs="Calibri Light"/>
        </w:rPr>
        <w:t>En l'occurrence, le préambule du règlement-taxe litigieux ne visait que la situation financière de la ville, et celle-ci n'a pas produit le dossier administratif relatif à l'élaboration dudit règlement. Il n'a dès lors pas été possible au juge de vérifier si c'est pour des motifs compatibles avec le principe constitutionnel de l'égalité des citoyens devant l'impôt que l'exonération, sans restriction, en faveur des personnes morales de droit public de la taxe sur les immeubles bâtis inoccupés a été adoptée. Pour rappel, ce principe d'égalité - inscrit aux articles 10, 11 et 172 de la Constitution - implique que tous ceux qui se trouvent dans une même situation soient traités de la même manière, mais n'exclut pas qu'une distinction soit faite entre différentes catégories de personnes pour autant que le critère de distinction soit susceptible de justification objective et raisonnable.</w:t>
      </w:r>
    </w:p>
    <w:p w14:paraId="242273DA" w14:textId="77777777" w:rsidR="00280CFA" w:rsidRPr="008D7EB7" w:rsidRDefault="00280CFA" w:rsidP="00280CFA">
      <w:pPr>
        <w:spacing w:before="120"/>
        <w:jc w:val="both"/>
        <w:textAlignment w:val="baseline"/>
        <w:rPr>
          <w:rFonts w:cs="Calibri Light"/>
        </w:rPr>
      </w:pPr>
      <w:r w:rsidRPr="008D7EB7">
        <w:rPr>
          <w:rFonts w:cs="Calibri Light"/>
        </w:rPr>
        <w:t>Ce point a été confirmé par la Cour de cassation</w:t>
      </w:r>
      <w:r w:rsidRPr="008D7EB7">
        <w:rPr>
          <w:rStyle w:val="Appelnotedebasdep"/>
          <w:rFonts w:cs="Calibri Light"/>
        </w:rPr>
        <w:footnoteReference w:id="84"/>
      </w:r>
      <w:r w:rsidRPr="008D7EB7">
        <w:rPr>
          <w:rFonts w:cs="Calibri Light"/>
        </w:rPr>
        <w:t xml:space="preserve"> statuant sur le recours - et le rejetant - introduit par la Ville de Charleroi contre l’arrêt susvisé de la Cour d’appel de Mons.</w:t>
      </w:r>
    </w:p>
    <w:p w14:paraId="58C33A5A" w14:textId="13C9B5EF" w:rsidR="00280CFA" w:rsidRPr="008D7EB7" w:rsidRDefault="00280CFA" w:rsidP="00280CFA">
      <w:pPr>
        <w:spacing w:before="120"/>
        <w:jc w:val="both"/>
        <w:textAlignment w:val="baseline"/>
        <w:rPr>
          <w:rFonts w:cs="Calibri Light"/>
        </w:rPr>
      </w:pPr>
      <w:r w:rsidRPr="008D7EB7">
        <w:rPr>
          <w:rFonts w:cs="Calibri Light"/>
        </w:rPr>
        <w:t xml:space="preserve">2° La Cour n'a pas déclaré qu'il était interdit de prévoir des exonérations dans un règlement-taxe. Ainsi, même une exonération, sans restriction en faveur des personnes morales de droit public - comme celle établie par la ville de Charleroi - est possible à la condition que les raisons qui la justifient soient expliquées dans le préambule </w:t>
      </w:r>
      <w:r w:rsidR="004D6C36" w:rsidRPr="008D7EB7">
        <w:rPr>
          <w:rFonts w:cs="Calibri Light"/>
        </w:rPr>
        <w:t>et</w:t>
      </w:r>
      <w:r w:rsidRPr="008D7EB7">
        <w:rPr>
          <w:rFonts w:cs="Calibri Light"/>
        </w:rPr>
        <w:t xml:space="preserve"> le dossier administratif du règlement et que celles-ci reposent sur des critères objectifs et en rapport avec le but et la nature de l'impôt.</w:t>
      </w:r>
    </w:p>
    <w:p w14:paraId="54A26576" w14:textId="77777777" w:rsidR="00280CFA" w:rsidRPr="008D7EB7" w:rsidRDefault="00280CFA" w:rsidP="00280CFA">
      <w:pPr>
        <w:spacing w:before="120"/>
        <w:jc w:val="both"/>
        <w:textAlignment w:val="baseline"/>
        <w:rPr>
          <w:rFonts w:cs="Calibri Light"/>
        </w:rPr>
      </w:pPr>
      <w:r w:rsidRPr="008D7EB7">
        <w:rPr>
          <w:rFonts w:cs="Calibri Light"/>
        </w:rPr>
        <w:t>Toute autre façon de procéder entraînerait l'illégalité de la taxe concernée et donc sa non-approbation.</w:t>
      </w:r>
    </w:p>
    <w:p w14:paraId="751B46BE" w14:textId="77777777" w:rsidR="00280CFA" w:rsidRPr="008D7EB7" w:rsidRDefault="00280CFA" w:rsidP="00280CFA">
      <w:pPr>
        <w:spacing w:before="120"/>
        <w:jc w:val="both"/>
        <w:textAlignment w:val="baseline"/>
        <w:rPr>
          <w:rFonts w:cs="Calibri Light"/>
        </w:rPr>
      </w:pPr>
      <w:r w:rsidRPr="008D7EB7">
        <w:rPr>
          <w:rFonts w:cs="Calibri Light"/>
        </w:rPr>
        <w:t>À ce titre, rappelons que dans son arrêt du 27 juin 2014 mettant en cause U-2000 et la commune d’Uccle relativement à la taxe sur les immeuble inachevés, partiellement ou totalement inoccupés, inexploités ou laissés à l’abandon, la Cour de Cassation a considéré que les personnes morales de droit public se distinguent des personnes morales de droit privé en ce qu’elles n’ont que des missions de service public et ne doivent servir que l’intérêt général et que les personnes morales de droit public ne peuvent donc pas servir des intérêts purement égoïstes en exerçant de la spéculation foncière. De ce fait, exonérer les personnes morales de droit public de la taxe au motif repris ci-dessus n’est pas discriminatoire.</w:t>
      </w:r>
    </w:p>
    <w:p w14:paraId="3275CFED" w14:textId="77777777" w:rsidR="00280CFA" w:rsidRPr="008D7EB7" w:rsidRDefault="00280CFA" w:rsidP="00280CFA">
      <w:pPr>
        <w:spacing w:before="120"/>
        <w:jc w:val="both"/>
        <w:textAlignment w:val="baseline"/>
        <w:rPr>
          <w:rFonts w:cs="Calibri Light"/>
        </w:rPr>
      </w:pPr>
      <w:r w:rsidRPr="008D7EB7">
        <w:rPr>
          <w:rFonts w:cs="Calibri Light"/>
        </w:rPr>
        <w:t>3° la Cour a aussi rappelé que les biens du domaine public et ceux du domaine privé de l'État entièrement affectés à un service d'utilité générale ne sont pas soumis à l'impôt</w:t>
      </w:r>
      <w:r w:rsidRPr="008D7EB7">
        <w:rPr>
          <w:rStyle w:val="Appelnotedebasdep"/>
          <w:rFonts w:cs="Calibri Light"/>
        </w:rPr>
        <w:footnoteReference w:id="85"/>
      </w:r>
      <w:r w:rsidRPr="008D7EB7">
        <w:rPr>
          <w:rFonts w:cs="Calibri Light"/>
        </w:rPr>
        <w:t>.</w:t>
      </w:r>
    </w:p>
    <w:p w14:paraId="6CB675F6" w14:textId="77777777" w:rsidR="00280CFA" w:rsidRPr="008D7EB7" w:rsidRDefault="00280CFA" w:rsidP="00280CFA">
      <w:pPr>
        <w:spacing w:before="120"/>
        <w:jc w:val="both"/>
        <w:textAlignment w:val="baseline"/>
        <w:rPr>
          <w:rFonts w:cs="Calibri Light"/>
        </w:rPr>
      </w:pPr>
      <w:r w:rsidRPr="008D7EB7">
        <w:rPr>
          <w:rFonts w:cs="Calibri Light"/>
        </w:rPr>
        <w:t xml:space="preserve">Il y a lieu ici de souligner que la Cour a fait - à juste titre - la différence entre une exonération et le fait de ne pas être soumis à l'impôt. Ce faisant, on en déduit que pour elle, il n'y a pas de principe général de droit qui octroie une exonération en faveur des bâtiments publics mais que, </w:t>
      </w:r>
      <w:proofErr w:type="gramStart"/>
      <w:r w:rsidRPr="008D7EB7">
        <w:rPr>
          <w:rFonts w:cs="Calibri Light"/>
        </w:rPr>
        <w:t>de par</w:t>
      </w:r>
      <w:proofErr w:type="gramEnd"/>
      <w:r w:rsidRPr="008D7EB7">
        <w:rPr>
          <w:rFonts w:cs="Calibri Light"/>
        </w:rPr>
        <w:t xml:space="preserve"> la notion juridique de l'impôt ces biens ne sont pas taxables. On ne peut, en effet, que partager ce raisonnement puisque l'impôt frappant en principe les ressources des personnes de droit privé ou de droit public, celui-ci ne peut frapper que les biens productifs de jouissance par eux-mêmes. Il ne peut donc atteindre les biens du domaine public ou les biens appartenant au domaine privé de l'État, la Région, la Communauté, la province ou la commune, affectés à un service d'utilité publique (même si des recettes sont perçues en </w:t>
      </w:r>
      <w:r w:rsidRPr="008D7EB7">
        <w:rPr>
          <w:rFonts w:cs="Calibri Light"/>
        </w:rPr>
        <w:lastRenderedPageBreak/>
        <w:t>rémunération du service public). Cet état de fait ne relève donc pas d'une exonération (on exonère que ce qui est soumis à la taxe) mais du fait qu'ils ne sont pas visés par la notion même de l'impôt.</w:t>
      </w:r>
    </w:p>
    <w:p w14:paraId="2ED8476B" w14:textId="77777777" w:rsidR="00280CFA" w:rsidRPr="008D7EB7" w:rsidRDefault="00280CFA" w:rsidP="00280CFA">
      <w:pPr>
        <w:spacing w:before="120"/>
        <w:jc w:val="both"/>
        <w:textAlignment w:val="baseline"/>
        <w:rPr>
          <w:rFonts w:cs="Calibri Light"/>
        </w:rPr>
      </w:pPr>
      <w:r w:rsidRPr="008D7EB7">
        <w:rPr>
          <w:rFonts w:cs="Calibri Light"/>
        </w:rPr>
        <w:t>Enfin, il convient encore de rappeler qu’il n’existe aucun principe juridique en vertu duquel une autorité ne pourrait pas se taxer elle-même. Le fait que se taxer soi-même aboutit dans la pratique à une opération neutre ne constitue pas une raison pour qu’il faille exempter d’autres sujets de droit de la taxe et ne peut pas non plus justifier une telle exemption.</w:t>
      </w:r>
    </w:p>
    <w:p w14:paraId="3A38A0D3" w14:textId="77777777" w:rsidR="00280CFA" w:rsidRPr="008D7EB7" w:rsidRDefault="00280CFA" w:rsidP="00280CFA">
      <w:pPr>
        <w:spacing w:before="120"/>
        <w:jc w:val="both"/>
        <w:textAlignment w:val="baseline"/>
        <w:rPr>
          <w:rFonts w:cs="Calibri Light"/>
        </w:rPr>
      </w:pPr>
      <w:r w:rsidRPr="008D7EB7">
        <w:rPr>
          <w:rFonts w:cs="Calibri Light"/>
        </w:rPr>
        <w:t>Il n’existe en outre aucune disposition législative ou décrétale en vertu de laquelle les communes devraient être exemptées d’une telle taxe. Le principe de l’immunité fiscale de l’autorité ne peut pas non plus être invoqué, étant donné que ce principe ne vaut que pour les biens du domaine public ou pour des biens du domaine privé qui sont utilisés pour le service public.</w:t>
      </w:r>
    </w:p>
    <w:p w14:paraId="297E8709" w14:textId="1AFBE08E" w:rsidR="00280CFA" w:rsidRDefault="00280CFA" w:rsidP="00280CFA">
      <w:pPr>
        <w:spacing w:before="120"/>
        <w:jc w:val="both"/>
        <w:textAlignment w:val="baseline"/>
        <w:rPr>
          <w:rFonts w:cs="Calibri Light"/>
        </w:rPr>
      </w:pPr>
      <w:r w:rsidRPr="008D7EB7">
        <w:rPr>
          <w:rFonts w:cs="Calibri Light"/>
        </w:rPr>
        <w:t>Voici deux exemples qui étayent le fait que le principe en vertu duquel une autorité ne pourrait pas se taxer elle-même n’existe pas :</w:t>
      </w:r>
    </w:p>
    <w:p w14:paraId="4BE25538" w14:textId="77777777" w:rsidR="00792F8A" w:rsidRPr="006B47EE" w:rsidRDefault="00792F8A" w:rsidP="00280CFA">
      <w:pPr>
        <w:spacing w:before="120"/>
        <w:jc w:val="both"/>
        <w:textAlignment w:val="baseline"/>
        <w:rPr>
          <w:rFonts w:cs="Calibri Light"/>
          <w:sz w:val="2"/>
          <w:szCs w:val="2"/>
        </w:rPr>
      </w:pPr>
    </w:p>
    <w:p w14:paraId="760F2993" w14:textId="04CD1430" w:rsidR="00280CFA" w:rsidRPr="008D7EB7" w:rsidRDefault="00792F8A" w:rsidP="008D7EB7">
      <w:pPr>
        <w:pStyle w:val="Paragraphedeliste"/>
        <w:numPr>
          <w:ilvl w:val="0"/>
          <w:numId w:val="155"/>
        </w:numPr>
        <w:tabs>
          <w:tab w:val="left" w:pos="-148"/>
          <w:tab w:val="left" w:pos="567"/>
        </w:tabs>
        <w:spacing w:before="1"/>
        <w:jc w:val="both"/>
        <w:textAlignment w:val="baseline"/>
        <w:rPr>
          <w:rFonts w:cs="Calibri Light"/>
        </w:rPr>
      </w:pPr>
      <w:proofErr w:type="gramStart"/>
      <w:r>
        <w:rPr>
          <w:rFonts w:cs="Calibri Light"/>
        </w:rPr>
        <w:t>l</w:t>
      </w:r>
      <w:r w:rsidR="00280CFA" w:rsidRPr="008D7EB7">
        <w:rPr>
          <w:rFonts w:cs="Calibri Light"/>
        </w:rPr>
        <w:t>a</w:t>
      </w:r>
      <w:proofErr w:type="gramEnd"/>
      <w:r w:rsidR="00280CFA" w:rsidRPr="008D7EB7">
        <w:rPr>
          <w:rFonts w:cs="Calibri Light"/>
        </w:rPr>
        <w:t xml:space="preserve"> raison pour laquelle l’exonération des droits de condamnation a été prévue à l’art</w:t>
      </w:r>
      <w:r w:rsidR="00A04F0B">
        <w:rPr>
          <w:rFonts w:cs="Calibri Light"/>
        </w:rPr>
        <w:t>icle</w:t>
      </w:r>
      <w:r w:rsidR="00280CFA" w:rsidRPr="008D7EB7">
        <w:rPr>
          <w:rFonts w:cs="Calibri Light"/>
        </w:rPr>
        <w:t xml:space="preserve"> 161,1bis du Code des droits d’enregistrement, d’hypothèque et de greffe est de mettre fin à la situation selon laquelle l’État, créancier des droits dus sur les arrêts et jugements, se réclame à lui-même les droits d’enregistrement</w:t>
      </w:r>
      <w:r w:rsidR="00A04F0B">
        <w:rPr>
          <w:rFonts w:cs="Calibri Light"/>
        </w:rPr>
        <w:t> ;</w:t>
      </w:r>
    </w:p>
    <w:p w14:paraId="3EBAED48" w14:textId="004B9831" w:rsidR="00280CFA" w:rsidRPr="008D7EB7" w:rsidRDefault="00792F8A" w:rsidP="008D7EB7">
      <w:pPr>
        <w:pStyle w:val="Paragraphedeliste"/>
        <w:numPr>
          <w:ilvl w:val="0"/>
          <w:numId w:val="155"/>
        </w:numPr>
        <w:tabs>
          <w:tab w:val="left" w:pos="-148"/>
          <w:tab w:val="left" w:pos="567"/>
        </w:tabs>
        <w:spacing w:before="1"/>
        <w:jc w:val="both"/>
        <w:textAlignment w:val="baseline"/>
        <w:rPr>
          <w:rFonts w:cs="Calibri Light"/>
        </w:rPr>
      </w:pPr>
      <w:proofErr w:type="gramStart"/>
      <w:r>
        <w:rPr>
          <w:rFonts w:cs="Calibri Light"/>
        </w:rPr>
        <w:t>l</w:t>
      </w:r>
      <w:r w:rsidR="00280CFA" w:rsidRPr="008D7EB7">
        <w:rPr>
          <w:rFonts w:cs="Calibri Light"/>
        </w:rPr>
        <w:t>’article</w:t>
      </w:r>
      <w:proofErr w:type="gramEnd"/>
      <w:r w:rsidR="00280CFA" w:rsidRPr="008D7EB7">
        <w:rPr>
          <w:rFonts w:cs="Calibri Light"/>
        </w:rPr>
        <w:t xml:space="preserve"> 220 du </w:t>
      </w:r>
      <w:r>
        <w:rPr>
          <w:rFonts w:cs="Calibri Light"/>
        </w:rPr>
        <w:t>code des impôts sur les revenus</w:t>
      </w:r>
      <w:r w:rsidR="00280CFA" w:rsidRPr="008D7EB7">
        <w:rPr>
          <w:rFonts w:cs="Calibri Light"/>
        </w:rPr>
        <w:t xml:space="preserve"> est une autre hypothèse où l’État se taxe lui-même. En effet, par cet article, le législateur fédéral assujettit à l’impôt des personnes morales l’État, les Communautés, les Régions, les Provinces, les agglomérations, les fédérations de communes, les communes, les centres publics d’action sociale, les établissements cultuels publics, </w:t>
      </w:r>
      <w:r w:rsidR="00A04F0B">
        <w:rPr>
          <w:rFonts w:cs="Calibri Light"/>
        </w:rPr>
        <w:t xml:space="preserve">les zones de secours, les zones de police, </w:t>
      </w:r>
      <w:r w:rsidR="00280CFA" w:rsidRPr="008D7EB7">
        <w:rPr>
          <w:rFonts w:cs="Calibri Light"/>
        </w:rPr>
        <w:t>ainsi que les polders et wateringues.</w:t>
      </w:r>
    </w:p>
    <w:p w14:paraId="4449D9B9" w14:textId="77777777" w:rsidR="00280CFA" w:rsidRDefault="00280CFA" w:rsidP="00E063FD">
      <w:pPr>
        <w:spacing w:before="120"/>
        <w:jc w:val="both"/>
        <w:textAlignment w:val="baseline"/>
        <w:rPr>
          <w:rFonts w:asciiTheme="minorHAnsi" w:hAnsiTheme="minorHAnsi" w:cs="Calibri Light"/>
        </w:rPr>
      </w:pPr>
    </w:p>
    <w:p w14:paraId="799D80EE" w14:textId="3949BBC3" w:rsidR="009B153C" w:rsidRPr="00DA6BD2" w:rsidRDefault="008D5D16" w:rsidP="00256E9F">
      <w:pPr>
        <w:pStyle w:val="Sam3"/>
      </w:pPr>
      <w:bookmarkStart w:id="4284" w:name="_Toc516739694"/>
      <w:bookmarkStart w:id="4285" w:name="_Toc516751607"/>
      <w:bookmarkStart w:id="4286" w:name="_Toc516825695"/>
      <w:bookmarkStart w:id="4287" w:name="_Toc516826253"/>
      <w:bookmarkStart w:id="4288" w:name="_Toc516837573"/>
      <w:bookmarkStart w:id="4289" w:name="_Toc516838132"/>
      <w:bookmarkStart w:id="4290" w:name="_Toc516838691"/>
      <w:bookmarkStart w:id="4291" w:name="_Toc516839251"/>
      <w:bookmarkStart w:id="4292" w:name="_Toc517173347"/>
      <w:bookmarkStart w:id="4293" w:name="_Toc517175021"/>
      <w:bookmarkStart w:id="4294" w:name="_Toc517175608"/>
      <w:bookmarkStart w:id="4295" w:name="_Toc517176196"/>
      <w:bookmarkStart w:id="4296" w:name="_Toc517337521"/>
      <w:bookmarkStart w:id="4297" w:name="_Toc517360317"/>
      <w:bookmarkStart w:id="4298" w:name="_Toc516739695"/>
      <w:bookmarkStart w:id="4299" w:name="_Toc516751608"/>
      <w:bookmarkStart w:id="4300" w:name="_Toc516825696"/>
      <w:bookmarkStart w:id="4301" w:name="_Toc516826254"/>
      <w:bookmarkStart w:id="4302" w:name="_Toc516837574"/>
      <w:bookmarkStart w:id="4303" w:name="_Toc516838133"/>
      <w:bookmarkStart w:id="4304" w:name="_Toc516838692"/>
      <w:bookmarkStart w:id="4305" w:name="_Toc516839252"/>
      <w:bookmarkStart w:id="4306" w:name="_Toc517173348"/>
      <w:bookmarkStart w:id="4307" w:name="_Toc517175022"/>
      <w:bookmarkStart w:id="4308" w:name="_Toc517175609"/>
      <w:bookmarkStart w:id="4309" w:name="_Toc517176197"/>
      <w:bookmarkStart w:id="4310" w:name="_Toc517337522"/>
      <w:bookmarkStart w:id="4311" w:name="_Toc517360318"/>
      <w:bookmarkStart w:id="4312" w:name="_Toc516739696"/>
      <w:bookmarkStart w:id="4313" w:name="_Toc516751609"/>
      <w:bookmarkStart w:id="4314" w:name="_Toc516825697"/>
      <w:bookmarkStart w:id="4315" w:name="_Toc516826255"/>
      <w:bookmarkStart w:id="4316" w:name="_Toc516837575"/>
      <w:bookmarkStart w:id="4317" w:name="_Toc516838134"/>
      <w:bookmarkStart w:id="4318" w:name="_Toc516838693"/>
      <w:bookmarkStart w:id="4319" w:name="_Toc516839253"/>
      <w:bookmarkStart w:id="4320" w:name="_Toc517173349"/>
      <w:bookmarkStart w:id="4321" w:name="_Toc517175023"/>
      <w:bookmarkStart w:id="4322" w:name="_Toc517175610"/>
      <w:bookmarkStart w:id="4323" w:name="_Toc517176198"/>
      <w:bookmarkStart w:id="4324" w:name="_Toc517337523"/>
      <w:bookmarkStart w:id="4325" w:name="_Toc517360319"/>
      <w:bookmarkStart w:id="4326" w:name="_Toc516739697"/>
      <w:bookmarkStart w:id="4327" w:name="_Toc516751610"/>
      <w:bookmarkStart w:id="4328" w:name="_Toc516825698"/>
      <w:bookmarkStart w:id="4329" w:name="_Toc516826256"/>
      <w:bookmarkStart w:id="4330" w:name="_Toc516837576"/>
      <w:bookmarkStart w:id="4331" w:name="_Toc516838135"/>
      <w:bookmarkStart w:id="4332" w:name="_Toc516838694"/>
      <w:bookmarkStart w:id="4333" w:name="_Toc516839254"/>
      <w:bookmarkStart w:id="4334" w:name="_Toc517173350"/>
      <w:bookmarkStart w:id="4335" w:name="_Toc517175024"/>
      <w:bookmarkStart w:id="4336" w:name="_Toc517175611"/>
      <w:bookmarkStart w:id="4337" w:name="_Toc517176199"/>
      <w:bookmarkStart w:id="4338" w:name="_Toc517337524"/>
      <w:bookmarkStart w:id="4339" w:name="_Toc517360320"/>
      <w:bookmarkStart w:id="4340" w:name="_Toc516739698"/>
      <w:bookmarkStart w:id="4341" w:name="_Toc516751611"/>
      <w:bookmarkStart w:id="4342" w:name="_Toc516825699"/>
      <w:bookmarkStart w:id="4343" w:name="_Toc516826257"/>
      <w:bookmarkStart w:id="4344" w:name="_Toc516837577"/>
      <w:bookmarkStart w:id="4345" w:name="_Toc516838136"/>
      <w:bookmarkStart w:id="4346" w:name="_Toc516838695"/>
      <w:bookmarkStart w:id="4347" w:name="_Toc516839255"/>
      <w:bookmarkStart w:id="4348" w:name="_Toc517173351"/>
      <w:bookmarkStart w:id="4349" w:name="_Toc517175025"/>
      <w:bookmarkStart w:id="4350" w:name="_Toc517175612"/>
      <w:bookmarkStart w:id="4351" w:name="_Toc517176200"/>
      <w:bookmarkStart w:id="4352" w:name="_Toc517337525"/>
      <w:bookmarkStart w:id="4353" w:name="_Toc517360321"/>
      <w:bookmarkStart w:id="4354" w:name="_Toc516739699"/>
      <w:bookmarkStart w:id="4355" w:name="_Toc516751612"/>
      <w:bookmarkStart w:id="4356" w:name="_Toc516825700"/>
      <w:bookmarkStart w:id="4357" w:name="_Toc516826258"/>
      <w:bookmarkStart w:id="4358" w:name="_Toc516837578"/>
      <w:bookmarkStart w:id="4359" w:name="_Toc516838137"/>
      <w:bookmarkStart w:id="4360" w:name="_Toc516838696"/>
      <w:bookmarkStart w:id="4361" w:name="_Toc516839256"/>
      <w:bookmarkStart w:id="4362" w:name="_Toc517173352"/>
      <w:bookmarkStart w:id="4363" w:name="_Toc517175026"/>
      <w:bookmarkStart w:id="4364" w:name="_Toc517175613"/>
      <w:bookmarkStart w:id="4365" w:name="_Toc517176201"/>
      <w:bookmarkStart w:id="4366" w:name="_Toc517337526"/>
      <w:bookmarkStart w:id="4367" w:name="_Toc517360322"/>
      <w:bookmarkStart w:id="4368" w:name="_Toc516739700"/>
      <w:bookmarkStart w:id="4369" w:name="_Toc516751613"/>
      <w:bookmarkStart w:id="4370" w:name="_Toc516825701"/>
      <w:bookmarkStart w:id="4371" w:name="_Toc516826259"/>
      <w:bookmarkStart w:id="4372" w:name="_Toc516837579"/>
      <w:bookmarkStart w:id="4373" w:name="_Toc516838138"/>
      <w:bookmarkStart w:id="4374" w:name="_Toc516838697"/>
      <w:bookmarkStart w:id="4375" w:name="_Toc516839257"/>
      <w:bookmarkStart w:id="4376" w:name="_Toc517173353"/>
      <w:bookmarkStart w:id="4377" w:name="_Toc517175027"/>
      <w:bookmarkStart w:id="4378" w:name="_Toc517175614"/>
      <w:bookmarkStart w:id="4379" w:name="_Toc517176202"/>
      <w:bookmarkStart w:id="4380" w:name="_Toc517337527"/>
      <w:bookmarkStart w:id="4381" w:name="_Toc517360323"/>
      <w:bookmarkStart w:id="4382" w:name="_Toc516739701"/>
      <w:bookmarkStart w:id="4383" w:name="_Toc516751614"/>
      <w:bookmarkStart w:id="4384" w:name="_Toc516825702"/>
      <w:bookmarkStart w:id="4385" w:name="_Toc516826260"/>
      <w:bookmarkStart w:id="4386" w:name="_Toc516837580"/>
      <w:bookmarkStart w:id="4387" w:name="_Toc516838139"/>
      <w:bookmarkStart w:id="4388" w:name="_Toc516838698"/>
      <w:bookmarkStart w:id="4389" w:name="_Toc516839258"/>
      <w:bookmarkStart w:id="4390" w:name="_Toc517173354"/>
      <w:bookmarkStart w:id="4391" w:name="_Toc517175028"/>
      <w:bookmarkStart w:id="4392" w:name="_Toc517175615"/>
      <w:bookmarkStart w:id="4393" w:name="_Toc517176203"/>
      <w:bookmarkStart w:id="4394" w:name="_Toc517337528"/>
      <w:bookmarkStart w:id="4395" w:name="_Toc517360324"/>
      <w:bookmarkStart w:id="4396" w:name="_Toc516739702"/>
      <w:bookmarkStart w:id="4397" w:name="_Toc516751615"/>
      <w:bookmarkStart w:id="4398" w:name="_Toc516825703"/>
      <w:bookmarkStart w:id="4399" w:name="_Toc516826261"/>
      <w:bookmarkStart w:id="4400" w:name="_Toc516837581"/>
      <w:bookmarkStart w:id="4401" w:name="_Toc516838140"/>
      <w:bookmarkStart w:id="4402" w:name="_Toc516838699"/>
      <w:bookmarkStart w:id="4403" w:name="_Toc516839259"/>
      <w:bookmarkStart w:id="4404" w:name="_Toc517173355"/>
      <w:bookmarkStart w:id="4405" w:name="_Toc517175029"/>
      <w:bookmarkStart w:id="4406" w:name="_Toc517175616"/>
      <w:bookmarkStart w:id="4407" w:name="_Toc517176204"/>
      <w:bookmarkStart w:id="4408" w:name="_Toc517337529"/>
      <w:bookmarkStart w:id="4409" w:name="_Toc517360325"/>
      <w:bookmarkStart w:id="4410" w:name="_Toc516739703"/>
      <w:bookmarkStart w:id="4411" w:name="_Toc516751616"/>
      <w:bookmarkStart w:id="4412" w:name="_Toc516825704"/>
      <w:bookmarkStart w:id="4413" w:name="_Toc516826262"/>
      <w:bookmarkStart w:id="4414" w:name="_Toc516837582"/>
      <w:bookmarkStart w:id="4415" w:name="_Toc516838141"/>
      <w:bookmarkStart w:id="4416" w:name="_Toc516838700"/>
      <w:bookmarkStart w:id="4417" w:name="_Toc516839260"/>
      <w:bookmarkStart w:id="4418" w:name="_Toc517173356"/>
      <w:bookmarkStart w:id="4419" w:name="_Toc517175030"/>
      <w:bookmarkStart w:id="4420" w:name="_Toc517175617"/>
      <w:bookmarkStart w:id="4421" w:name="_Toc517176205"/>
      <w:bookmarkStart w:id="4422" w:name="_Toc517337530"/>
      <w:bookmarkStart w:id="4423" w:name="_Toc517360326"/>
      <w:bookmarkStart w:id="4424" w:name="_Toc516739704"/>
      <w:bookmarkStart w:id="4425" w:name="_Toc516751617"/>
      <w:bookmarkStart w:id="4426" w:name="_Toc516825705"/>
      <w:bookmarkStart w:id="4427" w:name="_Toc516826263"/>
      <w:bookmarkStart w:id="4428" w:name="_Toc516837583"/>
      <w:bookmarkStart w:id="4429" w:name="_Toc516838142"/>
      <w:bookmarkStart w:id="4430" w:name="_Toc516838701"/>
      <w:bookmarkStart w:id="4431" w:name="_Toc516839261"/>
      <w:bookmarkStart w:id="4432" w:name="_Toc517173357"/>
      <w:bookmarkStart w:id="4433" w:name="_Toc517175031"/>
      <w:bookmarkStart w:id="4434" w:name="_Toc517175618"/>
      <w:bookmarkStart w:id="4435" w:name="_Toc517176206"/>
      <w:bookmarkStart w:id="4436" w:name="_Toc517337531"/>
      <w:bookmarkStart w:id="4437" w:name="_Toc517360327"/>
      <w:bookmarkStart w:id="4438" w:name="_Toc516739705"/>
      <w:bookmarkStart w:id="4439" w:name="_Toc516751618"/>
      <w:bookmarkStart w:id="4440" w:name="_Toc516825706"/>
      <w:bookmarkStart w:id="4441" w:name="_Toc516826264"/>
      <w:bookmarkStart w:id="4442" w:name="_Toc516837584"/>
      <w:bookmarkStart w:id="4443" w:name="_Toc516838143"/>
      <w:bookmarkStart w:id="4444" w:name="_Toc516838702"/>
      <w:bookmarkStart w:id="4445" w:name="_Toc516839262"/>
      <w:bookmarkStart w:id="4446" w:name="_Toc517173358"/>
      <w:bookmarkStart w:id="4447" w:name="_Toc517175032"/>
      <w:bookmarkStart w:id="4448" w:name="_Toc517175619"/>
      <w:bookmarkStart w:id="4449" w:name="_Toc517176207"/>
      <w:bookmarkStart w:id="4450" w:name="_Toc517337532"/>
      <w:bookmarkStart w:id="4451" w:name="_Toc517360328"/>
      <w:bookmarkStart w:id="4452" w:name="_Toc516739706"/>
      <w:bookmarkStart w:id="4453" w:name="_Toc516751619"/>
      <w:bookmarkStart w:id="4454" w:name="_Toc516825707"/>
      <w:bookmarkStart w:id="4455" w:name="_Toc516826265"/>
      <w:bookmarkStart w:id="4456" w:name="_Toc516837585"/>
      <w:bookmarkStart w:id="4457" w:name="_Toc516838144"/>
      <w:bookmarkStart w:id="4458" w:name="_Toc516838703"/>
      <w:bookmarkStart w:id="4459" w:name="_Toc516839263"/>
      <w:bookmarkStart w:id="4460" w:name="_Toc517173359"/>
      <w:bookmarkStart w:id="4461" w:name="_Toc517175033"/>
      <w:bookmarkStart w:id="4462" w:name="_Toc517175620"/>
      <w:bookmarkStart w:id="4463" w:name="_Toc517176208"/>
      <w:bookmarkStart w:id="4464" w:name="_Toc517337533"/>
      <w:bookmarkStart w:id="4465" w:name="_Toc517360329"/>
      <w:bookmarkStart w:id="4466" w:name="_Toc516739707"/>
      <w:bookmarkStart w:id="4467" w:name="_Toc516751620"/>
      <w:bookmarkStart w:id="4468" w:name="_Toc516825708"/>
      <w:bookmarkStart w:id="4469" w:name="_Toc516826266"/>
      <w:bookmarkStart w:id="4470" w:name="_Toc516837586"/>
      <w:bookmarkStart w:id="4471" w:name="_Toc516838145"/>
      <w:bookmarkStart w:id="4472" w:name="_Toc516838704"/>
      <w:bookmarkStart w:id="4473" w:name="_Toc516839264"/>
      <w:bookmarkStart w:id="4474" w:name="_Toc517173360"/>
      <w:bookmarkStart w:id="4475" w:name="_Toc517175034"/>
      <w:bookmarkStart w:id="4476" w:name="_Toc517175621"/>
      <w:bookmarkStart w:id="4477" w:name="_Toc517176209"/>
      <w:bookmarkStart w:id="4478" w:name="_Toc517337534"/>
      <w:bookmarkStart w:id="4479" w:name="_Toc517360330"/>
      <w:bookmarkStart w:id="4480" w:name="_Toc516739708"/>
      <w:bookmarkStart w:id="4481" w:name="_Toc516751621"/>
      <w:bookmarkStart w:id="4482" w:name="_Toc516825709"/>
      <w:bookmarkStart w:id="4483" w:name="_Toc516826267"/>
      <w:bookmarkStart w:id="4484" w:name="_Toc516837587"/>
      <w:bookmarkStart w:id="4485" w:name="_Toc516838146"/>
      <w:bookmarkStart w:id="4486" w:name="_Toc516838705"/>
      <w:bookmarkStart w:id="4487" w:name="_Toc516839265"/>
      <w:bookmarkStart w:id="4488" w:name="_Toc517173361"/>
      <w:bookmarkStart w:id="4489" w:name="_Toc517175035"/>
      <w:bookmarkStart w:id="4490" w:name="_Toc517175622"/>
      <w:bookmarkStart w:id="4491" w:name="_Toc517176210"/>
      <w:bookmarkStart w:id="4492" w:name="_Toc517337535"/>
      <w:bookmarkStart w:id="4493" w:name="_Toc517360331"/>
      <w:bookmarkStart w:id="4494" w:name="_Toc516739709"/>
      <w:bookmarkStart w:id="4495" w:name="_Toc516751622"/>
      <w:bookmarkStart w:id="4496" w:name="_Toc516825710"/>
      <w:bookmarkStart w:id="4497" w:name="_Toc516826268"/>
      <w:bookmarkStart w:id="4498" w:name="_Toc516837588"/>
      <w:bookmarkStart w:id="4499" w:name="_Toc516838147"/>
      <w:bookmarkStart w:id="4500" w:name="_Toc516838706"/>
      <w:bookmarkStart w:id="4501" w:name="_Toc516839266"/>
      <w:bookmarkStart w:id="4502" w:name="_Toc517173362"/>
      <w:bookmarkStart w:id="4503" w:name="_Toc517175036"/>
      <w:bookmarkStart w:id="4504" w:name="_Toc517175623"/>
      <w:bookmarkStart w:id="4505" w:name="_Toc517176211"/>
      <w:bookmarkStart w:id="4506" w:name="_Toc517337536"/>
      <w:bookmarkStart w:id="4507" w:name="_Toc517360332"/>
      <w:bookmarkStart w:id="4508" w:name="_Toc516739710"/>
      <w:bookmarkStart w:id="4509" w:name="_Toc516751623"/>
      <w:bookmarkStart w:id="4510" w:name="_Toc516825711"/>
      <w:bookmarkStart w:id="4511" w:name="_Toc516826269"/>
      <w:bookmarkStart w:id="4512" w:name="_Toc516837589"/>
      <w:bookmarkStart w:id="4513" w:name="_Toc516838148"/>
      <w:bookmarkStart w:id="4514" w:name="_Toc516838707"/>
      <w:bookmarkStart w:id="4515" w:name="_Toc516839267"/>
      <w:bookmarkStart w:id="4516" w:name="_Toc517173363"/>
      <w:bookmarkStart w:id="4517" w:name="_Toc517175037"/>
      <w:bookmarkStart w:id="4518" w:name="_Toc517175624"/>
      <w:bookmarkStart w:id="4519" w:name="_Toc517176212"/>
      <w:bookmarkStart w:id="4520" w:name="_Toc517337537"/>
      <w:bookmarkStart w:id="4521" w:name="_Toc517360333"/>
      <w:bookmarkStart w:id="4522" w:name="_Toc512523771"/>
      <w:bookmarkStart w:id="4523" w:name="_Toc512525461"/>
      <w:bookmarkStart w:id="4524" w:name="_Toc515896770"/>
      <w:bookmarkStart w:id="4525" w:name="_Toc74557686"/>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r>
        <w:t>VI.4.</w:t>
      </w:r>
      <w:r w:rsidR="00A51939">
        <w:t>7</w:t>
      </w:r>
      <w:r>
        <w:t xml:space="preserve"> </w:t>
      </w:r>
      <w:r w:rsidR="009B153C" w:rsidRPr="00DA6BD2">
        <w:t>Taxes additionnelles aux taxes provinciales</w:t>
      </w:r>
      <w:bookmarkEnd w:id="4522"/>
      <w:bookmarkEnd w:id="4523"/>
      <w:bookmarkEnd w:id="4524"/>
      <w:bookmarkEnd w:id="4525"/>
    </w:p>
    <w:p w14:paraId="2A681157" w14:textId="01801EAC" w:rsidR="009B153C" w:rsidRDefault="00553D05" w:rsidP="00E063FD">
      <w:pPr>
        <w:spacing w:before="120"/>
        <w:jc w:val="both"/>
        <w:textAlignment w:val="baseline"/>
        <w:rPr>
          <w:rFonts w:asciiTheme="minorHAnsi" w:hAnsiTheme="minorHAnsi" w:cs="Calibri Light"/>
          <w:spacing w:val="-1"/>
        </w:rPr>
      </w:pPr>
      <w:r>
        <w:rPr>
          <w:rFonts w:asciiTheme="minorHAnsi" w:hAnsiTheme="minorHAnsi" w:cs="Calibri Light"/>
        </w:rPr>
        <w:t>Il</w:t>
      </w:r>
      <w:r w:rsidR="009B153C" w:rsidRPr="00E063FD">
        <w:rPr>
          <w:rFonts w:asciiTheme="minorHAnsi" w:hAnsiTheme="minorHAnsi" w:cs="Calibri Light"/>
          <w:spacing w:val="-1"/>
        </w:rPr>
        <w:t xml:space="preserve"> n'y a plus de base légale suffisante pour percevoir ou recouvrer un additionnel communal à une taxe provinciale</w:t>
      </w:r>
      <w:r w:rsidR="009B153C" w:rsidRPr="00C63B44">
        <w:rPr>
          <w:rFonts w:asciiTheme="minorHAnsi" w:hAnsiTheme="minorHAnsi" w:cs="Calibri Light"/>
          <w:spacing w:val="-1"/>
        </w:rPr>
        <w:t>.</w:t>
      </w:r>
      <w:r w:rsidR="009B153C" w:rsidRPr="00DA6BD2">
        <w:rPr>
          <w:rFonts w:asciiTheme="minorHAnsi" w:hAnsiTheme="minorHAnsi" w:cs="Calibri Light"/>
          <w:spacing w:val="-1"/>
        </w:rPr>
        <w:t xml:space="preserve"> </w:t>
      </w:r>
    </w:p>
    <w:p w14:paraId="2B2554DF" w14:textId="77777777" w:rsidR="00434194" w:rsidRPr="00DA6BD2" w:rsidRDefault="00434194" w:rsidP="00E063FD">
      <w:pPr>
        <w:spacing w:before="120"/>
        <w:jc w:val="both"/>
        <w:textAlignment w:val="baseline"/>
        <w:rPr>
          <w:rFonts w:asciiTheme="minorHAnsi" w:hAnsiTheme="minorHAnsi" w:cs="Calibri Light"/>
          <w:spacing w:val="-2"/>
        </w:rPr>
      </w:pPr>
    </w:p>
    <w:p w14:paraId="756DF937" w14:textId="57492372" w:rsidR="009B153C" w:rsidRPr="00DA6BD2" w:rsidRDefault="008D5D16" w:rsidP="00256E9F">
      <w:pPr>
        <w:pStyle w:val="Sam3"/>
      </w:pPr>
      <w:bookmarkStart w:id="4526" w:name="_Toc512523772"/>
      <w:bookmarkStart w:id="4527" w:name="_Toc512525462"/>
      <w:bookmarkStart w:id="4528" w:name="_Toc515896771"/>
      <w:bookmarkStart w:id="4529" w:name="_Toc74557687"/>
      <w:r>
        <w:t>VI.4.</w:t>
      </w:r>
      <w:r w:rsidR="00A51939">
        <w:t>8</w:t>
      </w:r>
      <w:r>
        <w:t xml:space="preserve"> </w:t>
      </w:r>
      <w:r w:rsidR="00280CFA">
        <w:t>Le nouveau Code du recouvrement amiable et forcé des créances fiscales et non fiscales (CRAF)</w:t>
      </w:r>
      <w:bookmarkEnd w:id="4526"/>
      <w:bookmarkEnd w:id="4527"/>
      <w:bookmarkEnd w:id="4528"/>
      <w:bookmarkEnd w:id="4529"/>
    </w:p>
    <w:p w14:paraId="602BA877" w14:textId="7CCA82A6" w:rsidR="003D2F82" w:rsidRPr="008D7EB7" w:rsidRDefault="00280CFA" w:rsidP="00280CFA">
      <w:pPr>
        <w:spacing w:after="160" w:line="259" w:lineRule="auto"/>
        <w:jc w:val="both"/>
        <w:rPr>
          <w:rFonts w:eastAsia="Calibri"/>
          <w:lang w:val="fr-BE" w:eastAsia="en-US"/>
        </w:rPr>
      </w:pPr>
      <w:r w:rsidRPr="008D7EB7">
        <w:rPr>
          <w:rFonts w:eastAsia="Calibri"/>
          <w:lang w:val="fr-BE" w:eastAsia="en-US"/>
        </w:rPr>
        <w:t>Le 1</w:t>
      </w:r>
      <w:r w:rsidRPr="008D7EB7">
        <w:rPr>
          <w:rFonts w:eastAsia="Calibri"/>
          <w:vertAlign w:val="superscript"/>
          <w:lang w:val="fr-BE" w:eastAsia="en-US"/>
        </w:rPr>
        <w:t>er</w:t>
      </w:r>
      <w:r w:rsidRPr="008D7EB7">
        <w:rPr>
          <w:rFonts w:eastAsia="Calibri"/>
          <w:lang w:val="fr-BE" w:eastAsia="en-US"/>
        </w:rPr>
        <w:t xml:space="preserve"> janvier 2020, est entrée en vigueur la loi du 13 avril 2019,</w:t>
      </w:r>
      <w:r w:rsidRPr="008D7EB7">
        <w:rPr>
          <w:rFonts w:eastAsia="Calibri"/>
          <w:vertAlign w:val="superscript"/>
          <w:lang w:val="fr-BE" w:eastAsia="en-US"/>
        </w:rPr>
        <w:footnoteReference w:id="86"/>
      </w:r>
      <w:r w:rsidRPr="008D7EB7">
        <w:rPr>
          <w:rFonts w:eastAsia="Calibri"/>
          <w:lang w:val="fr-BE" w:eastAsia="en-US"/>
        </w:rPr>
        <w:t xml:space="preserve"> instaurant le Code du recouvrement amiable et forcé des créances fiscales et non fiscales</w:t>
      </w:r>
      <w:r w:rsidR="003D2F82" w:rsidRPr="008D7EB7">
        <w:rPr>
          <w:rFonts w:eastAsia="Calibri"/>
          <w:lang w:val="fr-BE" w:eastAsia="en-US"/>
        </w:rPr>
        <w:t xml:space="preserve"> (CRAF)</w:t>
      </w:r>
      <w:r w:rsidRPr="008D7EB7">
        <w:rPr>
          <w:rFonts w:eastAsia="Calibri"/>
          <w:lang w:val="fr-BE" w:eastAsia="en-US"/>
        </w:rPr>
        <w:t xml:space="preserve">. Cette loi vide une partie du </w:t>
      </w:r>
      <w:r w:rsidR="009A56F6">
        <w:rPr>
          <w:rFonts w:eastAsia="Calibri"/>
          <w:lang w:val="fr-BE" w:eastAsia="en-US"/>
        </w:rPr>
        <w:t>code des impôts sur les revenus</w:t>
      </w:r>
      <w:r w:rsidRPr="008D7EB7">
        <w:rPr>
          <w:rFonts w:eastAsia="Calibri"/>
          <w:lang w:val="fr-BE" w:eastAsia="en-US"/>
        </w:rPr>
        <w:t xml:space="preserve"> de sa substance en lui ôtant certaines dispositions relatives au recouvrement fiscal. Ces dernières sont désormais regroupées avec toutes les dispositions relatives au recouvrement fiscal et non fiscal au sein du Code susmentionné. </w:t>
      </w:r>
    </w:p>
    <w:p w14:paraId="6A7586BE" w14:textId="34B4FD46" w:rsidR="00A04F0B" w:rsidRDefault="00280CFA" w:rsidP="00A65F14">
      <w:pPr>
        <w:spacing w:after="160" w:line="259" w:lineRule="auto"/>
        <w:jc w:val="both"/>
        <w:rPr>
          <w:rFonts w:eastAsia="Calibri"/>
          <w:lang w:val="fr-BE" w:eastAsia="en-US"/>
        </w:rPr>
      </w:pPr>
      <w:bookmarkStart w:id="4530" w:name="_Hlk95124192"/>
      <w:r w:rsidRPr="008D7EB7">
        <w:rPr>
          <w:rFonts w:eastAsia="Calibri"/>
          <w:lang w:val="fr-BE" w:eastAsia="en-US"/>
        </w:rPr>
        <w:t xml:space="preserve">Le CDLD faisait référence en son article L3321-12 à certains articles du </w:t>
      </w:r>
      <w:r w:rsidR="00A04F0B">
        <w:rPr>
          <w:rFonts w:eastAsia="Calibri"/>
          <w:lang w:val="fr-BE" w:eastAsia="en-US"/>
        </w:rPr>
        <w:t>code des impôts sur les revenus</w:t>
      </w:r>
      <w:r w:rsidRPr="008D7EB7">
        <w:rPr>
          <w:rFonts w:eastAsia="Calibri"/>
          <w:lang w:val="fr-BE" w:eastAsia="en-US"/>
        </w:rPr>
        <w:t xml:space="preserve"> aujourd’hui déplacés vers le CRAF. Raison pour laquelle cet article a été modifié par l’article 17 du décret du 1</w:t>
      </w:r>
      <w:r w:rsidR="008A68C8">
        <w:rPr>
          <w:rFonts w:eastAsia="Calibri"/>
          <w:lang w:val="fr-BE" w:eastAsia="en-US"/>
        </w:rPr>
        <w:t>7</w:t>
      </w:r>
      <w:r w:rsidRPr="008D7EB7">
        <w:rPr>
          <w:rFonts w:eastAsia="Calibri"/>
          <w:lang w:val="fr-BE" w:eastAsia="en-US"/>
        </w:rPr>
        <w:t xml:space="preserve"> décembre </w:t>
      </w:r>
      <w:r w:rsidR="008A68C8">
        <w:rPr>
          <w:rFonts w:eastAsia="Calibri"/>
          <w:lang w:val="fr-BE" w:eastAsia="en-US"/>
        </w:rPr>
        <w:t>2020</w:t>
      </w:r>
      <w:r w:rsidR="008A68C8" w:rsidRPr="008D7EB7">
        <w:rPr>
          <w:rFonts w:eastAsia="Calibri"/>
          <w:lang w:val="fr-BE" w:eastAsia="en-US"/>
        </w:rPr>
        <w:t xml:space="preserve"> </w:t>
      </w:r>
      <w:r w:rsidRPr="008D7EB7">
        <w:rPr>
          <w:rFonts w:eastAsia="Calibri"/>
          <w:lang w:val="fr-BE" w:eastAsia="en-US"/>
        </w:rPr>
        <w:t xml:space="preserve">contenant le budget des recettes de la Région </w:t>
      </w:r>
      <w:r w:rsidR="003D2F82" w:rsidRPr="008D7EB7">
        <w:rPr>
          <w:rFonts w:eastAsia="Calibri"/>
          <w:lang w:val="fr-BE" w:eastAsia="en-US"/>
        </w:rPr>
        <w:lastRenderedPageBreak/>
        <w:t>w</w:t>
      </w:r>
      <w:r w:rsidRPr="008D7EB7">
        <w:rPr>
          <w:rFonts w:eastAsia="Calibri"/>
          <w:lang w:val="fr-BE" w:eastAsia="en-US"/>
        </w:rPr>
        <w:t>allonne pour l’année budgétaire 202</w:t>
      </w:r>
      <w:r w:rsidR="00B91167">
        <w:rPr>
          <w:rFonts w:eastAsia="Calibri"/>
          <w:lang w:val="fr-BE" w:eastAsia="en-US"/>
        </w:rPr>
        <w:t>1</w:t>
      </w:r>
      <w:r w:rsidRPr="008D7EB7">
        <w:rPr>
          <w:rFonts w:eastAsia="Calibri"/>
          <w:vertAlign w:val="superscript"/>
          <w:lang w:val="fr-BE" w:eastAsia="en-US"/>
        </w:rPr>
        <w:footnoteReference w:id="87"/>
      </w:r>
      <w:r w:rsidRPr="008D7EB7">
        <w:rPr>
          <w:rFonts w:eastAsia="Calibri"/>
          <w:lang w:val="fr-BE" w:eastAsia="en-US"/>
        </w:rPr>
        <w:t xml:space="preserve"> rendant applicable le nouveau CRAF aux taxes provinciales et communales. </w:t>
      </w:r>
    </w:p>
    <w:p w14:paraId="591AE03C" w14:textId="4FC8EE94" w:rsidR="00280CFA" w:rsidRPr="008D7EB7" w:rsidRDefault="00280CFA" w:rsidP="00280CFA">
      <w:pPr>
        <w:spacing w:after="160" w:line="259" w:lineRule="auto"/>
        <w:jc w:val="both"/>
        <w:rPr>
          <w:rFonts w:eastAsia="Calibri"/>
          <w:lang w:val="fr-BE" w:eastAsia="en-US"/>
        </w:rPr>
      </w:pPr>
      <w:r w:rsidRPr="008D7EB7">
        <w:rPr>
          <w:rFonts w:eastAsia="Calibri"/>
          <w:lang w:val="fr-BE" w:eastAsia="en-US"/>
        </w:rPr>
        <w:t xml:space="preserve">Cette disposition est libellée comme suit : </w:t>
      </w:r>
    </w:p>
    <w:p w14:paraId="64B4916E" w14:textId="77777777" w:rsidR="00003D67" w:rsidRPr="006B47EE" w:rsidRDefault="00280CFA" w:rsidP="00003D67">
      <w:pPr>
        <w:spacing w:after="160" w:line="259" w:lineRule="auto"/>
        <w:ind w:left="709"/>
        <w:jc w:val="both"/>
        <w:rPr>
          <w:rFonts w:eastAsia="Calibri"/>
          <w:i/>
          <w:iCs/>
          <w:sz w:val="22"/>
          <w:szCs w:val="22"/>
          <w:lang w:eastAsia="en-US"/>
        </w:rPr>
      </w:pPr>
      <w:r w:rsidRPr="006B47EE">
        <w:rPr>
          <w:rFonts w:eastAsia="Calibri"/>
          <w:i/>
          <w:iCs/>
          <w:sz w:val="22"/>
          <w:szCs w:val="22"/>
          <w:lang w:val="fr-BE" w:eastAsia="en-US"/>
        </w:rPr>
        <w:t>« </w:t>
      </w:r>
      <w:r w:rsidRPr="006B47EE">
        <w:rPr>
          <w:rFonts w:eastAsia="Calibri"/>
          <w:i/>
          <w:iCs/>
          <w:sz w:val="22"/>
          <w:szCs w:val="22"/>
          <w:lang w:eastAsia="en-US"/>
        </w:rPr>
        <w:t>Art. 17. Le premier alinéa de l'article L3321-12 du C</w:t>
      </w:r>
      <w:r w:rsidR="003D2F82" w:rsidRPr="006B47EE">
        <w:rPr>
          <w:rFonts w:eastAsia="Calibri"/>
          <w:i/>
          <w:iCs/>
          <w:sz w:val="22"/>
          <w:szCs w:val="22"/>
          <w:lang w:eastAsia="en-US"/>
        </w:rPr>
        <w:t>DLD</w:t>
      </w:r>
      <w:r w:rsidRPr="006B47EE">
        <w:rPr>
          <w:rFonts w:eastAsia="Calibri"/>
          <w:i/>
          <w:iCs/>
          <w:sz w:val="22"/>
          <w:szCs w:val="22"/>
          <w:lang w:eastAsia="en-US"/>
        </w:rPr>
        <w:t xml:space="preserve"> est remplacé par le texte suivant :</w:t>
      </w:r>
    </w:p>
    <w:p w14:paraId="7719554E" w14:textId="0E8D9EFA" w:rsidR="00280CFA" w:rsidRPr="006B47EE" w:rsidRDefault="00A04F0B" w:rsidP="008D7EB7">
      <w:pPr>
        <w:spacing w:after="160" w:line="259" w:lineRule="auto"/>
        <w:ind w:left="709"/>
        <w:jc w:val="both"/>
        <w:rPr>
          <w:rFonts w:eastAsia="Calibri"/>
          <w:i/>
          <w:iCs/>
          <w:sz w:val="22"/>
          <w:szCs w:val="22"/>
          <w:lang w:eastAsia="en-US"/>
        </w:rPr>
      </w:pPr>
      <w:r w:rsidRPr="006B47EE" w:rsidDel="00A04F0B">
        <w:rPr>
          <w:rFonts w:eastAsia="Calibri"/>
          <w:i/>
          <w:iCs/>
          <w:sz w:val="22"/>
          <w:szCs w:val="22"/>
          <w:lang w:eastAsia="en-US"/>
        </w:rPr>
        <w:t xml:space="preserve"> </w:t>
      </w:r>
      <w:r w:rsidR="00280CFA" w:rsidRPr="006B47EE">
        <w:rPr>
          <w:rFonts w:eastAsia="Calibri"/>
          <w:i/>
          <w:iCs/>
          <w:sz w:val="22"/>
          <w:szCs w:val="22"/>
          <w:lang w:eastAsia="en-US"/>
        </w:rPr>
        <w:t>« Sans préjudice des dispositions du présent titre, les dispositions du titre VII, Chapitres 1</w:t>
      </w:r>
      <w:r w:rsidR="00280CFA" w:rsidRPr="006B47EE">
        <w:rPr>
          <w:rFonts w:eastAsia="Calibri"/>
          <w:i/>
          <w:iCs/>
          <w:sz w:val="22"/>
          <w:szCs w:val="22"/>
          <w:vertAlign w:val="superscript"/>
          <w:lang w:eastAsia="en-US"/>
        </w:rPr>
        <w:t>er</w:t>
      </w:r>
      <w:r w:rsidR="00280CFA" w:rsidRPr="006B47EE">
        <w:rPr>
          <w:rFonts w:eastAsia="Calibri"/>
          <w:i/>
          <w:iCs/>
          <w:sz w:val="22"/>
          <w:szCs w:val="22"/>
          <w:lang w:eastAsia="en-US"/>
        </w:rPr>
        <w:t xml:space="preserve">, 3, 4, 7 à 10 ainsi que les articles 355, 356 et 357 du Code des impôts sur les revenus, les articles 126 à 175 de l'arrêté d'exécution de ce Code, ainsi que la loi du 13 avril 2019 introduisant le Code du recouvrement amiable et forcé des créances fiscales et non fiscales sont applicables aux taxes provinciales et communales pour autant qu'elles ne concernent pas spécialement les impôts sur les revenus et à l'exception des articles 43 à 48 de ce même Code du recouvrement amiable et forcé des créances fiscales et non fiscales. Pour les cas d'aliénation ou d'affectation hypothécaire d'un bien susceptible d'hypothèque, la notification par le notaire au sens de l'article 35 de la loi du 13 avril 2019 introduisant le Code du recouvrement amiable et forcé des créances fiscales et non fiscales doit être adressée au Directeur financier de la commune dans laquelle le propriétaire du bien </w:t>
      </w:r>
      <w:proofErr w:type="spellStart"/>
      <w:r w:rsidR="00280CFA" w:rsidRPr="006B47EE">
        <w:rPr>
          <w:rFonts w:eastAsia="Calibri"/>
          <w:i/>
          <w:iCs/>
          <w:sz w:val="22"/>
          <w:szCs w:val="22"/>
          <w:lang w:eastAsia="en-US"/>
        </w:rPr>
        <w:t>a</w:t>
      </w:r>
      <w:proofErr w:type="spellEnd"/>
      <w:r w:rsidR="00280CFA" w:rsidRPr="006B47EE">
        <w:rPr>
          <w:rFonts w:eastAsia="Calibri"/>
          <w:i/>
          <w:iCs/>
          <w:sz w:val="22"/>
          <w:szCs w:val="22"/>
          <w:lang w:eastAsia="en-US"/>
        </w:rPr>
        <w:t xml:space="preserve"> sa résidence. ». » </w:t>
      </w:r>
    </w:p>
    <w:p w14:paraId="63DECF1E" w14:textId="77777777" w:rsidR="00003D67" w:rsidRDefault="00280CFA" w:rsidP="00280CFA">
      <w:pPr>
        <w:spacing w:after="160" w:line="259" w:lineRule="auto"/>
        <w:jc w:val="both"/>
        <w:rPr>
          <w:rFonts w:eastAsia="Calibri"/>
          <w:szCs w:val="22"/>
          <w:lang w:val="fr-BE" w:eastAsia="en-US"/>
        </w:rPr>
      </w:pPr>
      <w:r w:rsidRPr="008D7EB7">
        <w:rPr>
          <w:rFonts w:eastAsia="Calibri"/>
          <w:szCs w:val="22"/>
          <w:lang w:val="fr-BE" w:eastAsia="en-US"/>
        </w:rPr>
        <w:t>Un article L3321-8</w:t>
      </w:r>
      <w:r w:rsidRPr="008D7EB7">
        <w:rPr>
          <w:rFonts w:eastAsia="Calibri"/>
          <w:i/>
          <w:szCs w:val="22"/>
          <w:lang w:val="fr-BE" w:eastAsia="en-US"/>
        </w:rPr>
        <w:t>bis</w:t>
      </w:r>
      <w:r w:rsidRPr="008D7EB7">
        <w:rPr>
          <w:rFonts w:eastAsia="Calibri"/>
          <w:szCs w:val="22"/>
          <w:lang w:val="fr-BE" w:eastAsia="en-US"/>
        </w:rPr>
        <w:t xml:space="preserve"> a également été ajouté au CDLD par le biais de l’article 18 de ce même décret budgétaire. </w:t>
      </w:r>
    </w:p>
    <w:p w14:paraId="21EA86AD" w14:textId="7E3C2184" w:rsidR="00280CFA" w:rsidRPr="008D7EB7" w:rsidRDefault="00280CFA" w:rsidP="00280CFA">
      <w:pPr>
        <w:spacing w:after="160" w:line="259" w:lineRule="auto"/>
        <w:jc w:val="both"/>
        <w:rPr>
          <w:rFonts w:eastAsia="Calibri"/>
          <w:szCs w:val="22"/>
          <w:lang w:val="fr-BE" w:eastAsia="en-US"/>
        </w:rPr>
      </w:pPr>
      <w:r w:rsidRPr="008D7EB7">
        <w:rPr>
          <w:rFonts w:eastAsia="Calibri"/>
          <w:szCs w:val="22"/>
          <w:lang w:val="fr-BE" w:eastAsia="en-US"/>
        </w:rPr>
        <w:t xml:space="preserve">Ce dernier dispose : </w:t>
      </w:r>
    </w:p>
    <w:p w14:paraId="62B8E4BD" w14:textId="77777777" w:rsidR="00003D67" w:rsidRPr="006B47EE" w:rsidRDefault="00280CFA" w:rsidP="00003D67">
      <w:pPr>
        <w:spacing w:after="160" w:line="259" w:lineRule="auto"/>
        <w:ind w:left="709"/>
        <w:jc w:val="both"/>
        <w:rPr>
          <w:rFonts w:eastAsia="Calibri"/>
          <w:i/>
          <w:iCs/>
          <w:sz w:val="22"/>
          <w:szCs w:val="22"/>
          <w:lang w:eastAsia="en-US"/>
        </w:rPr>
      </w:pPr>
      <w:r w:rsidRPr="006B47EE">
        <w:rPr>
          <w:rFonts w:eastAsia="Calibri"/>
          <w:i/>
          <w:iCs/>
          <w:sz w:val="22"/>
          <w:szCs w:val="22"/>
          <w:lang w:val="fr-BE" w:eastAsia="en-US"/>
        </w:rPr>
        <w:t>« </w:t>
      </w:r>
      <w:r w:rsidRPr="006B47EE">
        <w:rPr>
          <w:rFonts w:eastAsia="Calibri"/>
          <w:i/>
          <w:iCs/>
          <w:sz w:val="22"/>
          <w:szCs w:val="22"/>
          <w:lang w:eastAsia="en-US"/>
        </w:rPr>
        <w:t>Art. 18. Il est ajouté un article L3321-8bis au même Code rédigé comme suit :</w:t>
      </w:r>
      <w:r w:rsidRPr="006B47EE">
        <w:rPr>
          <w:rFonts w:eastAsia="Calibri"/>
          <w:i/>
          <w:iCs/>
          <w:sz w:val="22"/>
          <w:szCs w:val="22"/>
          <w:lang w:eastAsia="en-US"/>
        </w:rPr>
        <w:tab/>
      </w:r>
    </w:p>
    <w:p w14:paraId="351C002C" w14:textId="6A188FC5" w:rsidR="00003D67" w:rsidRPr="006B47EE" w:rsidRDefault="008D5D16" w:rsidP="00003D67">
      <w:pPr>
        <w:spacing w:after="160" w:line="259" w:lineRule="auto"/>
        <w:ind w:left="709"/>
        <w:jc w:val="both"/>
        <w:rPr>
          <w:rFonts w:eastAsia="Calibri"/>
          <w:i/>
          <w:iCs/>
          <w:sz w:val="22"/>
          <w:szCs w:val="22"/>
          <w:lang w:eastAsia="en-US"/>
        </w:rPr>
      </w:pPr>
      <w:r w:rsidRPr="006B47EE" w:rsidDel="008D5D16">
        <w:rPr>
          <w:rFonts w:eastAsia="Calibri"/>
          <w:i/>
          <w:iCs/>
          <w:sz w:val="22"/>
          <w:szCs w:val="22"/>
          <w:lang w:eastAsia="en-US"/>
        </w:rPr>
        <w:t xml:space="preserve"> </w:t>
      </w:r>
      <w:r w:rsidR="00280CFA" w:rsidRPr="006B47EE">
        <w:rPr>
          <w:rFonts w:eastAsia="Calibri"/>
          <w:i/>
          <w:iCs/>
          <w:sz w:val="22"/>
          <w:szCs w:val="22"/>
          <w:lang w:eastAsia="en-US"/>
        </w:rPr>
        <w:t>« Art. L3321-8bis. En cas de non-paiement à l'échéance, un rappel est envoyé au contribuable. Ce rappel se fait par courrier recommandé. Les frais postaux de cet envoi peuvent être mis à charge du redevable. Dans ce cas, ceux-ci sont recouvrés par la contrainte.</w:t>
      </w:r>
      <w:r w:rsidR="00280CFA" w:rsidRPr="006B47EE">
        <w:rPr>
          <w:rFonts w:eastAsia="Calibri"/>
          <w:i/>
          <w:iCs/>
          <w:sz w:val="22"/>
          <w:szCs w:val="22"/>
          <w:lang w:eastAsia="en-US"/>
        </w:rPr>
        <w:tab/>
      </w:r>
    </w:p>
    <w:p w14:paraId="32ED3E1A" w14:textId="4B507403" w:rsidR="00003D67" w:rsidRPr="006B47EE" w:rsidRDefault="00280CFA" w:rsidP="00003D67">
      <w:pPr>
        <w:spacing w:after="160" w:line="259" w:lineRule="auto"/>
        <w:ind w:left="709"/>
        <w:jc w:val="both"/>
        <w:rPr>
          <w:rFonts w:eastAsia="Calibri"/>
          <w:i/>
          <w:iCs/>
          <w:sz w:val="22"/>
          <w:szCs w:val="22"/>
          <w:lang w:eastAsia="en-US"/>
        </w:rPr>
      </w:pPr>
      <w:r w:rsidRPr="006B47EE">
        <w:rPr>
          <w:rFonts w:eastAsia="Calibri"/>
          <w:i/>
          <w:iCs/>
          <w:sz w:val="22"/>
          <w:szCs w:val="22"/>
          <w:lang w:eastAsia="en-US"/>
        </w:rPr>
        <w:t>Ce rappel de paiement adressé au redevable ne peut être envoyé qu'à l'expiration d'un délai de 10 jours calendrier à compter du 1</w:t>
      </w:r>
      <w:r w:rsidRPr="006B47EE">
        <w:rPr>
          <w:rFonts w:eastAsia="Calibri"/>
          <w:i/>
          <w:iCs/>
          <w:sz w:val="22"/>
          <w:szCs w:val="22"/>
          <w:vertAlign w:val="superscript"/>
          <w:lang w:eastAsia="en-US"/>
        </w:rPr>
        <w:t>er</w:t>
      </w:r>
      <w:r w:rsidRPr="006B47EE">
        <w:rPr>
          <w:rFonts w:eastAsia="Calibri"/>
          <w:i/>
          <w:iCs/>
          <w:sz w:val="22"/>
          <w:szCs w:val="22"/>
          <w:lang w:eastAsia="en-US"/>
        </w:rPr>
        <w:t xml:space="preserve"> jour suivant l'échéance de paiement mentionnée sur l'avertissement-extrait de rôle.</w:t>
      </w:r>
    </w:p>
    <w:p w14:paraId="4F766B81" w14:textId="687F6769" w:rsidR="00003D67" w:rsidRPr="006B47EE" w:rsidRDefault="00280CFA" w:rsidP="00003D67">
      <w:pPr>
        <w:spacing w:after="160" w:line="259" w:lineRule="auto"/>
        <w:ind w:left="709"/>
        <w:jc w:val="both"/>
        <w:rPr>
          <w:rFonts w:eastAsia="Calibri"/>
          <w:i/>
          <w:iCs/>
          <w:sz w:val="22"/>
          <w:szCs w:val="22"/>
          <w:lang w:eastAsia="en-US"/>
        </w:rPr>
      </w:pPr>
      <w:r w:rsidRPr="006B47EE">
        <w:rPr>
          <w:rFonts w:eastAsia="Calibri"/>
          <w:i/>
          <w:iCs/>
          <w:sz w:val="22"/>
          <w:szCs w:val="22"/>
          <w:lang w:eastAsia="en-US"/>
        </w:rPr>
        <w:t>La première mesure d'exécution ne peut être mise en œuvre qu'à l'expiration d'un délai d'un mois à compter du troisième jour ouvrable qui suit la date d'envoi du rappel au redevable.</w:t>
      </w:r>
    </w:p>
    <w:p w14:paraId="3D3D5FB5" w14:textId="052A5F59" w:rsidR="00280CFA" w:rsidRPr="006B47EE" w:rsidRDefault="00280CFA" w:rsidP="00003D67">
      <w:pPr>
        <w:spacing w:after="160" w:line="259" w:lineRule="auto"/>
        <w:ind w:left="709"/>
        <w:jc w:val="both"/>
        <w:rPr>
          <w:rFonts w:eastAsia="Calibri"/>
          <w:i/>
          <w:iCs/>
          <w:sz w:val="22"/>
          <w:szCs w:val="22"/>
          <w:lang w:val="fr-BE" w:eastAsia="en-US"/>
        </w:rPr>
      </w:pPr>
      <w:r w:rsidRPr="006B47EE">
        <w:rPr>
          <w:rFonts w:eastAsia="Calibri"/>
          <w:i/>
          <w:iCs/>
          <w:sz w:val="22"/>
          <w:szCs w:val="22"/>
          <w:lang w:eastAsia="en-US"/>
        </w:rPr>
        <w:t>Constitue une voie d'exécution au sens de l'alinéa 2 les voies d'exécution visées à la cinquième partie, titre III du Code judiciaire. ».</w:t>
      </w:r>
      <w:r w:rsidRPr="006B47EE">
        <w:rPr>
          <w:rFonts w:eastAsia="Calibri"/>
          <w:i/>
          <w:iCs/>
          <w:sz w:val="22"/>
          <w:szCs w:val="22"/>
          <w:lang w:val="fr-BE" w:eastAsia="en-US"/>
        </w:rPr>
        <w:t> »</w:t>
      </w:r>
    </w:p>
    <w:bookmarkEnd w:id="4530"/>
    <w:p w14:paraId="459897BF" w14:textId="77777777" w:rsidR="00541AFA" w:rsidRDefault="00541AFA" w:rsidP="00003D67">
      <w:pPr>
        <w:spacing w:after="160" w:line="259" w:lineRule="auto"/>
        <w:ind w:left="709"/>
        <w:jc w:val="both"/>
        <w:rPr>
          <w:rFonts w:eastAsia="Calibri"/>
          <w:i/>
          <w:iCs/>
          <w:szCs w:val="22"/>
          <w:lang w:val="fr-BE" w:eastAsia="en-US"/>
        </w:rPr>
      </w:pPr>
    </w:p>
    <w:p w14:paraId="768D79D1" w14:textId="77777777" w:rsidR="00280CFA" w:rsidRPr="008D7EB7" w:rsidRDefault="00280CFA" w:rsidP="008D7EB7">
      <w:pPr>
        <w:pStyle w:val="Sam4"/>
        <w:numPr>
          <w:ilvl w:val="4"/>
          <w:numId w:val="242"/>
        </w:numPr>
        <w:rPr>
          <w:b w:val="0"/>
          <w:i w:val="0"/>
        </w:rPr>
      </w:pPr>
      <w:bookmarkStart w:id="4531" w:name="_Toc40185434"/>
      <w:bookmarkStart w:id="4532" w:name="_Toc40186169"/>
      <w:bookmarkStart w:id="4533" w:name="_Toc34813712"/>
      <w:bookmarkStart w:id="4534" w:name="_Toc74557688"/>
      <w:bookmarkEnd w:id="4531"/>
      <w:bookmarkEnd w:id="4532"/>
      <w:r w:rsidRPr="008D7EB7">
        <w:t>Champ d’application du CRAF</w:t>
      </w:r>
      <w:bookmarkEnd w:id="4533"/>
      <w:bookmarkEnd w:id="4534"/>
    </w:p>
    <w:p w14:paraId="2C8749AD" w14:textId="33199758" w:rsidR="00280CFA" w:rsidRPr="008D7EB7" w:rsidRDefault="00280CFA" w:rsidP="00280CFA">
      <w:pPr>
        <w:spacing w:before="240" w:after="160" w:line="259" w:lineRule="auto"/>
        <w:jc w:val="both"/>
        <w:rPr>
          <w:rFonts w:eastAsia="Calibri"/>
          <w:bCs/>
          <w:szCs w:val="22"/>
          <w:lang w:eastAsia="en-US"/>
        </w:rPr>
      </w:pPr>
      <w:r w:rsidRPr="008D7EB7">
        <w:rPr>
          <w:rFonts w:eastAsia="Calibri"/>
          <w:szCs w:val="22"/>
          <w:lang w:val="fr-BE" w:eastAsia="en-US"/>
        </w:rPr>
        <w:t xml:space="preserve">Le CRAF </w:t>
      </w:r>
      <w:r w:rsidRPr="008D7EB7">
        <w:rPr>
          <w:rFonts w:eastAsia="Calibri"/>
          <w:bCs/>
          <w:szCs w:val="22"/>
          <w:lang w:eastAsia="en-US"/>
        </w:rPr>
        <w:t>régit le recouvrement amiable et forcé des créances fiscales. Par créances fiscales, le Code vise les taxes assimilées aux impôts sur les revenus visés à l'article 1</w:t>
      </w:r>
      <w:r w:rsidRPr="008D7EB7">
        <w:rPr>
          <w:rFonts w:eastAsia="Calibri"/>
          <w:bCs/>
          <w:szCs w:val="22"/>
          <w:vertAlign w:val="superscript"/>
          <w:lang w:eastAsia="en-US"/>
        </w:rPr>
        <w:t>er</w:t>
      </w:r>
      <w:r w:rsidRPr="008D7EB7">
        <w:rPr>
          <w:rFonts w:eastAsia="Calibri"/>
          <w:bCs/>
          <w:szCs w:val="22"/>
          <w:lang w:eastAsia="en-US"/>
        </w:rPr>
        <w:t xml:space="preserve"> du Code des taxes assimilées aux impôts sur les revenus, en ce compris les additionnels visés à l'article 42 du même Code</w:t>
      </w:r>
      <w:r w:rsidR="00A04F0B">
        <w:rPr>
          <w:rStyle w:val="Appelnotedebasdep"/>
          <w:rFonts w:eastAsia="Calibri"/>
          <w:bCs/>
          <w:szCs w:val="22"/>
          <w:lang w:eastAsia="en-US"/>
        </w:rPr>
        <w:footnoteReference w:id="88"/>
      </w:r>
      <w:r w:rsidR="00003D67">
        <w:rPr>
          <w:rFonts w:eastAsia="Calibri"/>
          <w:bCs/>
          <w:szCs w:val="22"/>
          <w:lang w:eastAsia="en-US"/>
        </w:rPr>
        <w:t>.</w:t>
      </w:r>
    </w:p>
    <w:p w14:paraId="5D224A56" w14:textId="2A3C6116" w:rsidR="00280CFA" w:rsidRDefault="00280CFA" w:rsidP="00280CFA">
      <w:pPr>
        <w:spacing w:after="160" w:line="259" w:lineRule="auto"/>
        <w:jc w:val="both"/>
        <w:rPr>
          <w:rFonts w:eastAsia="Calibri"/>
          <w:b/>
          <w:szCs w:val="22"/>
          <w:lang w:val="fr-BE" w:eastAsia="en-US"/>
        </w:rPr>
      </w:pPr>
      <w:r w:rsidRPr="008D7EB7">
        <w:rPr>
          <w:rFonts w:eastAsia="Calibri"/>
          <w:b/>
          <w:szCs w:val="22"/>
          <w:lang w:val="fr-BE" w:eastAsia="en-US"/>
        </w:rPr>
        <w:lastRenderedPageBreak/>
        <w:t>Le CRAF n’est donc pas applicable aux créances non fiscales locales, il concerne uniquement les taxes locales</w:t>
      </w:r>
      <w:r w:rsidR="009E5A8A">
        <w:rPr>
          <w:rFonts w:eastAsia="Calibri"/>
          <w:b/>
          <w:szCs w:val="22"/>
          <w:lang w:val="fr-BE" w:eastAsia="en-US"/>
        </w:rPr>
        <w:t xml:space="preserve"> (pas les redevances)</w:t>
      </w:r>
      <w:r w:rsidRPr="008D7EB7">
        <w:rPr>
          <w:rFonts w:eastAsia="Calibri"/>
          <w:b/>
          <w:szCs w:val="22"/>
          <w:lang w:val="fr-BE" w:eastAsia="en-US"/>
        </w:rPr>
        <w:t xml:space="preserve">. </w:t>
      </w:r>
    </w:p>
    <w:p w14:paraId="69656261" w14:textId="175ABEFA" w:rsidR="006B47EE" w:rsidRDefault="006B47EE" w:rsidP="00280CFA">
      <w:pPr>
        <w:spacing w:after="160" w:line="259" w:lineRule="auto"/>
        <w:jc w:val="both"/>
        <w:rPr>
          <w:rFonts w:eastAsia="Calibri"/>
          <w:b/>
          <w:szCs w:val="22"/>
          <w:lang w:val="fr-BE" w:eastAsia="en-US"/>
        </w:rPr>
      </w:pPr>
    </w:p>
    <w:p w14:paraId="0F5D474D" w14:textId="77777777" w:rsidR="006B47EE" w:rsidRPr="008D7EB7" w:rsidRDefault="006B47EE" w:rsidP="00280CFA">
      <w:pPr>
        <w:spacing w:after="160" w:line="259" w:lineRule="auto"/>
        <w:jc w:val="both"/>
        <w:rPr>
          <w:rFonts w:eastAsia="Calibri"/>
          <w:b/>
          <w:szCs w:val="22"/>
          <w:lang w:val="fr-BE" w:eastAsia="en-US"/>
        </w:rPr>
      </w:pPr>
    </w:p>
    <w:p w14:paraId="078AB2F1" w14:textId="77777777" w:rsidR="00280CFA" w:rsidRPr="008D7EB7" w:rsidRDefault="00280CFA" w:rsidP="008D7EB7">
      <w:pPr>
        <w:pStyle w:val="Sam4"/>
        <w:numPr>
          <w:ilvl w:val="4"/>
          <w:numId w:val="242"/>
        </w:numPr>
        <w:rPr>
          <w:b w:val="0"/>
          <w:i w:val="0"/>
        </w:rPr>
      </w:pPr>
      <w:bookmarkStart w:id="4535" w:name="_Toc34813713"/>
      <w:bookmarkStart w:id="4536" w:name="_Toc74557689"/>
      <w:r w:rsidRPr="008D7EB7">
        <w:t>Nouvelles notions introduites par le CRAF</w:t>
      </w:r>
      <w:bookmarkEnd w:id="4535"/>
      <w:bookmarkEnd w:id="4536"/>
    </w:p>
    <w:p w14:paraId="6EFF7807" w14:textId="77777777" w:rsidR="00280CFA" w:rsidRPr="008D7EB7" w:rsidRDefault="00280CFA" w:rsidP="00280CFA">
      <w:pPr>
        <w:spacing w:before="240" w:after="160" w:line="259" w:lineRule="auto"/>
        <w:jc w:val="both"/>
        <w:rPr>
          <w:rFonts w:eastAsia="Calibri"/>
          <w:szCs w:val="22"/>
          <w:lang w:val="fr-BE" w:eastAsia="en-US"/>
        </w:rPr>
      </w:pPr>
      <w:r w:rsidRPr="008D7EB7">
        <w:rPr>
          <w:rFonts w:eastAsia="Calibri"/>
          <w:szCs w:val="22"/>
          <w:lang w:val="fr-BE" w:eastAsia="en-US"/>
        </w:rPr>
        <w:t xml:space="preserve">Le Code introduit de nouvelles notions : </w:t>
      </w:r>
    </w:p>
    <w:p w14:paraId="59AC9263" w14:textId="57262A3D" w:rsidR="00280CFA" w:rsidRPr="008D7EB7" w:rsidRDefault="00003D67" w:rsidP="008D7EB7">
      <w:pPr>
        <w:pStyle w:val="Paragraphedeliste"/>
        <w:numPr>
          <w:ilvl w:val="0"/>
          <w:numId w:val="156"/>
        </w:numPr>
        <w:spacing w:after="160" w:line="259" w:lineRule="auto"/>
        <w:contextualSpacing/>
        <w:jc w:val="both"/>
        <w:rPr>
          <w:rFonts w:eastAsia="Calibri"/>
          <w:szCs w:val="22"/>
          <w:lang w:val="fr-BE" w:eastAsia="en-US"/>
        </w:rPr>
      </w:pPr>
      <w:proofErr w:type="gramStart"/>
      <w:r>
        <w:rPr>
          <w:rFonts w:eastAsia="Calibri"/>
          <w:szCs w:val="22"/>
          <w:lang w:val="fr-BE" w:eastAsia="en-US"/>
        </w:rPr>
        <w:t>l</w:t>
      </w:r>
      <w:r w:rsidR="00280CFA" w:rsidRPr="008D7EB7">
        <w:rPr>
          <w:rFonts w:eastAsia="Calibri"/>
          <w:szCs w:val="22"/>
          <w:lang w:val="fr-BE" w:eastAsia="en-US"/>
        </w:rPr>
        <w:t>a</w:t>
      </w:r>
      <w:proofErr w:type="gramEnd"/>
      <w:r w:rsidR="00280CFA" w:rsidRPr="008D7EB7">
        <w:rPr>
          <w:rFonts w:eastAsia="Calibri"/>
          <w:szCs w:val="22"/>
          <w:lang w:val="fr-BE" w:eastAsia="en-US"/>
        </w:rPr>
        <w:t xml:space="preserve"> notion de « Codébiteur » est définie comme étant la personne qui n’est pas reprise au rôle</w:t>
      </w:r>
      <w:r>
        <w:rPr>
          <w:rFonts w:eastAsia="Calibri"/>
          <w:szCs w:val="22"/>
          <w:lang w:val="fr-BE" w:eastAsia="en-US"/>
        </w:rPr>
        <w:t> </w:t>
      </w:r>
      <w:r w:rsidR="00F07F7E">
        <w:rPr>
          <w:rFonts w:eastAsia="Calibri"/>
          <w:szCs w:val="22"/>
          <w:lang w:val="fr-BE" w:eastAsia="en-US"/>
        </w:rPr>
        <w:t>et qui est tenue au paiement des taxes sur la base du droit commun des lois fiscales ou du règlement-taxe</w:t>
      </w:r>
      <w:r w:rsidR="00243635">
        <w:rPr>
          <w:rFonts w:eastAsia="Calibri"/>
          <w:szCs w:val="22"/>
          <w:lang w:val="fr-BE" w:eastAsia="en-US"/>
        </w:rPr>
        <w:t xml:space="preserve"> </w:t>
      </w:r>
      <w:r>
        <w:rPr>
          <w:rFonts w:eastAsia="Calibri"/>
          <w:szCs w:val="22"/>
          <w:lang w:val="fr-BE" w:eastAsia="en-US"/>
        </w:rPr>
        <w:t>;</w:t>
      </w:r>
    </w:p>
    <w:p w14:paraId="4C78C4E5" w14:textId="731FBA5A" w:rsidR="00280CFA" w:rsidRPr="008D7EB7" w:rsidRDefault="00003D67" w:rsidP="008D7EB7">
      <w:pPr>
        <w:pStyle w:val="Paragraphedeliste"/>
        <w:numPr>
          <w:ilvl w:val="0"/>
          <w:numId w:val="156"/>
        </w:numPr>
        <w:spacing w:after="160" w:line="259" w:lineRule="auto"/>
        <w:contextualSpacing/>
        <w:jc w:val="both"/>
        <w:rPr>
          <w:rFonts w:eastAsia="Calibri"/>
          <w:szCs w:val="22"/>
          <w:lang w:val="fr-BE" w:eastAsia="en-US"/>
        </w:rPr>
      </w:pPr>
      <w:proofErr w:type="gramStart"/>
      <w:r>
        <w:rPr>
          <w:rFonts w:eastAsia="Calibri"/>
          <w:szCs w:val="22"/>
          <w:lang w:val="fr-BE" w:eastAsia="en-US"/>
        </w:rPr>
        <w:t>l</w:t>
      </w:r>
      <w:r w:rsidR="00280CFA" w:rsidRPr="008D7EB7">
        <w:rPr>
          <w:rFonts w:eastAsia="Calibri"/>
          <w:szCs w:val="22"/>
          <w:lang w:val="fr-BE" w:eastAsia="en-US"/>
        </w:rPr>
        <w:t>e</w:t>
      </w:r>
      <w:proofErr w:type="gramEnd"/>
      <w:r w:rsidR="00280CFA" w:rsidRPr="008D7EB7">
        <w:rPr>
          <w:rFonts w:eastAsia="Calibri"/>
          <w:szCs w:val="22"/>
          <w:lang w:val="fr-BE" w:eastAsia="en-US"/>
        </w:rPr>
        <w:t xml:space="preserve"> rappel devient la sommation de payer</w:t>
      </w:r>
      <w:r>
        <w:rPr>
          <w:rFonts w:eastAsia="Calibri"/>
          <w:szCs w:val="22"/>
          <w:lang w:val="fr-BE" w:eastAsia="en-US"/>
        </w:rPr>
        <w:t> ;</w:t>
      </w:r>
    </w:p>
    <w:p w14:paraId="395A55D5" w14:textId="233D0858" w:rsidR="00280CFA" w:rsidRPr="00276F16" w:rsidRDefault="00003D67" w:rsidP="008D7EB7">
      <w:pPr>
        <w:pStyle w:val="Paragraphedeliste"/>
        <w:numPr>
          <w:ilvl w:val="0"/>
          <w:numId w:val="156"/>
        </w:numPr>
        <w:spacing w:before="120"/>
        <w:jc w:val="both"/>
        <w:textAlignment w:val="baseline"/>
        <w:rPr>
          <w:rFonts w:eastAsia="Calibri"/>
          <w:szCs w:val="22"/>
          <w:lang w:val="fr-BE" w:eastAsia="en-US"/>
        </w:rPr>
      </w:pPr>
      <w:proofErr w:type="gramStart"/>
      <w:r>
        <w:rPr>
          <w:rFonts w:eastAsia="Calibri"/>
          <w:szCs w:val="22"/>
          <w:lang w:val="fr-BE" w:eastAsia="en-US"/>
        </w:rPr>
        <w:t>l</w:t>
      </w:r>
      <w:r w:rsidR="00280CFA" w:rsidRPr="00276F16">
        <w:rPr>
          <w:rFonts w:eastAsia="Calibri"/>
          <w:szCs w:val="22"/>
          <w:lang w:val="fr-BE" w:eastAsia="en-US"/>
        </w:rPr>
        <w:t>a</w:t>
      </w:r>
      <w:proofErr w:type="gramEnd"/>
      <w:r w:rsidR="00280CFA" w:rsidRPr="00276F16">
        <w:rPr>
          <w:rFonts w:eastAsia="Calibri"/>
          <w:szCs w:val="22"/>
          <w:lang w:val="fr-BE" w:eastAsia="en-US"/>
        </w:rPr>
        <w:t xml:space="preserve"> notion de contrainte est remplacée par un nouveau dispositif d’extrait de rôle prévu par l’article 19 du CRAF.</w:t>
      </w:r>
    </w:p>
    <w:p w14:paraId="731A009A" w14:textId="77777777" w:rsidR="00280CFA" w:rsidRDefault="00280CFA" w:rsidP="00280CFA">
      <w:pPr>
        <w:spacing w:before="120"/>
        <w:jc w:val="both"/>
        <w:textAlignment w:val="baseline"/>
        <w:rPr>
          <w:rFonts w:asciiTheme="minorHAnsi" w:hAnsiTheme="minorHAnsi" w:cs="Calibri Light"/>
        </w:rPr>
      </w:pPr>
    </w:p>
    <w:p w14:paraId="6E2C2784" w14:textId="77777777" w:rsidR="009E5A8A" w:rsidRPr="009E5A8A" w:rsidRDefault="009E5A8A" w:rsidP="00256E9F">
      <w:pPr>
        <w:pStyle w:val="Paragraphedeliste"/>
        <w:numPr>
          <w:ilvl w:val="4"/>
          <w:numId w:val="242"/>
        </w:numPr>
        <w:jc w:val="both"/>
        <w:rPr>
          <w:rFonts w:asciiTheme="minorHAnsi" w:hAnsiTheme="minorHAnsi"/>
          <w:u w:val="single"/>
          <w:lang w:val="fr-BE"/>
        </w:rPr>
      </w:pPr>
      <w:bookmarkStart w:id="4537" w:name="_Toc74557690"/>
      <w:bookmarkStart w:id="4538" w:name="_Hlk67581926"/>
      <w:r w:rsidRPr="009E5A8A">
        <w:rPr>
          <w:rFonts w:asciiTheme="minorHAnsi" w:hAnsiTheme="minorHAnsi"/>
          <w:u w:val="single"/>
          <w:lang w:val="fr-BE"/>
        </w:rPr>
        <w:t>Transposition des nouvelles notions et application du CDLD</w:t>
      </w:r>
    </w:p>
    <w:p w14:paraId="66F58280" w14:textId="4A8C80AC" w:rsidR="009E5A8A" w:rsidRDefault="009E5A8A" w:rsidP="00256E9F">
      <w:pPr>
        <w:pStyle w:val="Sam4"/>
        <w:numPr>
          <w:ilvl w:val="0"/>
          <w:numId w:val="314"/>
        </w:numPr>
        <w:jc w:val="both"/>
        <w:rPr>
          <w:b w:val="0"/>
          <w:i w:val="0"/>
        </w:rPr>
      </w:pPr>
      <w:r>
        <w:rPr>
          <w:b w:val="0"/>
          <w:i w:val="0"/>
        </w:rPr>
        <w:t>Disposition</w:t>
      </w:r>
      <w:r w:rsidR="00CA35BD">
        <w:rPr>
          <w:b w:val="0"/>
          <w:i w:val="0"/>
        </w:rPr>
        <w:t xml:space="preserve"> générale : L 3321-12 CDLD</w:t>
      </w:r>
    </w:p>
    <w:p w14:paraId="0B31203F" w14:textId="77777777" w:rsidR="00CA35BD" w:rsidRDefault="00CA35BD" w:rsidP="00256E9F">
      <w:pPr>
        <w:pStyle w:val="Sam4"/>
        <w:numPr>
          <w:ilvl w:val="0"/>
          <w:numId w:val="0"/>
        </w:numPr>
        <w:ind w:left="2770"/>
        <w:jc w:val="both"/>
        <w:rPr>
          <w:b w:val="0"/>
          <w:i w:val="0"/>
        </w:rPr>
      </w:pPr>
    </w:p>
    <w:p w14:paraId="1E11A478" w14:textId="43E2BB55" w:rsidR="00CA35BD" w:rsidRPr="006B47EE" w:rsidRDefault="00CA35BD">
      <w:pPr>
        <w:pStyle w:val="Sam4"/>
        <w:numPr>
          <w:ilvl w:val="0"/>
          <w:numId w:val="0"/>
        </w:numPr>
        <w:jc w:val="both"/>
        <w:rPr>
          <w:b w:val="0"/>
          <w:i w:val="0"/>
          <w:u w:val="none"/>
        </w:rPr>
      </w:pPr>
      <w:r w:rsidRPr="006B47EE">
        <w:rPr>
          <w:b w:val="0"/>
          <w:i w:val="0"/>
          <w:u w:val="none"/>
        </w:rPr>
        <w:t xml:space="preserve">Afin de transposer les modifications opérées par le CRAF, l’article L3321-12 du CDLD, qui faisait référence à certains articles du code des impôts sur les revenus, a été modifié par l’article </w:t>
      </w:r>
      <w:r w:rsidR="00F612ED" w:rsidRPr="006B47EE">
        <w:rPr>
          <w:b w:val="0"/>
          <w:i w:val="0"/>
          <w:u w:val="none"/>
        </w:rPr>
        <w:t>18</w:t>
      </w:r>
      <w:r w:rsidRPr="006B47EE">
        <w:rPr>
          <w:b w:val="0"/>
          <w:i w:val="0"/>
          <w:u w:val="none"/>
        </w:rPr>
        <w:t xml:space="preserve"> du décret du </w:t>
      </w:r>
      <w:r w:rsidR="00F612ED" w:rsidRPr="006B47EE">
        <w:rPr>
          <w:b w:val="0"/>
          <w:i w:val="0"/>
          <w:u w:val="none"/>
        </w:rPr>
        <w:t>22</w:t>
      </w:r>
      <w:r w:rsidRPr="006B47EE">
        <w:rPr>
          <w:b w:val="0"/>
          <w:i w:val="0"/>
          <w:u w:val="none"/>
        </w:rPr>
        <w:t xml:space="preserve"> décembre </w:t>
      </w:r>
      <w:r w:rsidR="00F612ED" w:rsidRPr="006B47EE">
        <w:rPr>
          <w:b w:val="0"/>
          <w:i w:val="0"/>
          <w:u w:val="none"/>
        </w:rPr>
        <w:t>2021</w:t>
      </w:r>
      <w:r w:rsidRPr="006B47EE">
        <w:rPr>
          <w:b w:val="0"/>
          <w:i w:val="0"/>
          <w:u w:val="none"/>
        </w:rPr>
        <w:t xml:space="preserve"> contenant le budget des recettes de la Région wallonne pour l’année budgétaire 202</w:t>
      </w:r>
      <w:r w:rsidR="00F612ED" w:rsidRPr="006B47EE">
        <w:rPr>
          <w:b w:val="0"/>
          <w:i w:val="0"/>
          <w:u w:val="none"/>
        </w:rPr>
        <w:t>2</w:t>
      </w:r>
      <w:r w:rsidRPr="006B47EE">
        <w:rPr>
          <w:b w:val="0"/>
          <w:i w:val="0"/>
          <w:u w:val="none"/>
        </w:rPr>
        <w:t xml:space="preserve"> rendant applicable le nouveau CRAF aux taxes provinciales et communales (cf. ci-dessus).</w:t>
      </w:r>
    </w:p>
    <w:p w14:paraId="05D9C3FC" w14:textId="321E4514" w:rsidR="00F612ED" w:rsidRDefault="00F612ED" w:rsidP="00256E9F">
      <w:pPr>
        <w:pStyle w:val="Sam4"/>
        <w:numPr>
          <w:ilvl w:val="0"/>
          <w:numId w:val="0"/>
        </w:numPr>
        <w:jc w:val="both"/>
        <w:rPr>
          <w:b w:val="0"/>
          <w:i w:val="0"/>
        </w:rPr>
      </w:pPr>
    </w:p>
    <w:p w14:paraId="1DD373AB" w14:textId="77777777" w:rsidR="00CA35BD" w:rsidRDefault="00CA35BD" w:rsidP="00256E9F">
      <w:pPr>
        <w:pStyle w:val="Sam4"/>
        <w:numPr>
          <w:ilvl w:val="0"/>
          <w:numId w:val="0"/>
        </w:numPr>
        <w:jc w:val="both"/>
        <w:rPr>
          <w:b w:val="0"/>
          <w:i w:val="0"/>
        </w:rPr>
      </w:pPr>
    </w:p>
    <w:p w14:paraId="30CD8A77" w14:textId="61719C7B" w:rsidR="00CA35BD" w:rsidRDefault="00CA35BD" w:rsidP="00256E9F">
      <w:pPr>
        <w:pStyle w:val="Paragraphedeliste"/>
        <w:numPr>
          <w:ilvl w:val="0"/>
          <w:numId w:val="314"/>
        </w:numPr>
        <w:jc w:val="both"/>
        <w:rPr>
          <w:rFonts w:asciiTheme="minorHAnsi" w:hAnsiTheme="minorHAnsi"/>
          <w:u w:val="single"/>
          <w:lang w:val="fr-BE"/>
        </w:rPr>
      </w:pPr>
      <w:r w:rsidRPr="00CA35BD">
        <w:rPr>
          <w:rFonts w:asciiTheme="minorHAnsi" w:hAnsiTheme="minorHAnsi"/>
          <w:u w:val="single"/>
          <w:lang w:val="fr-BE"/>
        </w:rPr>
        <w:t>Recouvrement des créances : article L3321-8bis du CDLD</w:t>
      </w:r>
    </w:p>
    <w:p w14:paraId="5E8D11BE" w14:textId="77777777" w:rsidR="00CA35BD" w:rsidRDefault="00CA35BD" w:rsidP="00256E9F">
      <w:pPr>
        <w:pStyle w:val="Paragraphedeliste"/>
        <w:ind w:left="2770"/>
        <w:jc w:val="both"/>
        <w:rPr>
          <w:rFonts w:asciiTheme="minorHAnsi" w:hAnsiTheme="minorHAnsi"/>
          <w:u w:val="single"/>
          <w:lang w:val="fr-BE"/>
        </w:rPr>
      </w:pPr>
    </w:p>
    <w:p w14:paraId="1F5D9F15" w14:textId="78669782" w:rsidR="00CA35BD" w:rsidRPr="006B47EE" w:rsidRDefault="00CA35BD" w:rsidP="00256E9F">
      <w:pPr>
        <w:jc w:val="both"/>
        <w:rPr>
          <w:rFonts w:asciiTheme="minorHAnsi" w:hAnsiTheme="minorHAnsi"/>
          <w:lang w:val="fr-BE"/>
        </w:rPr>
      </w:pPr>
      <w:r w:rsidRPr="006B47EE">
        <w:rPr>
          <w:rFonts w:asciiTheme="minorHAnsi" w:hAnsiTheme="minorHAnsi"/>
          <w:lang w:val="fr-BE"/>
        </w:rPr>
        <w:t>L’article L3321-8bis a également été ajouté au CDLD, par l’article 18 du décret budgétaire du 17 décembre 2020 et modifié par le décret budgétaire du 22 décembre 2021, afin de transposer au niveau régional les articles 13 et 14 du CRAF relatifs au recouvrement de créances (cf. ci-dessus).</w:t>
      </w:r>
    </w:p>
    <w:p w14:paraId="5DE34658" w14:textId="77777777" w:rsidR="00CA35BD" w:rsidRPr="00256E9F" w:rsidRDefault="00CA35BD" w:rsidP="00256E9F">
      <w:pPr>
        <w:jc w:val="both"/>
        <w:rPr>
          <w:rFonts w:asciiTheme="minorHAnsi" w:hAnsiTheme="minorHAnsi"/>
          <w:u w:val="single"/>
          <w:lang w:val="fr-BE"/>
        </w:rPr>
      </w:pPr>
    </w:p>
    <w:p w14:paraId="52498BB9" w14:textId="4CBC0DA1" w:rsidR="00CA35BD" w:rsidRDefault="00CA35BD" w:rsidP="00256E9F">
      <w:pPr>
        <w:pStyle w:val="Sam4"/>
        <w:numPr>
          <w:ilvl w:val="0"/>
          <w:numId w:val="0"/>
        </w:numPr>
        <w:ind w:left="2770"/>
        <w:jc w:val="both"/>
        <w:rPr>
          <w:b w:val="0"/>
          <w:i w:val="0"/>
        </w:rPr>
      </w:pPr>
      <w:r>
        <w:rPr>
          <w:b w:val="0"/>
          <w:i w:val="0"/>
        </w:rPr>
        <w:t xml:space="preserve">B.1 </w:t>
      </w:r>
      <w:r w:rsidRPr="00CA35BD">
        <w:rPr>
          <w:b w:val="0"/>
          <w:i w:val="0"/>
        </w:rPr>
        <w:t>Recouvrement amiable</w:t>
      </w:r>
    </w:p>
    <w:p w14:paraId="3A3A1EC3" w14:textId="647D062C" w:rsidR="00CA35BD" w:rsidRPr="006B47EE" w:rsidRDefault="00CA35BD" w:rsidP="00256E9F">
      <w:pPr>
        <w:pStyle w:val="Sam4"/>
        <w:numPr>
          <w:ilvl w:val="0"/>
          <w:numId w:val="0"/>
        </w:numPr>
        <w:spacing w:before="240"/>
        <w:jc w:val="both"/>
        <w:rPr>
          <w:b w:val="0"/>
          <w:i w:val="0"/>
          <w:u w:val="none"/>
        </w:rPr>
      </w:pPr>
      <w:r w:rsidRPr="006B47EE">
        <w:rPr>
          <w:b w:val="0"/>
          <w:i w:val="0"/>
          <w:u w:val="none"/>
        </w:rPr>
        <w:t xml:space="preserve">Auparavant, cette matière était régie par l’article 298 du Code des impôts sur les revenus '92. Le paragraphe 2 de ce dernier a toutefois été abrogé et remplacé par les articles 13 et 14 du CRAF. </w:t>
      </w:r>
    </w:p>
    <w:p w14:paraId="3733FBCB" w14:textId="3D4B7A4A" w:rsidR="00CA35BD" w:rsidRPr="006B47EE" w:rsidRDefault="00CA35BD" w:rsidP="00256E9F">
      <w:pPr>
        <w:pStyle w:val="Sam4"/>
        <w:numPr>
          <w:ilvl w:val="0"/>
          <w:numId w:val="0"/>
        </w:numPr>
        <w:spacing w:before="240"/>
        <w:jc w:val="both"/>
        <w:rPr>
          <w:b w:val="0"/>
          <w:i w:val="0"/>
          <w:u w:val="none"/>
        </w:rPr>
      </w:pPr>
      <w:r w:rsidRPr="006B47EE">
        <w:rPr>
          <w:b w:val="0"/>
          <w:i w:val="0"/>
          <w:u w:val="none"/>
        </w:rPr>
        <w:t xml:space="preserve">Selon l’exposé des motifs du décret budgétaire quant à l’insertion de l’article L3321-8bis dans le CDLD, les articles 13 et 14 du CRAF sont applicables dans leur totalité en Région wallonne. L’article L3321-8bis ne vise qu’à obliger les communes à recourir à un envoi par lettre recommandée et à permettre au pouvoir local de récupérer les frais postaux de cet envoi recommandé. Si la commune désire effectivement récupérer ces frais, elle doit le prévoir expressément dans chacun de ses règlements-taxes. La récupération de ces frais ne constitue </w:t>
      </w:r>
      <w:r w:rsidRPr="006B47EE">
        <w:rPr>
          <w:b w:val="0"/>
          <w:i w:val="0"/>
          <w:u w:val="none"/>
        </w:rPr>
        <w:lastRenderedPageBreak/>
        <w:t xml:space="preserve">pas une redevance dans la mesure où étant un accessoire au principal, il n’y a pas lieu de changer la nature du prélèvement principal. </w:t>
      </w:r>
    </w:p>
    <w:p w14:paraId="6563A53D" w14:textId="044F77A4" w:rsidR="00CA35BD" w:rsidRPr="006B47EE" w:rsidRDefault="00CA35BD" w:rsidP="00961297">
      <w:pPr>
        <w:pStyle w:val="Sam4"/>
        <w:numPr>
          <w:ilvl w:val="0"/>
          <w:numId w:val="0"/>
        </w:numPr>
        <w:spacing w:before="240"/>
        <w:jc w:val="both"/>
        <w:rPr>
          <w:b w:val="0"/>
          <w:i w:val="0"/>
          <w:u w:val="none"/>
        </w:rPr>
      </w:pPr>
      <w:r w:rsidRPr="006B47EE">
        <w:rPr>
          <w:b w:val="0"/>
          <w:i w:val="0"/>
          <w:u w:val="none"/>
        </w:rPr>
        <w:t>Une nouveauté de cet article depuis le 1er janvier 2022, est la possibilité de poursuivre le remboursement de la créance à charge d’un codébiteur. Par codébiteur, il faut entendre la personne qui n’est pas reprise au rôle et qui est tenue au paiement des taxes en vertu du CRAF ou des lois fiscales. Dans ce cas, la sommation de payer devra contenir les données relatives à la créance exprimées de manière complète et non équivoque. En outre, un duplicata de</w:t>
      </w:r>
      <w:r w:rsidRPr="00CA35BD">
        <w:rPr>
          <w:b w:val="0"/>
          <w:i w:val="0"/>
        </w:rPr>
        <w:t xml:space="preserve"> </w:t>
      </w:r>
      <w:r w:rsidRPr="006B47EE">
        <w:rPr>
          <w:b w:val="0"/>
          <w:i w:val="0"/>
          <w:u w:val="none"/>
        </w:rPr>
        <w:t xml:space="preserve">l’avertissement extrait de rôle envoyé au redevable devra être joint. Il devra également être fait mention dans la sommation de payer des causes légales ou réglementaires de la créance ainsi que </w:t>
      </w:r>
      <w:r w:rsidR="00961297" w:rsidRPr="006B47EE">
        <w:rPr>
          <w:b w:val="0"/>
          <w:i w:val="0"/>
          <w:u w:val="none"/>
        </w:rPr>
        <w:t>du</w:t>
      </w:r>
      <w:r w:rsidRPr="006B47EE">
        <w:rPr>
          <w:b w:val="0"/>
          <w:i w:val="0"/>
          <w:u w:val="none"/>
        </w:rPr>
        <w:t xml:space="preserve"> montant à charge du codébiteur.  L’envoi de cet exemplaire de l’avertissement extrait de rôle au codébiteur ouvre, en ce qui le concerne, les délais de réclamation visés aux articles 371 et 373 du code des impôts sur les revenus.</w:t>
      </w:r>
    </w:p>
    <w:p w14:paraId="4A5EADFB" w14:textId="77777777" w:rsidR="00961297" w:rsidRDefault="00961297" w:rsidP="00961297">
      <w:pPr>
        <w:spacing w:after="160" w:line="259" w:lineRule="auto"/>
        <w:ind w:left="3970"/>
        <w:jc w:val="both"/>
        <w:rPr>
          <w:rFonts w:eastAsia="Calibri"/>
          <w:b/>
          <w:bCs/>
          <w:szCs w:val="22"/>
          <w:lang w:eastAsia="en-US"/>
        </w:rPr>
      </w:pPr>
    </w:p>
    <w:p w14:paraId="78CF9C74" w14:textId="1256E7D0" w:rsidR="00961297" w:rsidRDefault="00961297" w:rsidP="00961297">
      <w:pPr>
        <w:spacing w:after="160" w:line="259" w:lineRule="auto"/>
        <w:jc w:val="both"/>
        <w:rPr>
          <w:rFonts w:eastAsia="Calibri"/>
          <w:b/>
          <w:bCs/>
          <w:szCs w:val="22"/>
          <w:lang w:eastAsia="en-US"/>
        </w:rPr>
      </w:pPr>
      <w:r w:rsidRPr="00256E9F">
        <w:rPr>
          <w:rFonts w:eastAsia="Calibri"/>
          <w:b/>
          <w:bCs/>
          <w:szCs w:val="22"/>
          <w:lang w:eastAsia="en-US"/>
        </w:rPr>
        <w:t>Contenu de la sommation de payer</w:t>
      </w:r>
    </w:p>
    <w:p w14:paraId="7906BD0A" w14:textId="77777777" w:rsidR="00961297" w:rsidRDefault="00961297" w:rsidP="00961297">
      <w:pPr>
        <w:spacing w:after="160" w:line="259" w:lineRule="auto"/>
        <w:jc w:val="both"/>
        <w:rPr>
          <w:rFonts w:eastAsia="Calibri"/>
          <w:szCs w:val="22"/>
          <w:lang w:eastAsia="en-US"/>
        </w:rPr>
      </w:pPr>
      <w:r w:rsidRPr="00C005EE">
        <w:rPr>
          <w:rFonts w:eastAsia="Calibri"/>
          <w:szCs w:val="22"/>
          <w:lang w:eastAsia="en-US"/>
        </w:rPr>
        <w:t>Désormais, une sommation de payer contenant de manière complète et non équivoque les données relatives à la créance doit être adressée au redevable</w:t>
      </w:r>
      <w:r>
        <w:rPr>
          <w:rFonts w:eastAsia="Calibri"/>
          <w:szCs w:val="22"/>
          <w:lang w:eastAsia="en-US"/>
        </w:rPr>
        <w:t xml:space="preserve"> à savoir :</w:t>
      </w:r>
    </w:p>
    <w:p w14:paraId="128F2218"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 xml:space="preserve">Mentionner qu’il s’agit d’une sommation de payer envoyée conformément à l’article L3321-8bis du </w:t>
      </w:r>
      <w:proofErr w:type="gramStart"/>
      <w:r>
        <w:rPr>
          <w:rFonts w:eastAsia="Calibri"/>
          <w:szCs w:val="22"/>
          <w:lang w:eastAsia="en-US"/>
        </w:rPr>
        <w:t xml:space="preserve">CDLD. </w:t>
      </w:r>
      <w:r w:rsidRPr="00F12046">
        <w:rPr>
          <w:rFonts w:eastAsia="Calibri"/>
          <w:szCs w:val="22"/>
          <w:lang w:eastAsia="en-US"/>
        </w:rPr>
        <w:t> ;</w:t>
      </w:r>
      <w:proofErr w:type="gramEnd"/>
    </w:p>
    <w:p w14:paraId="181BB722"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les</w:t>
      </w:r>
      <w:proofErr w:type="gramEnd"/>
      <w:r w:rsidRPr="00F12046">
        <w:rPr>
          <w:rFonts w:eastAsia="Calibri"/>
          <w:szCs w:val="22"/>
          <w:lang w:eastAsia="en-US"/>
        </w:rPr>
        <w:t xml:space="preserve"> noms, prénoms ou dénominations sociales et l’adresse du redevable ;</w:t>
      </w:r>
    </w:p>
    <w:p w14:paraId="7A4D409B"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la</w:t>
      </w:r>
      <w:proofErr w:type="gramEnd"/>
      <w:r w:rsidRPr="00F12046">
        <w:rPr>
          <w:rFonts w:eastAsia="Calibri"/>
          <w:szCs w:val="22"/>
          <w:lang w:eastAsia="en-US"/>
        </w:rPr>
        <w:t xml:space="preserve"> date et le libellé du règlement en vertu duquel la taxe est due ;</w:t>
      </w:r>
    </w:p>
    <w:p w14:paraId="00B46F6D"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la</w:t>
      </w:r>
      <w:proofErr w:type="gramEnd"/>
      <w:r w:rsidRPr="00F12046">
        <w:rPr>
          <w:rFonts w:eastAsia="Calibri"/>
          <w:szCs w:val="22"/>
          <w:lang w:eastAsia="en-US"/>
        </w:rPr>
        <w:t xml:space="preserve"> date du visa exécutoire du rôle ;</w:t>
      </w:r>
    </w:p>
    <w:p w14:paraId="2523587B"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le</w:t>
      </w:r>
      <w:proofErr w:type="gramEnd"/>
      <w:r w:rsidRPr="00F12046">
        <w:rPr>
          <w:rFonts w:eastAsia="Calibri"/>
          <w:szCs w:val="22"/>
          <w:lang w:eastAsia="en-US"/>
        </w:rPr>
        <w:t xml:space="preserve"> montant de la taxe, en principal, intérêts et frais</w:t>
      </w:r>
      <w:r>
        <w:rPr>
          <w:rFonts w:eastAsia="Calibri"/>
          <w:szCs w:val="22"/>
          <w:lang w:eastAsia="en-US"/>
        </w:rPr>
        <w:t xml:space="preserve"> (frais postaux si mis à charge du redevable dans le règlement) </w:t>
      </w:r>
      <w:r w:rsidRPr="00F12046">
        <w:rPr>
          <w:rFonts w:eastAsia="Calibri"/>
          <w:szCs w:val="22"/>
          <w:lang w:eastAsia="en-US"/>
        </w:rPr>
        <w:t> ;</w:t>
      </w:r>
    </w:p>
    <w:p w14:paraId="58061CC8"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l’exercice</w:t>
      </w:r>
      <w:proofErr w:type="gramEnd"/>
      <w:r w:rsidRPr="00F12046">
        <w:rPr>
          <w:rFonts w:eastAsia="Calibri"/>
          <w:szCs w:val="22"/>
          <w:lang w:eastAsia="en-US"/>
        </w:rPr>
        <w:t xml:space="preserve"> auquel se rapporte la taxe ;</w:t>
      </w:r>
    </w:p>
    <w:p w14:paraId="7D8B0F8A" w14:textId="77777777" w:rsidR="00961297" w:rsidRPr="00F12046"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le</w:t>
      </w:r>
      <w:proofErr w:type="gramEnd"/>
      <w:r w:rsidRPr="00F12046">
        <w:rPr>
          <w:rFonts w:eastAsia="Calibri"/>
          <w:szCs w:val="22"/>
          <w:lang w:eastAsia="en-US"/>
        </w:rPr>
        <w:t xml:space="preserve"> numéro d’article du rôle ;</w:t>
      </w:r>
    </w:p>
    <w:p w14:paraId="5AE0126C" w14:textId="77777777" w:rsidR="00961297" w:rsidRDefault="00961297" w:rsidP="00961297">
      <w:pPr>
        <w:numPr>
          <w:ilvl w:val="0"/>
          <w:numId w:val="157"/>
        </w:numPr>
        <w:spacing w:after="160" w:line="259" w:lineRule="auto"/>
        <w:contextualSpacing/>
        <w:jc w:val="both"/>
        <w:rPr>
          <w:rFonts w:eastAsia="Calibri"/>
          <w:szCs w:val="22"/>
          <w:lang w:eastAsia="en-US"/>
        </w:rPr>
      </w:pPr>
      <w:proofErr w:type="gramStart"/>
      <w:r w:rsidRPr="00F12046">
        <w:rPr>
          <w:rFonts w:eastAsia="Calibri"/>
          <w:szCs w:val="22"/>
          <w:lang w:eastAsia="en-US"/>
        </w:rPr>
        <w:t>la</w:t>
      </w:r>
      <w:proofErr w:type="gramEnd"/>
      <w:r w:rsidRPr="00F12046">
        <w:rPr>
          <w:rFonts w:eastAsia="Calibri"/>
          <w:szCs w:val="22"/>
          <w:lang w:eastAsia="en-US"/>
        </w:rPr>
        <w:t xml:space="preserve"> date de l’envoie de l’avertissement extrait de rôle ;</w:t>
      </w:r>
    </w:p>
    <w:p w14:paraId="612FABA6" w14:textId="77777777" w:rsidR="00961297" w:rsidRPr="00670351" w:rsidRDefault="00961297" w:rsidP="00961297">
      <w:pPr>
        <w:spacing w:after="160" w:line="259" w:lineRule="auto"/>
        <w:ind w:left="1080"/>
        <w:contextualSpacing/>
        <w:jc w:val="both"/>
        <w:rPr>
          <w:rFonts w:eastAsia="Calibri"/>
          <w:szCs w:val="22"/>
          <w:lang w:eastAsia="en-US"/>
        </w:rPr>
      </w:pPr>
    </w:p>
    <w:p w14:paraId="7CD8E727" w14:textId="77777777" w:rsidR="00961297" w:rsidRPr="00C005EE" w:rsidRDefault="00961297" w:rsidP="00961297">
      <w:pPr>
        <w:spacing w:after="160" w:line="259" w:lineRule="auto"/>
        <w:jc w:val="both"/>
        <w:rPr>
          <w:rFonts w:eastAsia="Calibri"/>
          <w:szCs w:val="22"/>
          <w:lang w:eastAsia="en-US"/>
        </w:rPr>
      </w:pPr>
      <w:r w:rsidRPr="00C005EE">
        <w:rPr>
          <w:rFonts w:eastAsia="Calibri"/>
          <w:szCs w:val="22"/>
          <w:lang w:eastAsia="en-US"/>
        </w:rPr>
        <w:t>Lorsque le débiteur n’a pas de domicile/siège connu en Belgique ou à l’étranger, la sommation de payer doit être adressée au Procureur du Roi de Bruxelles.</w:t>
      </w:r>
    </w:p>
    <w:p w14:paraId="2828B9EE" w14:textId="77777777" w:rsidR="00961297" w:rsidRPr="00C005EE" w:rsidRDefault="00961297" w:rsidP="00961297">
      <w:pPr>
        <w:spacing w:after="160" w:line="259" w:lineRule="auto"/>
        <w:jc w:val="both"/>
        <w:rPr>
          <w:rFonts w:eastAsia="Calibri"/>
          <w:szCs w:val="22"/>
          <w:lang w:eastAsia="en-US"/>
        </w:rPr>
      </w:pPr>
      <w:r w:rsidRPr="00C005EE">
        <w:rPr>
          <w:rFonts w:eastAsia="Calibri"/>
          <w:szCs w:val="22"/>
          <w:lang w:eastAsia="en-US"/>
        </w:rPr>
        <w:t>En annexe, il doit être joint un duplicata conforme de l’original de l’avertissement extrait de rôle envoyé.</w:t>
      </w:r>
    </w:p>
    <w:p w14:paraId="3D71B58E" w14:textId="77777777" w:rsidR="00961297" w:rsidRDefault="00961297" w:rsidP="00961297">
      <w:pPr>
        <w:spacing w:after="160" w:line="259" w:lineRule="auto"/>
        <w:jc w:val="both"/>
        <w:rPr>
          <w:rFonts w:eastAsia="Calibri"/>
          <w:szCs w:val="22"/>
          <w:lang w:eastAsia="en-US"/>
        </w:rPr>
      </w:pPr>
      <w:r w:rsidRPr="00C005EE">
        <w:rPr>
          <w:rFonts w:eastAsia="Calibri"/>
          <w:szCs w:val="22"/>
          <w:lang w:eastAsia="en-US"/>
        </w:rPr>
        <w:t>La sommation de payer telle que prévue par l’article 3321-8 bis du CDLD vaut mise en demeure. Cela signifie donc qu’elle fait courir les intérêts de retard calculés au taux légal</w:t>
      </w:r>
      <w:r w:rsidRPr="00C005EE">
        <w:rPr>
          <w:rStyle w:val="Appelnotedebasdep"/>
          <w:rFonts w:eastAsia="Calibri"/>
          <w:szCs w:val="22"/>
          <w:lang w:eastAsia="en-US"/>
        </w:rPr>
        <w:footnoteReference w:id="89"/>
      </w:r>
      <w:r w:rsidRPr="00C005EE">
        <w:rPr>
          <w:rFonts w:eastAsia="Calibri"/>
          <w:szCs w:val="22"/>
          <w:lang w:eastAsia="en-US"/>
        </w:rPr>
        <w:t xml:space="preserve">.  </w:t>
      </w:r>
    </w:p>
    <w:p w14:paraId="4E4ED71C" w14:textId="77777777" w:rsidR="00961297" w:rsidRDefault="00961297" w:rsidP="00961297">
      <w:pPr>
        <w:spacing w:after="160" w:line="259" w:lineRule="auto"/>
        <w:jc w:val="both"/>
        <w:rPr>
          <w:rFonts w:eastAsia="Calibri"/>
          <w:szCs w:val="22"/>
          <w:lang w:eastAsia="en-US"/>
        </w:rPr>
      </w:pPr>
    </w:p>
    <w:p w14:paraId="419F34CC" w14:textId="77777777" w:rsidR="00961297" w:rsidRPr="00256E9F" w:rsidRDefault="00961297" w:rsidP="00961297">
      <w:pPr>
        <w:spacing w:after="160" w:line="259" w:lineRule="auto"/>
        <w:jc w:val="both"/>
        <w:rPr>
          <w:rFonts w:eastAsia="Calibri"/>
          <w:szCs w:val="22"/>
          <w:u w:val="single"/>
          <w:lang w:eastAsia="en-US"/>
        </w:rPr>
      </w:pP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Pr="00256E9F">
        <w:rPr>
          <w:rFonts w:eastAsia="Calibri"/>
          <w:szCs w:val="22"/>
          <w:u w:val="single"/>
          <w:lang w:eastAsia="en-US"/>
        </w:rPr>
        <w:t>B.2 Recouvrement forcé</w:t>
      </w:r>
    </w:p>
    <w:p w14:paraId="13B957F8" w14:textId="77777777" w:rsidR="00961297" w:rsidRPr="00C005EE" w:rsidRDefault="00961297" w:rsidP="00961297">
      <w:pPr>
        <w:spacing w:after="160" w:line="259" w:lineRule="auto"/>
        <w:jc w:val="both"/>
        <w:rPr>
          <w:rFonts w:eastAsia="Calibri"/>
          <w:szCs w:val="22"/>
          <w:lang w:eastAsia="en-US"/>
        </w:rPr>
      </w:pPr>
      <w:r w:rsidRPr="00C005EE">
        <w:rPr>
          <w:rFonts w:eastAsia="Calibri"/>
          <w:szCs w:val="22"/>
          <w:lang w:eastAsia="en-US"/>
        </w:rPr>
        <w:t xml:space="preserve">L’exécution forcée d’un rôle rendu exécutoire avec le concours d’un huissier de justice se fait conformément aux dispositions du Code judiciaire. Afin qu’un commandement par voie d’huissier puisse être réalisé, il faudra transmettre aux huissiers de justice un duplicata de </w:t>
      </w:r>
      <w:r w:rsidRPr="00C005EE">
        <w:rPr>
          <w:rFonts w:eastAsia="Calibri"/>
          <w:szCs w:val="22"/>
          <w:lang w:eastAsia="en-US"/>
        </w:rPr>
        <w:lastRenderedPageBreak/>
        <w:t xml:space="preserve">l’avertissement extrait de rôle avec les données relatives au débiteur ainsi que le montant des intérêts de retard et des frais administratifs. </w:t>
      </w:r>
    </w:p>
    <w:p w14:paraId="4870811C" w14:textId="77777777" w:rsidR="00961297" w:rsidRPr="00C005EE" w:rsidRDefault="00961297" w:rsidP="00961297">
      <w:pPr>
        <w:spacing w:after="160" w:line="259" w:lineRule="auto"/>
        <w:jc w:val="both"/>
        <w:rPr>
          <w:rFonts w:eastAsia="Calibri"/>
          <w:szCs w:val="22"/>
          <w:lang w:eastAsia="en-US"/>
        </w:rPr>
      </w:pPr>
      <w:r w:rsidRPr="00C005EE">
        <w:rPr>
          <w:rFonts w:eastAsia="Calibri"/>
          <w:szCs w:val="22"/>
          <w:lang w:eastAsia="en-US"/>
        </w:rPr>
        <w:t xml:space="preserve">Afin de pouvoir recouvrir sur base de l’extrait de rôle, ce dernier devra contenir toute une série de mentions : </w:t>
      </w:r>
    </w:p>
    <w:p w14:paraId="1F15FBF8"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bookmarkStart w:id="4539" w:name="_Hlk94011109"/>
      <w:proofErr w:type="gramStart"/>
      <w:r w:rsidRPr="00C005EE">
        <w:rPr>
          <w:rFonts w:eastAsia="Calibri"/>
          <w:szCs w:val="22"/>
          <w:lang w:eastAsia="en-US"/>
        </w:rPr>
        <w:t>le</w:t>
      </w:r>
      <w:proofErr w:type="gramEnd"/>
      <w:r w:rsidRPr="00C005EE">
        <w:rPr>
          <w:rFonts w:eastAsia="Calibri"/>
          <w:szCs w:val="22"/>
          <w:lang w:eastAsia="en-US"/>
        </w:rPr>
        <w:t xml:space="preserve"> nom de la commune qui a établi la taxe ;</w:t>
      </w:r>
    </w:p>
    <w:p w14:paraId="2970290B"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les</w:t>
      </w:r>
      <w:proofErr w:type="gramEnd"/>
      <w:r w:rsidRPr="00C005EE">
        <w:rPr>
          <w:rFonts w:eastAsia="Calibri"/>
          <w:szCs w:val="22"/>
          <w:lang w:eastAsia="en-US"/>
        </w:rPr>
        <w:t xml:space="preserve"> noms, prénoms ou dénominations sociales et l’adresse du redevable ;</w:t>
      </w:r>
    </w:p>
    <w:p w14:paraId="4EE35D91"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la</w:t>
      </w:r>
      <w:proofErr w:type="gramEnd"/>
      <w:r w:rsidRPr="00C005EE">
        <w:rPr>
          <w:rFonts w:eastAsia="Calibri"/>
          <w:szCs w:val="22"/>
          <w:lang w:eastAsia="en-US"/>
        </w:rPr>
        <w:t xml:space="preserve"> date et le libellé du règlement en vertu duquel la taxe est due ;</w:t>
      </w:r>
    </w:p>
    <w:p w14:paraId="038963F6"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la</w:t>
      </w:r>
      <w:proofErr w:type="gramEnd"/>
      <w:r w:rsidRPr="00C005EE">
        <w:rPr>
          <w:rFonts w:eastAsia="Calibri"/>
          <w:szCs w:val="22"/>
          <w:lang w:eastAsia="en-US"/>
        </w:rPr>
        <w:t xml:space="preserve"> date du visa exécutoire du rôle ;</w:t>
      </w:r>
    </w:p>
    <w:p w14:paraId="48CC9781"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le</w:t>
      </w:r>
      <w:proofErr w:type="gramEnd"/>
      <w:r w:rsidRPr="00C005EE">
        <w:rPr>
          <w:rFonts w:eastAsia="Calibri"/>
          <w:szCs w:val="22"/>
          <w:lang w:eastAsia="en-US"/>
        </w:rPr>
        <w:t xml:space="preserve"> montant de la taxe, en principal, intérêts et frais ;</w:t>
      </w:r>
    </w:p>
    <w:p w14:paraId="6BDD001C"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l’exercice</w:t>
      </w:r>
      <w:proofErr w:type="gramEnd"/>
      <w:r w:rsidRPr="00C005EE">
        <w:rPr>
          <w:rFonts w:eastAsia="Calibri"/>
          <w:szCs w:val="22"/>
          <w:lang w:eastAsia="en-US"/>
        </w:rPr>
        <w:t xml:space="preserve"> auquel se rapporte la taxe ;</w:t>
      </w:r>
    </w:p>
    <w:p w14:paraId="185A209E"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le</w:t>
      </w:r>
      <w:proofErr w:type="gramEnd"/>
      <w:r w:rsidRPr="00C005EE">
        <w:rPr>
          <w:rFonts w:eastAsia="Calibri"/>
          <w:szCs w:val="22"/>
          <w:lang w:eastAsia="en-US"/>
        </w:rPr>
        <w:t xml:space="preserve"> numéro d’article du rôle ;</w:t>
      </w:r>
    </w:p>
    <w:p w14:paraId="54A21D59"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la</w:t>
      </w:r>
      <w:proofErr w:type="gramEnd"/>
      <w:r w:rsidRPr="00C005EE">
        <w:rPr>
          <w:rFonts w:eastAsia="Calibri"/>
          <w:szCs w:val="22"/>
          <w:lang w:eastAsia="en-US"/>
        </w:rPr>
        <w:t xml:space="preserve"> date de l’envoie de l’avertissement extrait de rôle ;</w:t>
      </w:r>
    </w:p>
    <w:p w14:paraId="6A4CB1E7"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la</w:t>
      </w:r>
      <w:proofErr w:type="gramEnd"/>
      <w:r w:rsidRPr="00C005EE">
        <w:rPr>
          <w:rFonts w:eastAsia="Calibri"/>
          <w:szCs w:val="22"/>
          <w:lang w:eastAsia="en-US"/>
        </w:rPr>
        <w:t xml:space="preserve"> date ultime de paiement ;</w:t>
      </w:r>
    </w:p>
    <w:bookmarkEnd w:id="4539"/>
    <w:p w14:paraId="1B51CB34" w14:textId="77777777" w:rsidR="00961297" w:rsidRPr="00C005EE"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la</w:t>
      </w:r>
      <w:proofErr w:type="gramEnd"/>
      <w:r w:rsidRPr="00C005EE">
        <w:rPr>
          <w:rFonts w:eastAsia="Calibri"/>
          <w:szCs w:val="22"/>
          <w:lang w:eastAsia="en-US"/>
        </w:rPr>
        <w:t xml:space="preserve"> date d’envoi de la sommation de payer ;</w:t>
      </w:r>
    </w:p>
    <w:p w14:paraId="2BED4D07" w14:textId="77777777" w:rsidR="00961297" w:rsidRDefault="00961297" w:rsidP="00961297">
      <w:pPr>
        <w:pStyle w:val="Paragraphedeliste"/>
        <w:numPr>
          <w:ilvl w:val="0"/>
          <w:numId w:val="157"/>
        </w:numPr>
        <w:spacing w:after="160" w:line="259" w:lineRule="auto"/>
        <w:contextualSpacing/>
        <w:jc w:val="both"/>
        <w:rPr>
          <w:rFonts w:eastAsia="Calibri"/>
          <w:szCs w:val="22"/>
          <w:lang w:eastAsia="en-US"/>
        </w:rPr>
      </w:pPr>
      <w:proofErr w:type="gramStart"/>
      <w:r w:rsidRPr="00C005EE">
        <w:rPr>
          <w:rFonts w:eastAsia="Calibri"/>
          <w:szCs w:val="22"/>
          <w:lang w:eastAsia="en-US"/>
        </w:rPr>
        <w:t>les</w:t>
      </w:r>
      <w:proofErr w:type="gramEnd"/>
      <w:r w:rsidRPr="00C005EE">
        <w:rPr>
          <w:rFonts w:eastAsia="Calibri"/>
          <w:szCs w:val="22"/>
          <w:lang w:eastAsia="en-US"/>
        </w:rPr>
        <w:t xml:space="preserve"> coordonnées du redevable qui a reçu l’avertissement extrait de rôle, la date de la sommation de payer (si la personne poursuivie est un codébiteur).  </w:t>
      </w:r>
    </w:p>
    <w:p w14:paraId="49B0D5CA" w14:textId="77777777" w:rsidR="00961297" w:rsidRPr="00C005EE" w:rsidRDefault="00961297" w:rsidP="00961297">
      <w:pPr>
        <w:pStyle w:val="Paragraphedeliste"/>
        <w:spacing w:after="160" w:line="259" w:lineRule="auto"/>
        <w:ind w:left="1080"/>
        <w:contextualSpacing/>
        <w:jc w:val="both"/>
        <w:rPr>
          <w:rFonts w:eastAsia="Calibri"/>
          <w:szCs w:val="22"/>
          <w:lang w:eastAsia="en-US"/>
        </w:rPr>
      </w:pPr>
    </w:p>
    <w:p w14:paraId="200694D4" w14:textId="77777777" w:rsidR="00961297" w:rsidRPr="00D371A3" w:rsidRDefault="00961297" w:rsidP="00961297">
      <w:pPr>
        <w:spacing w:after="160" w:line="259" w:lineRule="auto"/>
        <w:ind w:left="2844" w:firstLine="696"/>
        <w:jc w:val="both"/>
        <w:rPr>
          <w:rFonts w:eastAsia="Calibri"/>
          <w:i/>
          <w:iCs/>
          <w:szCs w:val="22"/>
          <w:lang w:val="fr-BE" w:eastAsia="en-US"/>
        </w:rPr>
      </w:pPr>
      <w:r>
        <w:rPr>
          <w:rFonts w:eastAsia="Calibri"/>
          <w:i/>
          <w:iCs/>
          <w:szCs w:val="22"/>
          <w:lang w:val="fr-BE" w:eastAsia="en-US"/>
        </w:rPr>
        <w:t xml:space="preserve">B.3 </w:t>
      </w:r>
      <w:r w:rsidRPr="00D371A3">
        <w:rPr>
          <w:rFonts w:eastAsia="Calibri"/>
          <w:i/>
          <w:iCs/>
          <w:szCs w:val="22"/>
          <w:lang w:val="fr-BE" w:eastAsia="en-US"/>
        </w:rPr>
        <w:t>Délais de procédure</w:t>
      </w:r>
    </w:p>
    <w:p w14:paraId="378858D1" w14:textId="77777777" w:rsidR="00961297" w:rsidRPr="00D371A3" w:rsidRDefault="00961297" w:rsidP="00961297">
      <w:pPr>
        <w:spacing w:after="160" w:line="259" w:lineRule="auto"/>
        <w:ind w:left="720"/>
        <w:jc w:val="both"/>
        <w:rPr>
          <w:rFonts w:eastAsia="Calibri"/>
          <w:i/>
          <w:iCs/>
          <w:szCs w:val="22"/>
          <w:lang w:val="fr-BE" w:eastAsia="en-US"/>
        </w:rPr>
      </w:pPr>
      <w:r w:rsidRPr="00D371A3">
        <w:rPr>
          <w:rFonts w:eastAsia="Calibri"/>
          <w:i/>
          <w:iCs/>
          <w:szCs w:val="22"/>
          <w:lang w:val="fr-BE" w:eastAsia="en-US"/>
        </w:rPr>
        <w:t>Concrètement, si l’échéance de paiement arrive le 14 mai 2020, la computation se fait de la manière suivante :</w:t>
      </w:r>
    </w:p>
    <w:p w14:paraId="04C40E90" w14:textId="77777777" w:rsidR="00961297" w:rsidRDefault="00961297" w:rsidP="00961297">
      <w:pPr>
        <w:spacing w:after="160" w:line="259" w:lineRule="auto"/>
        <w:ind w:left="720"/>
        <w:jc w:val="both"/>
        <w:rPr>
          <w:rFonts w:eastAsia="Calibri"/>
          <w:i/>
          <w:iCs/>
          <w:szCs w:val="22"/>
          <w:lang w:val="fr-BE" w:eastAsia="en-US"/>
        </w:rPr>
      </w:pPr>
      <w:r w:rsidRPr="00D371A3">
        <w:rPr>
          <w:rFonts w:eastAsia="Calibri"/>
          <w:i/>
          <w:iCs/>
          <w:szCs w:val="22"/>
          <w:lang w:val="fr-BE" w:eastAsia="en-US"/>
        </w:rPr>
        <w:t>Depuis le 15 mai 2020, il y a lieu de tenir compte d’un délai d’attente de 10 jours → On envoie la sommation de payer le 25 mai 2020. À partir de cette date, on compte 3 jours ouvrables → On considère qu’il est reçu le 28 mai 2020.  Il faut alors attendre 1 mois avant de lancer la première voie d’exécution → le 27 juin 2020 étant un samedi. Cela sera possible dès le 29 juin 2020.</w:t>
      </w:r>
    </w:p>
    <w:p w14:paraId="12442C31" w14:textId="77777777" w:rsidR="00961297" w:rsidRPr="00256E9F" w:rsidRDefault="00961297" w:rsidP="00256E9F">
      <w:pPr>
        <w:pStyle w:val="Sam4"/>
        <w:numPr>
          <w:ilvl w:val="0"/>
          <w:numId w:val="0"/>
        </w:numPr>
        <w:spacing w:before="240"/>
        <w:jc w:val="both"/>
        <w:rPr>
          <w:b w:val="0"/>
          <w:i w:val="0"/>
        </w:rPr>
      </w:pPr>
    </w:p>
    <w:p w14:paraId="7E1C0D3E" w14:textId="1B4FFEFA" w:rsidR="0091719F" w:rsidRPr="0091719F" w:rsidRDefault="0091719F" w:rsidP="0091719F">
      <w:pPr>
        <w:pStyle w:val="Sam4"/>
        <w:numPr>
          <w:ilvl w:val="4"/>
          <w:numId w:val="242"/>
        </w:numPr>
        <w:rPr>
          <w:b w:val="0"/>
          <w:i w:val="0"/>
        </w:rPr>
      </w:pPr>
      <w:r>
        <w:t>Quelques points d’attention</w:t>
      </w:r>
      <w:bookmarkEnd w:id="4537"/>
    </w:p>
    <w:bookmarkEnd w:id="4538"/>
    <w:p w14:paraId="579268FC" w14:textId="389BA160" w:rsidR="0091719F" w:rsidRDefault="0091719F" w:rsidP="0091719F">
      <w:pPr>
        <w:pStyle w:val="Sam4"/>
        <w:numPr>
          <w:ilvl w:val="0"/>
          <w:numId w:val="0"/>
        </w:numPr>
        <w:ind w:left="1985"/>
        <w:rPr>
          <w:b w:val="0"/>
          <w:i w:val="0"/>
        </w:rPr>
      </w:pPr>
    </w:p>
    <w:p w14:paraId="458AA1E3" w14:textId="2DA63170" w:rsidR="0091719F" w:rsidRPr="00A65F14" w:rsidRDefault="0091719F" w:rsidP="00A65F14">
      <w:pPr>
        <w:pStyle w:val="Sam4"/>
        <w:numPr>
          <w:ilvl w:val="0"/>
          <w:numId w:val="0"/>
        </w:numPr>
        <w:rPr>
          <w:b w:val="0"/>
          <w:i w:val="0"/>
        </w:rPr>
      </w:pPr>
      <w:bookmarkStart w:id="4540" w:name="_Toc74557691"/>
      <w:bookmarkStart w:id="4541" w:name="_Hlk67582352"/>
      <w:r>
        <w:rPr>
          <w:b w:val="0"/>
          <w:i w:val="0"/>
        </w:rPr>
        <w:t>Les nouvelles dispositions de ce Code appellent quelques points d’attention :</w:t>
      </w:r>
      <w:bookmarkEnd w:id="4540"/>
    </w:p>
    <w:p w14:paraId="44931291" w14:textId="62E99DD2" w:rsidR="0091719F" w:rsidRDefault="0091719F" w:rsidP="00A65F14">
      <w:pPr>
        <w:numPr>
          <w:ilvl w:val="0"/>
          <w:numId w:val="302"/>
        </w:numPr>
        <w:spacing w:before="120" w:after="100" w:afterAutospacing="1"/>
        <w:ind w:left="714" w:hanging="357"/>
        <w:rPr>
          <w:color w:val="000000"/>
          <w:sz w:val="22"/>
          <w:szCs w:val="22"/>
          <w:lang w:val="fr-BE"/>
        </w:rPr>
      </w:pPr>
      <w:proofErr w:type="gramStart"/>
      <w:r>
        <w:rPr>
          <w:color w:val="000000"/>
          <w:lang w:val="fr-BE"/>
        </w:rPr>
        <w:t>il</w:t>
      </w:r>
      <w:proofErr w:type="gramEnd"/>
      <w:r>
        <w:rPr>
          <w:color w:val="000000"/>
          <w:lang w:val="fr-BE"/>
        </w:rPr>
        <w:t xml:space="preserve"> faut retirer des règlements les articles qui font référence aux dispositions abrogées du C.I.R. (ex. art. 298).</w:t>
      </w:r>
    </w:p>
    <w:p w14:paraId="7934EBAE" w14:textId="04D25B3A" w:rsidR="00E22CB7" w:rsidRPr="00C005EE" w:rsidRDefault="00E22CB7" w:rsidP="00E22CB7">
      <w:pPr>
        <w:numPr>
          <w:ilvl w:val="0"/>
          <w:numId w:val="302"/>
        </w:numPr>
        <w:spacing w:before="120" w:after="100" w:afterAutospacing="1"/>
        <w:ind w:left="714" w:hanging="357"/>
        <w:jc w:val="both"/>
        <w:rPr>
          <w:sz w:val="22"/>
          <w:szCs w:val="22"/>
          <w:lang w:val="fr-BE"/>
        </w:rPr>
      </w:pPr>
      <w:proofErr w:type="gramStart"/>
      <w:r>
        <w:rPr>
          <w:lang w:val="fr-BE"/>
        </w:rPr>
        <w:t>s</w:t>
      </w:r>
      <w:r w:rsidRPr="00C005EE">
        <w:rPr>
          <w:lang w:val="fr-BE"/>
        </w:rPr>
        <w:t>eul</w:t>
      </w:r>
      <w:r>
        <w:rPr>
          <w:lang w:val="fr-BE"/>
        </w:rPr>
        <w:t>e</w:t>
      </w:r>
      <w:proofErr w:type="gramEnd"/>
      <w:r w:rsidRPr="00C005EE">
        <w:rPr>
          <w:lang w:val="fr-BE"/>
        </w:rPr>
        <w:t xml:space="preserve"> la référence au CDLD est nécessaire.</w:t>
      </w:r>
    </w:p>
    <w:p w14:paraId="593C300C" w14:textId="6CB31D0A" w:rsidR="0091719F" w:rsidRDefault="0091719F" w:rsidP="00A65F14">
      <w:pPr>
        <w:numPr>
          <w:ilvl w:val="0"/>
          <w:numId w:val="302"/>
        </w:numPr>
        <w:spacing w:before="120" w:after="100" w:afterAutospacing="1"/>
        <w:ind w:left="714" w:hanging="357"/>
        <w:rPr>
          <w:color w:val="000000"/>
          <w:lang w:val="fr-BE"/>
        </w:rPr>
      </w:pPr>
      <w:r>
        <w:rPr>
          <w:color w:val="000000"/>
          <w:lang w:val="fr-BE"/>
        </w:rPr>
        <w:t>.</w:t>
      </w:r>
    </w:p>
    <w:p w14:paraId="4EE44785" w14:textId="77777777" w:rsidR="00E22CB7" w:rsidRPr="00E22CB7" w:rsidRDefault="00E22CB7" w:rsidP="00E22CB7">
      <w:pPr>
        <w:pStyle w:val="Paragraphedeliste"/>
        <w:numPr>
          <w:ilvl w:val="0"/>
          <w:numId w:val="302"/>
        </w:numPr>
        <w:rPr>
          <w:color w:val="000000"/>
          <w:lang w:val="fr-BE"/>
        </w:rPr>
      </w:pPr>
      <w:r w:rsidRPr="00E22CB7">
        <w:rPr>
          <w:color w:val="000000"/>
          <w:lang w:val="fr-BE"/>
        </w:rPr>
        <w:t>En matière de recouvrement des taxes, il y a lieu d’appliquer l’article L3321-8bis du CDLD. Il ne faut plus indiquer dans les règlements un montant pour les frais de sommation de payer. Celui-ci étant fixé au coût des frais postaux de l’année de référence.</w:t>
      </w:r>
    </w:p>
    <w:p w14:paraId="750C215C" w14:textId="4DAEE2FE" w:rsidR="0091719F" w:rsidRDefault="0091719F" w:rsidP="00A65F14">
      <w:pPr>
        <w:numPr>
          <w:ilvl w:val="0"/>
          <w:numId w:val="302"/>
        </w:numPr>
        <w:spacing w:before="120" w:after="100" w:afterAutospacing="1"/>
        <w:ind w:left="714" w:hanging="357"/>
        <w:rPr>
          <w:color w:val="000000"/>
          <w:lang w:val="fr-BE"/>
        </w:rPr>
      </w:pPr>
      <w:proofErr w:type="gramStart"/>
      <w:r>
        <w:rPr>
          <w:color w:val="000000"/>
          <w:lang w:val="fr-BE"/>
        </w:rPr>
        <w:t>il</w:t>
      </w:r>
      <w:proofErr w:type="gramEnd"/>
      <w:r>
        <w:rPr>
          <w:color w:val="000000"/>
          <w:lang w:val="fr-BE"/>
        </w:rPr>
        <w:t xml:space="preserve"> faut par contre indiquer dans les règlements que les frais sont mis à charge des contribuables en cas d’application de l’article L3321-8bis du CDLD.</w:t>
      </w:r>
    </w:p>
    <w:p w14:paraId="6D68C0ED" w14:textId="1B8CB4DE" w:rsidR="0091719F" w:rsidRDefault="00E22CB7" w:rsidP="00A65F14">
      <w:pPr>
        <w:numPr>
          <w:ilvl w:val="0"/>
          <w:numId w:val="302"/>
        </w:numPr>
        <w:spacing w:before="120" w:after="100" w:afterAutospacing="1"/>
        <w:ind w:left="714" w:hanging="357"/>
        <w:rPr>
          <w:color w:val="000000"/>
          <w:lang w:val="fr-BE"/>
        </w:rPr>
      </w:pPr>
      <w:r w:rsidRPr="00E22CB7">
        <w:rPr>
          <w:color w:val="000000"/>
          <w:lang w:val="fr-BE"/>
        </w:rPr>
        <w:lastRenderedPageBreak/>
        <w:t xml:space="preserve">Les nouvelles dispositions ne s’appliquent </w:t>
      </w:r>
      <w:r w:rsidR="00257704">
        <w:rPr>
          <w:color w:val="000000"/>
          <w:lang w:val="fr-BE"/>
        </w:rPr>
        <w:t>qu’</w:t>
      </w:r>
      <w:r w:rsidR="0091719F">
        <w:rPr>
          <w:color w:val="000000"/>
          <w:lang w:val="fr-BE"/>
        </w:rPr>
        <w:t xml:space="preserve">aux taxes enrôlées </w:t>
      </w:r>
      <w:r w:rsidR="001B24BD" w:rsidRPr="006145D3">
        <w:rPr>
          <w:color w:val="000000"/>
          <w:lang w:val="fr-BE"/>
        </w:rPr>
        <w:t>à compter du</w:t>
      </w:r>
      <w:r w:rsidR="0091719F">
        <w:rPr>
          <w:color w:val="000000"/>
          <w:lang w:val="fr-BE"/>
        </w:rPr>
        <w:t xml:space="preserve"> 1/1/2020. </w:t>
      </w:r>
    </w:p>
    <w:p w14:paraId="66BE43B3" w14:textId="64661C64" w:rsidR="0091719F" w:rsidRDefault="0091719F" w:rsidP="00A65F14">
      <w:pPr>
        <w:numPr>
          <w:ilvl w:val="0"/>
          <w:numId w:val="302"/>
        </w:numPr>
        <w:spacing w:before="120" w:after="100" w:afterAutospacing="1"/>
        <w:ind w:left="714" w:hanging="357"/>
        <w:rPr>
          <w:color w:val="000000"/>
          <w:lang w:val="fr-BE"/>
        </w:rPr>
      </w:pPr>
      <w:proofErr w:type="gramStart"/>
      <w:r>
        <w:rPr>
          <w:color w:val="000000"/>
          <w:lang w:val="fr-BE"/>
        </w:rPr>
        <w:t>le</w:t>
      </w:r>
      <w:proofErr w:type="gramEnd"/>
      <w:r>
        <w:rPr>
          <w:color w:val="000000"/>
          <w:lang w:val="fr-BE"/>
        </w:rPr>
        <w:t xml:space="preserve"> délai de prescription a changé avec effet </w:t>
      </w:r>
      <w:bookmarkStart w:id="4542" w:name="_Hlk67583316"/>
      <w:r>
        <w:rPr>
          <w:color w:val="000000"/>
          <w:lang w:val="fr-BE"/>
        </w:rPr>
        <w:t>rétroactif</w:t>
      </w:r>
      <w:r w:rsidR="00E16B80">
        <w:rPr>
          <w:color w:val="000000"/>
          <w:lang w:val="fr-BE"/>
        </w:rPr>
        <w:t xml:space="preserve"> (5 ans à dater de l’exécutoire du rôle et non plus à dater de l’expiration du délai de 2 mois laissé pour payer – art 23§1</w:t>
      </w:r>
      <w:r w:rsidR="00E16B80" w:rsidRPr="00A65F14">
        <w:rPr>
          <w:color w:val="000000"/>
          <w:vertAlign w:val="superscript"/>
          <w:lang w:val="fr-BE"/>
        </w:rPr>
        <w:t>er</w:t>
      </w:r>
      <w:r w:rsidR="00E16B80">
        <w:rPr>
          <w:color w:val="000000"/>
          <w:lang w:val="fr-BE"/>
        </w:rPr>
        <w:t xml:space="preserve"> du CRAF)</w:t>
      </w:r>
    </w:p>
    <w:bookmarkEnd w:id="4541"/>
    <w:bookmarkEnd w:id="4542"/>
    <w:p w14:paraId="4AEAD8E6" w14:textId="77777777" w:rsidR="0091719F" w:rsidRDefault="0091719F" w:rsidP="00A65F14">
      <w:pPr>
        <w:pStyle w:val="Paragraphedeliste"/>
      </w:pPr>
    </w:p>
    <w:p w14:paraId="503B341D" w14:textId="0D81BD9F" w:rsidR="0091719F" w:rsidRPr="008D7EB7" w:rsidRDefault="0091719F" w:rsidP="0091719F">
      <w:pPr>
        <w:pStyle w:val="Sam4"/>
        <w:numPr>
          <w:ilvl w:val="4"/>
          <w:numId w:val="242"/>
        </w:numPr>
        <w:rPr>
          <w:b w:val="0"/>
          <w:i w:val="0"/>
        </w:rPr>
      </w:pPr>
      <w:bookmarkStart w:id="4543" w:name="_Toc74557692"/>
      <w:r w:rsidRPr="008D7EB7">
        <w:t>Durée de conservations des titres exécutoires – respect RGPD</w:t>
      </w:r>
      <w:bookmarkEnd w:id="4543"/>
      <w:r w:rsidRPr="008D7EB7">
        <w:t xml:space="preserve"> </w:t>
      </w:r>
    </w:p>
    <w:p w14:paraId="11F8E4C1" w14:textId="77777777" w:rsidR="00280CFA" w:rsidRPr="00280CFA" w:rsidRDefault="00280CFA" w:rsidP="00280CFA">
      <w:pPr>
        <w:ind w:left="1985"/>
        <w:rPr>
          <w:rFonts w:asciiTheme="minorHAnsi" w:eastAsia="Calibri" w:hAnsiTheme="minorHAnsi"/>
          <w:b/>
          <w:i/>
          <w:u w:val="single"/>
          <w:lang w:val="fr-BE" w:eastAsia="en-US"/>
        </w:rPr>
      </w:pPr>
    </w:p>
    <w:p w14:paraId="146C7C49" w14:textId="77777777" w:rsidR="00280CFA" w:rsidRPr="008D7EB7" w:rsidRDefault="00280CFA" w:rsidP="00280CFA">
      <w:pPr>
        <w:spacing w:after="160" w:line="259" w:lineRule="auto"/>
        <w:jc w:val="both"/>
        <w:rPr>
          <w:rFonts w:eastAsia="Calibri"/>
          <w:lang w:val="fr-BE" w:eastAsia="en-US"/>
        </w:rPr>
      </w:pPr>
      <w:r w:rsidRPr="008D7EB7">
        <w:rPr>
          <w:rFonts w:eastAsia="Calibri"/>
          <w:lang w:val="fr-BE" w:eastAsia="en-US"/>
        </w:rPr>
        <w:t xml:space="preserve">L’établissement ou le recouvrement des taxes et redevances impliquent nécessairement de nombreux traitements de données personnelles. Ces étapes doivent être réalisées en conformité avec le RGPD. </w:t>
      </w:r>
    </w:p>
    <w:p w14:paraId="20E8AA87" w14:textId="5B7B7091" w:rsidR="00280CFA" w:rsidRPr="008D7EB7" w:rsidRDefault="00280CFA" w:rsidP="00280CFA">
      <w:pPr>
        <w:spacing w:after="160" w:line="259" w:lineRule="auto"/>
        <w:jc w:val="both"/>
      </w:pPr>
      <w:r w:rsidRPr="008D7EB7">
        <w:rPr>
          <w:rFonts w:eastAsia="Calibri"/>
          <w:lang w:val="fr-BE" w:eastAsia="en-US"/>
        </w:rPr>
        <w:t>Selon la législation RGPD</w:t>
      </w:r>
      <w:r w:rsidRPr="008D7EB7">
        <w:t xml:space="preserve">, les registres de perception et recouvrement et les rôles ne sont pas conservés plus longtemps que nécessaire au regard de la finalité pour laquelle ils sont établis, avec une durée maximale de conservation ne pouvant excéder le 31 décembre de l'année qui suit celle au cours de laquelle sont intervenus la prescription de toutes les actions qui relèvent de la compétence du responsable du traitement </w:t>
      </w:r>
      <w:r w:rsidRPr="008D7EB7">
        <w:rPr>
          <w:b/>
        </w:rPr>
        <w:t>ou</w:t>
      </w:r>
      <w:r w:rsidRPr="008D7EB7">
        <w:t xml:space="preserve"> du paiement intégral de tous les montants y liés </w:t>
      </w:r>
      <w:r w:rsidRPr="008D7EB7">
        <w:rPr>
          <w:b/>
        </w:rPr>
        <w:t>ou</w:t>
      </w:r>
      <w:r w:rsidRPr="008D7EB7">
        <w:t xml:space="preserve"> de la cessation définitive des procédures et recours administratifs et judiciaires y liés</w:t>
      </w:r>
      <w:r w:rsidR="00A04F0B">
        <w:rPr>
          <w:rStyle w:val="Appelnotedebasdep"/>
        </w:rPr>
        <w:footnoteReference w:id="90"/>
      </w:r>
      <w:r w:rsidRPr="008D7EB7">
        <w:t>.</w:t>
      </w:r>
    </w:p>
    <w:p w14:paraId="18E2C4C1" w14:textId="1C367859" w:rsidR="00280CFA" w:rsidRPr="00A65F14" w:rsidRDefault="00280CFA" w:rsidP="00280CFA">
      <w:pPr>
        <w:spacing w:after="160" w:line="259" w:lineRule="auto"/>
        <w:jc w:val="both"/>
        <w:rPr>
          <w:rFonts w:eastAsia="Calibri"/>
          <w:b/>
          <w:bCs/>
          <w:lang w:val="fr-BE" w:eastAsia="en-US"/>
        </w:rPr>
      </w:pPr>
      <w:r w:rsidRPr="008D7EB7">
        <w:rPr>
          <w:rFonts w:eastAsia="Calibri"/>
          <w:lang w:val="fr-BE" w:eastAsia="en-US"/>
        </w:rPr>
        <w:t xml:space="preserve">Les règles applicables en matière de taxes et redevances ne sont pas explicites en ce qui concerne le traitement des données personnelles et ne prévoient ni précisément ni complètement les opérations de traitement visées, les données, leurs modes de collecte, leur durée de conservation et le(s) responsable(s) de traitement. </w:t>
      </w:r>
      <w:r w:rsidRPr="00A65F14">
        <w:rPr>
          <w:rFonts w:eastAsia="Calibri"/>
          <w:b/>
          <w:bCs/>
          <w:lang w:val="fr-BE" w:eastAsia="en-US"/>
        </w:rPr>
        <w:t>C’est pourquoi je vous conseille de faire mention de l’ensemble de ces éléments dans chacun</w:t>
      </w:r>
      <w:r w:rsidR="00925915" w:rsidRPr="00A65F14">
        <w:rPr>
          <w:rFonts w:eastAsia="Calibri"/>
          <w:b/>
          <w:bCs/>
          <w:lang w:val="fr-BE" w:eastAsia="en-US"/>
        </w:rPr>
        <w:t xml:space="preserve"> des dispositifs</w:t>
      </w:r>
      <w:r w:rsidRPr="00A65F14">
        <w:rPr>
          <w:rFonts w:eastAsia="Calibri"/>
          <w:b/>
          <w:bCs/>
          <w:lang w:val="fr-BE" w:eastAsia="en-US"/>
        </w:rPr>
        <w:t xml:space="preserve"> des règlements-taxes et redevances. </w:t>
      </w:r>
    </w:p>
    <w:p w14:paraId="4EA2CD12" w14:textId="77777777" w:rsidR="00280CFA" w:rsidRPr="008D7EB7" w:rsidRDefault="00280CFA" w:rsidP="00280CFA">
      <w:pPr>
        <w:spacing w:after="160" w:line="259" w:lineRule="auto"/>
        <w:jc w:val="both"/>
        <w:rPr>
          <w:rFonts w:eastAsia="Calibri"/>
          <w:lang w:val="fr-BE" w:eastAsia="en-US"/>
        </w:rPr>
      </w:pPr>
      <w:r w:rsidRPr="008D7EB7">
        <w:rPr>
          <w:rFonts w:eastAsia="Calibri"/>
          <w:lang w:val="fr-BE" w:eastAsia="en-US"/>
        </w:rPr>
        <w:t xml:space="preserve">Cette mention peut être faite selon le canevas suivant : </w:t>
      </w:r>
    </w:p>
    <w:p w14:paraId="56A204C7" w14:textId="299A50A8" w:rsidR="00280CFA" w:rsidRPr="008D7EB7" w:rsidRDefault="008D5D16" w:rsidP="00280CFA">
      <w:pPr>
        <w:numPr>
          <w:ilvl w:val="0"/>
          <w:numId w:val="78"/>
        </w:numPr>
        <w:spacing w:after="160" w:line="259" w:lineRule="auto"/>
        <w:jc w:val="both"/>
        <w:rPr>
          <w:rFonts w:eastAsia="Calibri"/>
          <w:lang w:val="fr-BE" w:eastAsia="en-US"/>
        </w:rPr>
      </w:pPr>
      <w:proofErr w:type="gramStart"/>
      <w:r>
        <w:rPr>
          <w:rFonts w:eastAsia="Calibri"/>
          <w:lang w:val="fr-BE" w:eastAsia="en-US"/>
        </w:rPr>
        <w:t>r</w:t>
      </w:r>
      <w:r w:rsidR="00280CFA" w:rsidRPr="008D7EB7">
        <w:rPr>
          <w:rFonts w:eastAsia="Calibri"/>
          <w:lang w:val="fr-BE" w:eastAsia="en-US"/>
        </w:rPr>
        <w:t>esponsable</w:t>
      </w:r>
      <w:proofErr w:type="gramEnd"/>
      <w:r w:rsidR="00280CFA" w:rsidRPr="008D7EB7">
        <w:rPr>
          <w:rFonts w:eastAsia="Calibri"/>
          <w:lang w:val="fr-BE" w:eastAsia="en-US"/>
        </w:rPr>
        <w:t xml:space="preserve"> de traitement : la commune/ville de …</w:t>
      </w:r>
      <w:r w:rsidR="00003D67" w:rsidRPr="008D7EB7">
        <w:rPr>
          <w:rFonts w:eastAsia="Calibri"/>
          <w:lang w:val="fr-BE" w:eastAsia="en-US"/>
        </w:rPr>
        <w:t> ;</w:t>
      </w:r>
    </w:p>
    <w:p w14:paraId="209E2CF2" w14:textId="5F94CECD" w:rsidR="00280CFA" w:rsidRPr="008D7EB7" w:rsidRDefault="008D5D16" w:rsidP="00280CFA">
      <w:pPr>
        <w:numPr>
          <w:ilvl w:val="0"/>
          <w:numId w:val="78"/>
        </w:numPr>
        <w:spacing w:after="160" w:line="259" w:lineRule="auto"/>
        <w:jc w:val="both"/>
        <w:rPr>
          <w:rFonts w:eastAsia="Calibri"/>
          <w:lang w:val="fr-BE" w:eastAsia="en-US"/>
        </w:rPr>
      </w:pPr>
      <w:proofErr w:type="gramStart"/>
      <w:r>
        <w:rPr>
          <w:rFonts w:eastAsia="Calibri"/>
          <w:lang w:val="fr-BE" w:eastAsia="en-US"/>
        </w:rPr>
        <w:t>f</w:t>
      </w:r>
      <w:r w:rsidR="00280CFA" w:rsidRPr="008D7EB7">
        <w:rPr>
          <w:rFonts w:eastAsia="Calibri"/>
          <w:lang w:val="fr-BE" w:eastAsia="en-US"/>
        </w:rPr>
        <w:t>inalité</w:t>
      </w:r>
      <w:proofErr w:type="gramEnd"/>
      <w:r w:rsidR="00280CFA" w:rsidRPr="008D7EB7">
        <w:rPr>
          <w:rFonts w:eastAsia="Calibri"/>
          <w:lang w:val="fr-BE" w:eastAsia="en-US"/>
        </w:rPr>
        <w:t>(s) du(des) traitement(s) : établissement et recouvrement de la taxe/redevance …</w:t>
      </w:r>
      <w:r w:rsidR="00003D67" w:rsidRPr="008D7EB7">
        <w:rPr>
          <w:rFonts w:eastAsia="Calibri"/>
          <w:lang w:val="fr-BE" w:eastAsia="en-US"/>
        </w:rPr>
        <w:t> ;</w:t>
      </w:r>
    </w:p>
    <w:p w14:paraId="6F2F13E8" w14:textId="6ACE7306" w:rsidR="00280CFA" w:rsidRPr="008D7EB7" w:rsidRDefault="008D5D16" w:rsidP="00280CFA">
      <w:pPr>
        <w:numPr>
          <w:ilvl w:val="0"/>
          <w:numId w:val="78"/>
        </w:numPr>
        <w:spacing w:after="160" w:line="259" w:lineRule="auto"/>
        <w:jc w:val="both"/>
        <w:rPr>
          <w:rFonts w:eastAsia="Calibri"/>
          <w:lang w:val="fr-BE" w:eastAsia="en-US"/>
        </w:rPr>
      </w:pPr>
      <w:proofErr w:type="gramStart"/>
      <w:r>
        <w:rPr>
          <w:rFonts w:eastAsia="Calibri"/>
          <w:lang w:val="fr-BE" w:eastAsia="en-US"/>
        </w:rPr>
        <w:t>c</w:t>
      </w:r>
      <w:r w:rsidR="00280CFA" w:rsidRPr="008D7EB7">
        <w:rPr>
          <w:rFonts w:eastAsia="Calibri"/>
          <w:lang w:val="fr-BE" w:eastAsia="en-US"/>
        </w:rPr>
        <w:t>atégorie</w:t>
      </w:r>
      <w:proofErr w:type="gramEnd"/>
      <w:r w:rsidR="00280CFA" w:rsidRPr="008D7EB7">
        <w:rPr>
          <w:rFonts w:eastAsia="Calibri"/>
          <w:lang w:val="fr-BE" w:eastAsia="en-US"/>
        </w:rPr>
        <w:t>(s) de données : données d’identification, données financières, …</w:t>
      </w:r>
      <w:r w:rsidR="00003D67" w:rsidRPr="008D7EB7">
        <w:rPr>
          <w:rFonts w:eastAsia="Calibri"/>
          <w:lang w:val="fr-BE" w:eastAsia="en-US"/>
        </w:rPr>
        <w:t> ;</w:t>
      </w:r>
    </w:p>
    <w:p w14:paraId="7C1B9CDF" w14:textId="11ECAA21" w:rsidR="00280CFA" w:rsidRPr="008D7EB7" w:rsidRDefault="008D5D16" w:rsidP="00280CFA">
      <w:pPr>
        <w:numPr>
          <w:ilvl w:val="0"/>
          <w:numId w:val="78"/>
        </w:numPr>
        <w:spacing w:after="160" w:line="259" w:lineRule="auto"/>
        <w:jc w:val="both"/>
        <w:rPr>
          <w:rFonts w:eastAsia="Calibri"/>
          <w:lang w:val="fr-BE" w:eastAsia="en-US"/>
        </w:rPr>
      </w:pPr>
      <w:proofErr w:type="gramStart"/>
      <w:r>
        <w:rPr>
          <w:rFonts w:eastAsia="Calibri"/>
          <w:lang w:val="fr-BE" w:eastAsia="en-US"/>
        </w:rPr>
        <w:t>d</w:t>
      </w:r>
      <w:r w:rsidR="00280CFA" w:rsidRPr="008D7EB7">
        <w:rPr>
          <w:rFonts w:eastAsia="Calibri"/>
          <w:lang w:val="fr-BE" w:eastAsia="en-US"/>
        </w:rPr>
        <w:t>urée</w:t>
      </w:r>
      <w:proofErr w:type="gramEnd"/>
      <w:r w:rsidR="00280CFA" w:rsidRPr="008D7EB7">
        <w:rPr>
          <w:rFonts w:eastAsia="Calibri"/>
          <w:lang w:val="fr-BE" w:eastAsia="en-US"/>
        </w:rPr>
        <w:t xml:space="preserve"> de conservation : la commune/ville s’engage à conserver les données pour un délai de maximum 30 ans et à les supprimer par la suite ou à les transférer aux archives de l’Etat</w:t>
      </w:r>
      <w:r w:rsidR="00003D67" w:rsidRPr="008D7EB7">
        <w:rPr>
          <w:rFonts w:eastAsia="Calibri"/>
          <w:lang w:val="fr-BE" w:eastAsia="en-US"/>
        </w:rPr>
        <w:t> ;</w:t>
      </w:r>
      <w:r w:rsidR="00280CFA" w:rsidRPr="008D7EB7">
        <w:rPr>
          <w:rFonts w:eastAsia="Calibri"/>
          <w:lang w:val="fr-BE" w:eastAsia="en-US"/>
        </w:rPr>
        <w:t xml:space="preserve"> </w:t>
      </w:r>
    </w:p>
    <w:p w14:paraId="4A5DFEF0" w14:textId="3F477207" w:rsidR="00280CFA" w:rsidRPr="008D7EB7" w:rsidRDefault="008D5D16" w:rsidP="00280CFA">
      <w:pPr>
        <w:numPr>
          <w:ilvl w:val="0"/>
          <w:numId w:val="78"/>
        </w:numPr>
        <w:spacing w:after="160" w:line="259" w:lineRule="auto"/>
        <w:jc w:val="both"/>
        <w:rPr>
          <w:rFonts w:eastAsia="Calibri"/>
          <w:lang w:val="fr-BE" w:eastAsia="en-US"/>
        </w:rPr>
      </w:pPr>
      <w:proofErr w:type="gramStart"/>
      <w:r>
        <w:rPr>
          <w:rFonts w:eastAsia="Calibri"/>
          <w:lang w:val="fr-BE" w:eastAsia="en-US"/>
        </w:rPr>
        <w:t>m</w:t>
      </w:r>
      <w:r w:rsidR="00280CFA" w:rsidRPr="008D7EB7">
        <w:rPr>
          <w:rFonts w:eastAsia="Calibri"/>
          <w:lang w:val="fr-BE" w:eastAsia="en-US"/>
        </w:rPr>
        <w:t>éthode</w:t>
      </w:r>
      <w:proofErr w:type="gramEnd"/>
      <w:r w:rsidR="00280CFA" w:rsidRPr="008D7EB7">
        <w:rPr>
          <w:rFonts w:eastAsia="Calibri"/>
          <w:lang w:val="fr-BE" w:eastAsia="en-US"/>
        </w:rPr>
        <w:t xml:space="preserve"> de collecte : déclarations et contrôles ponctuels OU recensement par l’administration OU au cas par cas en fonction de la redevance</w:t>
      </w:r>
      <w:r w:rsidR="00003D67" w:rsidRPr="008D7EB7">
        <w:rPr>
          <w:rFonts w:eastAsia="Calibri"/>
          <w:lang w:val="fr-BE" w:eastAsia="en-US"/>
        </w:rPr>
        <w:t> ;</w:t>
      </w:r>
    </w:p>
    <w:p w14:paraId="130A14A2" w14:textId="7DD8F6E3" w:rsidR="00280CFA" w:rsidRPr="008D7EB7" w:rsidRDefault="008D5D16" w:rsidP="00280CFA">
      <w:pPr>
        <w:numPr>
          <w:ilvl w:val="0"/>
          <w:numId w:val="78"/>
        </w:numPr>
        <w:spacing w:after="160" w:line="259" w:lineRule="auto"/>
        <w:jc w:val="both"/>
        <w:rPr>
          <w:rFonts w:eastAsia="Calibri"/>
          <w:lang w:val="fr-BE" w:eastAsia="en-US"/>
        </w:rPr>
      </w:pPr>
      <w:proofErr w:type="gramStart"/>
      <w:r>
        <w:rPr>
          <w:rFonts w:eastAsia="Calibri"/>
          <w:lang w:val="fr-BE" w:eastAsia="en-US"/>
        </w:rPr>
        <w:lastRenderedPageBreak/>
        <w:t>c</w:t>
      </w:r>
      <w:r w:rsidR="00280CFA" w:rsidRPr="008D7EB7">
        <w:rPr>
          <w:rFonts w:eastAsia="Calibri"/>
          <w:lang w:val="fr-BE" w:eastAsia="en-US"/>
        </w:rPr>
        <w:t>ommunications</w:t>
      </w:r>
      <w:proofErr w:type="gramEnd"/>
      <w:r w:rsidR="00280CFA" w:rsidRPr="008D7EB7">
        <w:rPr>
          <w:rFonts w:eastAsia="Calibri"/>
          <w:lang w:val="fr-BE" w:eastAsia="en-US"/>
        </w:rPr>
        <w:t xml:space="preserve"> des données : les données ne seront communiquées qu’à des tiers autorisés par ou en vertu de la loi, notamment en application de l’article 327 du </w:t>
      </w:r>
      <w:r w:rsidR="00A04F0B">
        <w:rPr>
          <w:rFonts w:eastAsia="Calibri"/>
          <w:lang w:val="fr-BE" w:eastAsia="en-US"/>
        </w:rPr>
        <w:t>code des impôts sur les revenus</w:t>
      </w:r>
      <w:r w:rsidR="00280CFA" w:rsidRPr="008D7EB7">
        <w:rPr>
          <w:rFonts w:eastAsia="Calibri"/>
          <w:lang w:val="fr-BE" w:eastAsia="en-US"/>
        </w:rPr>
        <w:t xml:space="preserve">, ou à des sous-traitants du responsable de traitement. </w:t>
      </w:r>
    </w:p>
    <w:p w14:paraId="04BFDEC6" w14:textId="77777777" w:rsidR="003D2F82" w:rsidRDefault="003D2F82" w:rsidP="003D2F82">
      <w:pPr>
        <w:tabs>
          <w:tab w:val="left" w:pos="360"/>
          <w:tab w:val="left" w:pos="504"/>
        </w:tabs>
        <w:spacing w:before="120"/>
        <w:jc w:val="both"/>
        <w:textAlignment w:val="baseline"/>
        <w:rPr>
          <w:rFonts w:asciiTheme="minorHAnsi" w:hAnsiTheme="minorHAnsi" w:cs="Calibri Light"/>
        </w:rPr>
      </w:pPr>
      <w:bookmarkStart w:id="4544" w:name="_Hlk36646815"/>
      <w:r w:rsidRPr="008D7EB7">
        <w:rPr>
          <w:rFonts w:asciiTheme="minorHAnsi" w:hAnsiTheme="minorHAnsi" w:cs="Calibri Light"/>
        </w:rPr>
        <w:t>Le respect de la législation relative à la protection de la vie privée est essentiel quand une commune est amenée à répondre à des demandes de communication de données à caractère personnel figurant dans des fichiers qu’elle détient</w:t>
      </w:r>
      <w:bookmarkEnd w:id="4544"/>
      <w:r w:rsidRPr="008D7EB7">
        <w:rPr>
          <w:rFonts w:asciiTheme="minorHAnsi" w:hAnsiTheme="minorHAnsi" w:cs="Calibri Light"/>
        </w:rPr>
        <w:t>.</w:t>
      </w:r>
    </w:p>
    <w:p w14:paraId="1A718E2F" w14:textId="12CF5921" w:rsidR="003D2F82" w:rsidRDefault="003D2F82" w:rsidP="008D7EB7">
      <w:pPr>
        <w:spacing w:after="160" w:line="259" w:lineRule="auto"/>
        <w:jc w:val="both"/>
        <w:rPr>
          <w:rFonts w:eastAsia="Calibri"/>
          <w:color w:val="FF0000"/>
          <w:sz w:val="22"/>
          <w:szCs w:val="22"/>
          <w:lang w:eastAsia="en-US"/>
        </w:rPr>
      </w:pPr>
    </w:p>
    <w:p w14:paraId="379B070E" w14:textId="77777777" w:rsidR="006B47EE" w:rsidRPr="008D7EB7" w:rsidRDefault="006B47EE" w:rsidP="008D7EB7">
      <w:pPr>
        <w:spacing w:after="160" w:line="259" w:lineRule="auto"/>
        <w:jc w:val="both"/>
        <w:rPr>
          <w:rFonts w:eastAsia="Calibri"/>
          <w:color w:val="FF0000"/>
          <w:sz w:val="22"/>
          <w:szCs w:val="22"/>
          <w:lang w:eastAsia="en-US"/>
        </w:rPr>
      </w:pPr>
    </w:p>
    <w:p w14:paraId="59175EF2" w14:textId="6B0C0F21" w:rsidR="00280CFA" w:rsidRPr="008D7EB7" w:rsidRDefault="008D5D16" w:rsidP="00256E9F">
      <w:pPr>
        <w:pStyle w:val="Sam3"/>
      </w:pPr>
      <w:bookmarkStart w:id="4545" w:name="_Toc34813715"/>
      <w:bookmarkStart w:id="4546" w:name="_Toc74557693"/>
      <w:r>
        <w:t>VI.4.</w:t>
      </w:r>
      <w:r w:rsidR="00A51939">
        <w:t>9</w:t>
      </w:r>
      <w:r>
        <w:t xml:space="preserve"> </w:t>
      </w:r>
      <w:r w:rsidR="00280CFA" w:rsidRPr="008D7EB7">
        <w:t>Recommandé préalable au commandement par voie d'huissier</w:t>
      </w:r>
      <w:bookmarkEnd w:id="4545"/>
      <w:bookmarkEnd w:id="4546"/>
    </w:p>
    <w:p w14:paraId="70A26086" w14:textId="77777777" w:rsidR="00280CFA" w:rsidRPr="00280CFA" w:rsidRDefault="00280CFA" w:rsidP="00280CFA">
      <w:pPr>
        <w:ind w:left="1985"/>
        <w:rPr>
          <w:rFonts w:asciiTheme="minorHAnsi" w:eastAsia="Calibri" w:hAnsiTheme="minorHAnsi"/>
          <w:b/>
          <w:i/>
          <w:u w:val="single"/>
          <w:lang w:val="fr-BE" w:eastAsia="en-US"/>
        </w:rPr>
      </w:pPr>
    </w:p>
    <w:p w14:paraId="205DE320" w14:textId="1C5066A5"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 xml:space="preserve">Auparavant, cette matière était régie par l’article 298 du </w:t>
      </w:r>
      <w:r w:rsidR="00FE6EB9">
        <w:rPr>
          <w:rFonts w:eastAsia="Calibri"/>
          <w:szCs w:val="22"/>
          <w:lang w:eastAsia="en-US"/>
        </w:rPr>
        <w:t>code des impôts sur les revenus</w:t>
      </w:r>
      <w:r w:rsidRPr="008D7EB7">
        <w:rPr>
          <w:rFonts w:eastAsia="Calibri"/>
          <w:szCs w:val="22"/>
          <w:lang w:eastAsia="en-US"/>
        </w:rPr>
        <w:t xml:space="preserve">. Le paragraphe 2 de ce dernier a toutefois été abrogé à la suite de l’entrée en vigueur du CRAF. Cet article est désormais remplacé par les articles 13 et 14 du CRAF. Ces dispositions sont rendues applicables à la matière des taxes communales dans la mesure où l'article L3321-12 du CDLD stipule que les dispositions du CRAF sont applicables aux taxes provinciales et communales pour autant qu'elles ne concernent pas spécialement les impôts sur les revenus. </w:t>
      </w:r>
    </w:p>
    <w:p w14:paraId="4CDF1293" w14:textId="5CE187FC"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Selon l’exposé des motifs du décret budgétaire susvisé quant à l’insertion de l’article L3321-8</w:t>
      </w:r>
      <w:r w:rsidRPr="008D7EB7">
        <w:rPr>
          <w:rFonts w:eastAsia="Calibri"/>
          <w:i/>
          <w:szCs w:val="22"/>
          <w:lang w:eastAsia="en-US"/>
        </w:rPr>
        <w:t>bis</w:t>
      </w:r>
      <w:r w:rsidRPr="008D7EB7">
        <w:rPr>
          <w:rFonts w:eastAsia="Calibri"/>
          <w:szCs w:val="22"/>
          <w:lang w:eastAsia="en-US"/>
        </w:rPr>
        <w:t xml:space="preserve"> dans le CDLD, les articles 13 et 14 du CRAF sont applicables dans leur totalité en Région </w:t>
      </w:r>
      <w:r w:rsidR="003D2F82" w:rsidRPr="008D7EB7">
        <w:rPr>
          <w:rFonts w:eastAsia="Calibri"/>
          <w:szCs w:val="22"/>
          <w:lang w:eastAsia="en-US"/>
        </w:rPr>
        <w:t>w</w:t>
      </w:r>
      <w:r w:rsidRPr="008D7EB7">
        <w:rPr>
          <w:rFonts w:eastAsia="Calibri"/>
          <w:szCs w:val="22"/>
          <w:lang w:eastAsia="en-US"/>
        </w:rPr>
        <w:t>allonne. L’article L3321-8</w:t>
      </w:r>
      <w:r w:rsidRPr="008D7EB7">
        <w:rPr>
          <w:rFonts w:eastAsia="Calibri"/>
          <w:i/>
          <w:szCs w:val="22"/>
          <w:lang w:eastAsia="en-US"/>
        </w:rPr>
        <w:t>bis</w:t>
      </w:r>
      <w:r w:rsidRPr="008D7EB7">
        <w:rPr>
          <w:rFonts w:eastAsia="Calibri"/>
          <w:szCs w:val="22"/>
          <w:lang w:eastAsia="en-US"/>
        </w:rPr>
        <w:t xml:space="preserve"> ne vise qu’à obliger les communes à recourir à un envoi par lettre recommandé. Ce décret budgétaire dont la validité ne dure qu’un an devra être pérennis</w:t>
      </w:r>
      <w:r w:rsidR="003D2F82" w:rsidRPr="008D7EB7">
        <w:rPr>
          <w:rFonts w:eastAsia="Calibri"/>
          <w:szCs w:val="22"/>
          <w:lang w:eastAsia="en-US"/>
        </w:rPr>
        <w:t>é</w:t>
      </w:r>
      <w:r w:rsidRPr="008D7EB7">
        <w:rPr>
          <w:rFonts w:eastAsia="Calibri"/>
          <w:szCs w:val="22"/>
          <w:lang w:eastAsia="en-US"/>
        </w:rPr>
        <w:t xml:space="preserve"> par un nouveau décret avant le 31 décembre 2020.</w:t>
      </w:r>
    </w:p>
    <w:p w14:paraId="24D863FA" w14:textId="765394F5"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L’article L3321-8</w:t>
      </w:r>
      <w:r w:rsidRPr="008D7EB7">
        <w:rPr>
          <w:rFonts w:eastAsia="Calibri"/>
          <w:i/>
          <w:szCs w:val="22"/>
          <w:lang w:eastAsia="en-US"/>
        </w:rPr>
        <w:t>bis</w:t>
      </w:r>
      <w:r w:rsidRPr="008D7EB7">
        <w:rPr>
          <w:rFonts w:eastAsia="Calibri"/>
          <w:szCs w:val="22"/>
          <w:lang w:eastAsia="en-US"/>
        </w:rPr>
        <w:t xml:space="preserve"> permet également à la commune de récupérer </w:t>
      </w:r>
      <w:r w:rsidRPr="008D7EB7">
        <w:rPr>
          <w:rFonts w:eastAsia="Calibri"/>
          <w:b/>
          <w:szCs w:val="22"/>
          <w:u w:val="single"/>
          <w:lang w:eastAsia="en-US"/>
        </w:rPr>
        <w:t>les frais postaux</w:t>
      </w:r>
      <w:r w:rsidRPr="008D7EB7">
        <w:rPr>
          <w:rFonts w:eastAsia="Calibri"/>
          <w:szCs w:val="22"/>
          <w:lang w:eastAsia="en-US"/>
        </w:rPr>
        <w:t xml:space="preserve"> de cet envoi recommandé. Si la commune désire effectivement récupérer ces frais, elle doit évidemment le prévoir expressément dans chacun de ses règlements-taxes</w:t>
      </w:r>
      <w:r w:rsidR="003D2F82" w:rsidRPr="008D7EB7">
        <w:rPr>
          <w:rFonts w:eastAsia="Calibri"/>
          <w:szCs w:val="22"/>
          <w:lang w:eastAsia="en-US"/>
        </w:rPr>
        <w:t>. L</w:t>
      </w:r>
      <w:r w:rsidRPr="008D7EB7">
        <w:rPr>
          <w:rFonts w:eastAsia="Calibri"/>
          <w:szCs w:val="22"/>
          <w:lang w:eastAsia="en-US"/>
        </w:rPr>
        <w:t xml:space="preserve">a récupération de ces frais ne constitue pas une redevance dans la mesure où étant un accessoire au principal, il n’y a pas lieu de changer la nature du prélèvement principal. Ce qui ne serait pas le cas en cas de vote d’un règlement-redevance spécifique pour récupérer ces frais de rappel. </w:t>
      </w:r>
    </w:p>
    <w:p w14:paraId="1C8027BE" w14:textId="7777777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L'article 13 §1</w:t>
      </w:r>
      <w:r w:rsidRPr="008D7EB7">
        <w:rPr>
          <w:rFonts w:eastAsia="Calibri"/>
          <w:szCs w:val="22"/>
          <w:vertAlign w:val="superscript"/>
          <w:lang w:eastAsia="en-US"/>
        </w:rPr>
        <w:t>er</w:t>
      </w:r>
      <w:r w:rsidRPr="008D7EB7">
        <w:rPr>
          <w:rFonts w:eastAsia="Calibri"/>
          <w:szCs w:val="22"/>
          <w:lang w:eastAsia="en-US"/>
        </w:rPr>
        <w:t xml:space="preserve"> du CRAF, a supprimé l’obligation des directeurs financiers de délivrer une contrainte. Désormais, une sommation de payer contenant de manière complète et non équivoque les données relatives à la créance doit être adressée au redevable. </w:t>
      </w:r>
    </w:p>
    <w:p w14:paraId="7B816728" w14:textId="090F4A0E"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Lorsque le débiteur n’a pas de domicile/siège connu en Belgique ou à l’étranger, la sommation de payer doit être adressée au Procureur du Roi de Bruxelles.</w:t>
      </w:r>
    </w:p>
    <w:p w14:paraId="2E5F6025" w14:textId="63FAFFF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Une nouveauté de cet article 13 du CRAF est la possibilité de poursuivre le remboursement de la créance à charge d’un codébiteur. Par codébiteur, il faut entendre la personne qui n’est pas reprise au rôle et qui est tenue au paiement des taxes en vertu du CRAF ou des lois fiscales</w:t>
      </w:r>
      <w:r w:rsidR="00475C19">
        <w:rPr>
          <w:rStyle w:val="Appelnotedebasdep"/>
          <w:rFonts w:eastAsia="Calibri"/>
          <w:szCs w:val="22"/>
          <w:lang w:eastAsia="en-US"/>
        </w:rPr>
        <w:footnoteReference w:id="91"/>
      </w:r>
      <w:r w:rsidRPr="008D7EB7">
        <w:rPr>
          <w:rFonts w:eastAsia="Calibri"/>
          <w:szCs w:val="22"/>
          <w:lang w:eastAsia="en-US"/>
        </w:rPr>
        <w:t xml:space="preserve">. Dans ce cas, la sommation de payer devra contenir les données relatives à la créance exprimées de manière complète et non équivoque. En outre, un duplicata de l’avertissement extrait de rôle envoyé au redevable devra être joint. Il devra également être fait mention dans la sommation de payer des causes légales ou réglementaires de la créance ainsi que le </w:t>
      </w:r>
      <w:r w:rsidRPr="008D7EB7">
        <w:rPr>
          <w:rFonts w:eastAsia="Calibri"/>
          <w:szCs w:val="22"/>
          <w:lang w:eastAsia="en-US"/>
        </w:rPr>
        <w:lastRenderedPageBreak/>
        <w:t xml:space="preserve">montant à charge du codébiteur.  L’envoi de cet exemplaire de l’avertissement extrait de rôle au codébiteur </w:t>
      </w:r>
      <w:r w:rsidR="000E5811" w:rsidRPr="008D7EB7">
        <w:rPr>
          <w:rFonts w:eastAsia="Calibri"/>
          <w:szCs w:val="22"/>
          <w:lang w:eastAsia="en-US"/>
        </w:rPr>
        <w:t>ouvre,</w:t>
      </w:r>
      <w:r w:rsidR="00475C19">
        <w:rPr>
          <w:rFonts w:eastAsia="Calibri"/>
          <w:szCs w:val="22"/>
          <w:lang w:eastAsia="en-US"/>
        </w:rPr>
        <w:t xml:space="preserve"> en ce qui le concerne,</w:t>
      </w:r>
      <w:r w:rsidRPr="008D7EB7">
        <w:rPr>
          <w:rFonts w:eastAsia="Calibri"/>
          <w:szCs w:val="22"/>
          <w:lang w:eastAsia="en-US"/>
        </w:rPr>
        <w:t xml:space="preserve"> le</w:t>
      </w:r>
      <w:r w:rsidR="0030541A" w:rsidRPr="008D7EB7">
        <w:rPr>
          <w:rFonts w:eastAsia="Calibri"/>
          <w:szCs w:val="22"/>
          <w:lang w:eastAsia="en-US"/>
        </w:rPr>
        <w:t>s</w:t>
      </w:r>
      <w:r w:rsidRPr="008D7EB7">
        <w:rPr>
          <w:rFonts w:eastAsia="Calibri"/>
          <w:szCs w:val="22"/>
          <w:lang w:eastAsia="en-US"/>
        </w:rPr>
        <w:t xml:space="preserve"> délai</w:t>
      </w:r>
      <w:r w:rsidR="0030541A" w:rsidRPr="008D7EB7">
        <w:rPr>
          <w:rFonts w:eastAsia="Calibri"/>
          <w:szCs w:val="22"/>
          <w:lang w:eastAsia="en-US"/>
        </w:rPr>
        <w:t>s</w:t>
      </w:r>
      <w:r w:rsidRPr="008D7EB7">
        <w:rPr>
          <w:rFonts w:eastAsia="Calibri"/>
          <w:szCs w:val="22"/>
          <w:lang w:eastAsia="en-US"/>
        </w:rPr>
        <w:t xml:space="preserve"> de réclamation visé</w:t>
      </w:r>
      <w:r w:rsidR="0018706D" w:rsidRPr="008D7EB7">
        <w:rPr>
          <w:rFonts w:eastAsia="Calibri"/>
          <w:szCs w:val="22"/>
          <w:lang w:eastAsia="en-US"/>
        </w:rPr>
        <w:t>s</w:t>
      </w:r>
      <w:r w:rsidRPr="008D7EB7">
        <w:rPr>
          <w:rFonts w:eastAsia="Calibri"/>
          <w:szCs w:val="22"/>
          <w:lang w:eastAsia="en-US"/>
        </w:rPr>
        <w:t xml:space="preserve"> aux articles 371 et 373 du </w:t>
      </w:r>
      <w:r w:rsidR="00FE6EB9">
        <w:rPr>
          <w:rFonts w:eastAsia="Calibri"/>
          <w:szCs w:val="22"/>
          <w:lang w:eastAsia="en-US"/>
        </w:rPr>
        <w:t>code des impôts sur les revenus</w:t>
      </w:r>
      <w:r w:rsidRPr="008D7EB7">
        <w:rPr>
          <w:rFonts w:eastAsia="Calibri"/>
          <w:szCs w:val="22"/>
          <w:lang w:eastAsia="en-US"/>
        </w:rPr>
        <w:t>.</w:t>
      </w:r>
    </w:p>
    <w:p w14:paraId="1BF8339A" w14:textId="77777777" w:rsidR="00280CFA" w:rsidRPr="008D7EB7" w:rsidRDefault="00280CFA" w:rsidP="00280CFA">
      <w:pPr>
        <w:spacing w:after="160" w:line="259" w:lineRule="auto"/>
        <w:jc w:val="both"/>
        <w:rPr>
          <w:rFonts w:eastAsia="Calibri"/>
          <w:szCs w:val="22"/>
          <w:lang w:eastAsia="en-US"/>
        </w:rPr>
      </w:pPr>
      <w:r w:rsidRPr="008D7EB7">
        <w:rPr>
          <w:rFonts w:eastAsia="Calibri"/>
          <w:b/>
          <w:szCs w:val="22"/>
          <w:lang w:eastAsia="en-US"/>
        </w:rPr>
        <w:t>Quant aux délais de procédure, ils dépendent désormais de l’article 13 du CRAF qui prévoit </w:t>
      </w:r>
      <w:r w:rsidRPr="008D7EB7">
        <w:rPr>
          <w:rFonts w:eastAsia="Calibri"/>
          <w:szCs w:val="22"/>
          <w:lang w:eastAsia="en-US"/>
        </w:rPr>
        <w:t>:</w:t>
      </w:r>
    </w:p>
    <w:p w14:paraId="1BE04B5A" w14:textId="7777777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 xml:space="preserve">La sommation adressée au redevable ne peut être envoyée qu’à l’expiration d’un délai de </w:t>
      </w:r>
      <w:r w:rsidRPr="008D7EB7">
        <w:rPr>
          <w:rFonts w:eastAsia="Calibri"/>
          <w:b/>
          <w:szCs w:val="22"/>
          <w:lang w:eastAsia="en-US"/>
        </w:rPr>
        <w:t>10 jours à compter du 1</w:t>
      </w:r>
      <w:r w:rsidRPr="008D7EB7">
        <w:rPr>
          <w:rFonts w:eastAsia="Calibri"/>
          <w:b/>
          <w:szCs w:val="22"/>
          <w:vertAlign w:val="superscript"/>
          <w:lang w:eastAsia="en-US"/>
        </w:rPr>
        <w:t>er</w:t>
      </w:r>
      <w:r w:rsidRPr="008D7EB7">
        <w:rPr>
          <w:rFonts w:eastAsia="Calibri"/>
          <w:b/>
          <w:szCs w:val="22"/>
          <w:lang w:eastAsia="en-US"/>
        </w:rPr>
        <w:t xml:space="preserve"> jour suivant</w:t>
      </w:r>
      <w:r w:rsidRPr="008D7EB7">
        <w:rPr>
          <w:rFonts w:eastAsia="Calibri"/>
          <w:szCs w:val="22"/>
          <w:lang w:eastAsia="en-US"/>
        </w:rPr>
        <w:t xml:space="preserve"> l’échéance légale de paiement de la créance.</w:t>
      </w:r>
    </w:p>
    <w:p w14:paraId="06B77C36" w14:textId="7777777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La sommation de payer n’a effet qu’à partir du 3</w:t>
      </w:r>
      <w:r w:rsidRPr="008D7EB7">
        <w:rPr>
          <w:rFonts w:eastAsia="Calibri"/>
          <w:szCs w:val="22"/>
          <w:vertAlign w:val="superscript"/>
          <w:lang w:eastAsia="en-US"/>
        </w:rPr>
        <w:t>ème</w:t>
      </w:r>
      <w:r w:rsidRPr="008D7EB7">
        <w:rPr>
          <w:rFonts w:eastAsia="Calibri"/>
          <w:szCs w:val="22"/>
          <w:lang w:eastAsia="en-US"/>
        </w:rPr>
        <w:t xml:space="preserve"> jour ouvrable qui suit la date de son envoi au redevable. </w:t>
      </w:r>
    </w:p>
    <w:p w14:paraId="4824E627" w14:textId="7777777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 xml:space="preserve">L’article 13 §3 du CRAF prévoit aussi l’obligation d’attendre un </w:t>
      </w:r>
      <w:r w:rsidRPr="008D7EB7">
        <w:rPr>
          <w:rFonts w:eastAsia="Calibri"/>
          <w:b/>
          <w:szCs w:val="22"/>
          <w:lang w:eastAsia="en-US"/>
        </w:rPr>
        <w:t>délai d’un mois</w:t>
      </w:r>
      <w:r w:rsidRPr="008D7EB7">
        <w:rPr>
          <w:rFonts w:eastAsia="Calibri"/>
          <w:szCs w:val="22"/>
          <w:lang w:eastAsia="en-US"/>
        </w:rPr>
        <w:t xml:space="preserve"> à compter de la date d’effet de la sommation de payer avant de recouvrer la créance par une première voie d’exécution. Toutefois, si les droits du Trésor sont en péril, la créance pourra être recouvrée par voie d’exécution dès la date d’effet de la sommation de payer.</w:t>
      </w:r>
    </w:p>
    <w:p w14:paraId="4A9E4B65" w14:textId="7777777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Concrètement, si l’échéance de paiement arrive le 14 mai 2020, la computation se fait de la manière suivante :</w:t>
      </w:r>
    </w:p>
    <w:p w14:paraId="35BF4ABE" w14:textId="77777777"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 xml:space="preserve">Depuis le </w:t>
      </w:r>
      <w:r w:rsidRPr="008D7EB7">
        <w:rPr>
          <w:rFonts w:eastAsia="Calibri"/>
          <w:b/>
          <w:szCs w:val="22"/>
          <w:lang w:eastAsia="en-US"/>
        </w:rPr>
        <w:t>15 mai</w:t>
      </w:r>
      <w:r w:rsidRPr="008D7EB7">
        <w:rPr>
          <w:rFonts w:eastAsia="Calibri"/>
          <w:szCs w:val="22"/>
          <w:lang w:eastAsia="en-US"/>
        </w:rPr>
        <w:t xml:space="preserve"> </w:t>
      </w:r>
      <w:r w:rsidRPr="008D7EB7">
        <w:rPr>
          <w:rFonts w:eastAsia="Calibri"/>
          <w:b/>
          <w:szCs w:val="22"/>
          <w:lang w:eastAsia="en-US"/>
        </w:rPr>
        <w:t>2020</w:t>
      </w:r>
      <w:r w:rsidRPr="008D7EB7">
        <w:rPr>
          <w:rFonts w:eastAsia="Calibri"/>
          <w:szCs w:val="22"/>
          <w:lang w:eastAsia="en-US"/>
        </w:rPr>
        <w:t xml:space="preserve">, il y a lieu de tenir compte d’un délai d’attente de </w:t>
      </w:r>
      <w:r w:rsidRPr="008D7EB7">
        <w:rPr>
          <w:rFonts w:eastAsia="Calibri"/>
          <w:b/>
          <w:szCs w:val="22"/>
          <w:lang w:eastAsia="en-US"/>
        </w:rPr>
        <w:t>10 jours</w:t>
      </w:r>
      <w:r w:rsidRPr="008D7EB7">
        <w:rPr>
          <w:rFonts w:eastAsia="Calibri"/>
          <w:szCs w:val="22"/>
          <w:lang w:eastAsia="en-US"/>
        </w:rPr>
        <w:t xml:space="preserve"> → On envoie la sommation de payer le </w:t>
      </w:r>
      <w:r w:rsidRPr="008D7EB7">
        <w:rPr>
          <w:rFonts w:eastAsia="Calibri"/>
          <w:b/>
          <w:szCs w:val="22"/>
          <w:lang w:eastAsia="en-US"/>
        </w:rPr>
        <w:t>25 mai 2020</w:t>
      </w:r>
      <w:r w:rsidRPr="008D7EB7">
        <w:rPr>
          <w:rFonts w:eastAsia="Calibri"/>
          <w:szCs w:val="22"/>
          <w:lang w:eastAsia="en-US"/>
        </w:rPr>
        <w:t xml:space="preserve">. À partir de cette date, on compte </w:t>
      </w:r>
      <w:r w:rsidRPr="008D7EB7">
        <w:rPr>
          <w:rFonts w:eastAsia="Calibri"/>
          <w:b/>
          <w:szCs w:val="22"/>
          <w:lang w:eastAsia="en-US"/>
        </w:rPr>
        <w:t>3 jours ouvrables</w:t>
      </w:r>
      <w:r w:rsidRPr="008D7EB7">
        <w:rPr>
          <w:rFonts w:eastAsia="Calibri"/>
          <w:szCs w:val="22"/>
          <w:lang w:eastAsia="en-US"/>
        </w:rPr>
        <w:t xml:space="preserve"> → On considère qu’il est reçu le </w:t>
      </w:r>
      <w:r w:rsidRPr="008D7EB7">
        <w:rPr>
          <w:rFonts w:eastAsia="Calibri"/>
          <w:b/>
          <w:szCs w:val="22"/>
          <w:lang w:eastAsia="en-US"/>
        </w:rPr>
        <w:t>28 mai 2020</w:t>
      </w:r>
      <w:r w:rsidRPr="008D7EB7">
        <w:rPr>
          <w:rFonts w:eastAsia="Calibri"/>
          <w:szCs w:val="22"/>
          <w:lang w:eastAsia="en-US"/>
        </w:rPr>
        <w:t xml:space="preserve">.  Il faut alors attendre </w:t>
      </w:r>
      <w:r w:rsidRPr="008D7EB7">
        <w:rPr>
          <w:rFonts w:eastAsia="Calibri"/>
          <w:b/>
          <w:szCs w:val="22"/>
          <w:lang w:eastAsia="en-US"/>
        </w:rPr>
        <w:t>1 mois</w:t>
      </w:r>
      <w:r w:rsidRPr="008D7EB7">
        <w:rPr>
          <w:rFonts w:eastAsia="Calibri"/>
          <w:szCs w:val="22"/>
          <w:lang w:eastAsia="en-US"/>
        </w:rPr>
        <w:t xml:space="preserve"> avant de lancer la première voie d’exécution → le 27 juin 2020 étant un samedi. Cela sera possible dès le </w:t>
      </w:r>
      <w:r w:rsidRPr="008D7EB7">
        <w:rPr>
          <w:rFonts w:eastAsia="Calibri"/>
          <w:b/>
          <w:szCs w:val="22"/>
          <w:lang w:eastAsia="en-US"/>
        </w:rPr>
        <w:t>29 juin 2020</w:t>
      </w:r>
      <w:r w:rsidRPr="008D7EB7">
        <w:rPr>
          <w:rFonts w:eastAsia="Calibri"/>
          <w:szCs w:val="22"/>
          <w:lang w:eastAsia="en-US"/>
        </w:rPr>
        <w:t>.</w:t>
      </w:r>
    </w:p>
    <w:p w14:paraId="06A327D4" w14:textId="2A989DC8"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En ce qui concerne le contenu des sommations de payer interruptive</w:t>
      </w:r>
      <w:r w:rsidR="003D2F82" w:rsidRPr="008D7EB7">
        <w:rPr>
          <w:rFonts w:eastAsia="Calibri"/>
          <w:szCs w:val="22"/>
          <w:lang w:eastAsia="en-US"/>
        </w:rPr>
        <w:t>s</w:t>
      </w:r>
      <w:r w:rsidRPr="008D7EB7">
        <w:rPr>
          <w:rFonts w:eastAsia="Calibri"/>
          <w:szCs w:val="22"/>
          <w:lang w:eastAsia="en-US"/>
        </w:rPr>
        <w:t xml:space="preserve"> de prescription : </w:t>
      </w:r>
    </w:p>
    <w:p w14:paraId="3C3BAA76" w14:textId="3172F6FF"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Lorsque le courrier est adressé au redevable</w:t>
      </w:r>
      <w:bookmarkStart w:id="4547" w:name="_Hlk34050173"/>
      <w:r w:rsidRPr="008D7EB7">
        <w:rPr>
          <w:rFonts w:eastAsia="Calibri"/>
          <w:szCs w:val="22"/>
          <w:lang w:eastAsia="en-US"/>
        </w:rPr>
        <w:t>, ce dernier doit viser les articles 13 §1</w:t>
      </w:r>
      <w:r w:rsidRPr="008D7EB7">
        <w:rPr>
          <w:rFonts w:eastAsia="Calibri"/>
          <w:szCs w:val="22"/>
          <w:vertAlign w:val="superscript"/>
          <w:lang w:eastAsia="en-US"/>
        </w:rPr>
        <w:t>er</w:t>
      </w:r>
      <w:r w:rsidRPr="008D7EB7">
        <w:rPr>
          <w:rFonts w:eastAsia="Calibri"/>
          <w:szCs w:val="22"/>
          <w:lang w:eastAsia="en-US"/>
        </w:rPr>
        <w:t xml:space="preserve">, 14, 20 et 24 du CRAF. Il doit également mentionner toutes les informations relatives à la taxe et ce de manière complète et non équivoque. Le montant des intérêts calculés sur </w:t>
      </w:r>
      <w:r w:rsidR="003D2F82" w:rsidRPr="008D7EB7">
        <w:rPr>
          <w:rFonts w:eastAsia="Calibri"/>
          <w:szCs w:val="22"/>
          <w:lang w:eastAsia="en-US"/>
        </w:rPr>
        <w:t xml:space="preserve">la </w:t>
      </w:r>
      <w:r w:rsidRPr="008D7EB7">
        <w:rPr>
          <w:rFonts w:eastAsia="Calibri"/>
          <w:szCs w:val="22"/>
          <w:lang w:eastAsia="en-US"/>
        </w:rPr>
        <w:t xml:space="preserve">base de l’article 414 du CIR 92 doit également être mentionné. La mention de la qualité interruptive de la prescription et de l’exigence de paiement immédiat doit également être présente. Aucune annexe ne doit être jointe au courrier. </w:t>
      </w:r>
    </w:p>
    <w:bookmarkEnd w:id="4547"/>
    <w:p w14:paraId="58073E6B" w14:textId="4D2322AB"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 xml:space="preserve">Lorsque le courrier est adressé au codébiteur, ce dernier doit viser les articles 13 §2, 14, 20 et 24 du CRAF ainsi que le règlement prévoyant la solidarité. Le nom du redevable enrôlé, le montant de la taxe due, les intérêts et les frais de recommandé doivent être mentionnés. Il doit également être fait mention de la possibilité offerte au codébiteur de formuler une réclamation sur </w:t>
      </w:r>
      <w:r w:rsidR="003D2F82" w:rsidRPr="008D7EB7">
        <w:rPr>
          <w:rFonts w:eastAsia="Calibri"/>
          <w:szCs w:val="22"/>
          <w:lang w:eastAsia="en-US"/>
        </w:rPr>
        <w:t xml:space="preserve">la </w:t>
      </w:r>
      <w:r w:rsidRPr="008D7EB7">
        <w:rPr>
          <w:rFonts w:eastAsia="Calibri"/>
          <w:szCs w:val="22"/>
          <w:lang w:eastAsia="en-US"/>
        </w:rPr>
        <w:t>base de l’article 37</w:t>
      </w:r>
      <w:r w:rsidR="00E22EE0" w:rsidRPr="008D7EB7">
        <w:rPr>
          <w:rFonts w:eastAsia="Calibri"/>
          <w:szCs w:val="22"/>
          <w:lang w:eastAsia="en-US"/>
        </w:rPr>
        <w:t>1</w:t>
      </w:r>
      <w:r w:rsidR="008E507D" w:rsidRPr="008D7EB7">
        <w:rPr>
          <w:rFonts w:eastAsia="Calibri"/>
          <w:szCs w:val="22"/>
          <w:lang w:eastAsia="en-US"/>
        </w:rPr>
        <w:t xml:space="preserve"> </w:t>
      </w:r>
      <w:r w:rsidR="00B3152B" w:rsidRPr="008D7EB7">
        <w:rPr>
          <w:rFonts w:eastAsia="Calibri"/>
          <w:szCs w:val="22"/>
          <w:lang w:eastAsia="en-US"/>
        </w:rPr>
        <w:t>ou de l’article 373</w:t>
      </w:r>
      <w:r w:rsidRPr="008D7EB7">
        <w:rPr>
          <w:rFonts w:eastAsia="Calibri"/>
          <w:szCs w:val="22"/>
          <w:lang w:eastAsia="en-US"/>
        </w:rPr>
        <w:t xml:space="preserve"> du </w:t>
      </w:r>
      <w:r w:rsidR="00FE6EB9">
        <w:rPr>
          <w:rFonts w:eastAsia="Calibri"/>
          <w:szCs w:val="22"/>
          <w:lang w:eastAsia="en-US"/>
        </w:rPr>
        <w:t>code des impôts sur les revenus</w:t>
      </w:r>
      <w:r w:rsidRPr="008D7EB7">
        <w:rPr>
          <w:rFonts w:eastAsia="Calibri"/>
          <w:szCs w:val="22"/>
          <w:lang w:eastAsia="en-US"/>
        </w:rPr>
        <w:t>. En annexe, il doit être joint un duplicata conforme de l’original de l’avertissement extrait de rôle envoyé.</w:t>
      </w:r>
    </w:p>
    <w:p w14:paraId="28F268A3" w14:textId="0BBA8296"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t>La sommation de payer telle que prévue par l’article 13 du CRAF vaut mise en demeure. Cela signifie donc qu’elle fait courir les intérêts de retard calculés au taux légal</w:t>
      </w:r>
      <w:r w:rsidR="00475C19">
        <w:rPr>
          <w:rStyle w:val="Appelnotedebasdep"/>
          <w:rFonts w:eastAsia="Calibri"/>
          <w:szCs w:val="22"/>
          <w:lang w:eastAsia="en-US"/>
        </w:rPr>
        <w:footnoteReference w:id="92"/>
      </w:r>
      <w:r w:rsidR="00FE6EB9">
        <w:rPr>
          <w:rFonts w:eastAsia="Calibri"/>
          <w:szCs w:val="22"/>
          <w:lang w:eastAsia="en-US"/>
        </w:rPr>
        <w:t>.</w:t>
      </w:r>
      <w:r w:rsidRPr="008D7EB7">
        <w:rPr>
          <w:rFonts w:eastAsia="Calibri"/>
          <w:szCs w:val="22"/>
          <w:lang w:eastAsia="en-US"/>
        </w:rPr>
        <w:t xml:space="preserve">  </w:t>
      </w:r>
    </w:p>
    <w:p w14:paraId="76A4FFEA" w14:textId="0D3077A2" w:rsidR="00280CFA" w:rsidRPr="008D7EB7" w:rsidRDefault="00280CFA" w:rsidP="00280CFA">
      <w:pPr>
        <w:spacing w:after="160" w:line="259" w:lineRule="auto"/>
        <w:jc w:val="both"/>
        <w:rPr>
          <w:rFonts w:eastAsia="Calibri"/>
          <w:szCs w:val="22"/>
          <w:lang w:eastAsia="en-US"/>
        </w:rPr>
      </w:pPr>
      <w:r w:rsidRPr="008D7EB7">
        <w:rPr>
          <w:rFonts w:eastAsia="Calibri"/>
          <w:szCs w:val="22"/>
          <w:lang w:eastAsia="en-US"/>
        </w:rPr>
        <w:lastRenderedPageBreak/>
        <w:t>L’exécution forcée d’un rôle rendu exécutoire avec le concours d’un huissier de justice se fait conformément aux dispositions du Code judiciaire</w:t>
      </w:r>
      <w:r w:rsidR="00475C19">
        <w:rPr>
          <w:rStyle w:val="Appelnotedebasdep"/>
          <w:rFonts w:eastAsia="Calibri"/>
          <w:szCs w:val="22"/>
          <w:lang w:eastAsia="en-US"/>
        </w:rPr>
        <w:footnoteReference w:id="93"/>
      </w:r>
      <w:r w:rsidRPr="008D7EB7">
        <w:rPr>
          <w:rFonts w:eastAsia="Calibri"/>
          <w:szCs w:val="22"/>
          <w:lang w:eastAsia="en-US"/>
        </w:rPr>
        <w:t xml:space="preserve">. Afin qu’un commandement par voie d’huissier puisse être réalisé, il faudra transmettre aux huissiers de justice un duplicata de l’avertissement extrait de rôle avec les données relatives au débiteur ainsi que le montant des intérêts de retard et des frais administratifs. Afin de pouvoir recouvrir sur base de l’extrait de rôle, ce dernier devra contenir toute une série de mentions : </w:t>
      </w:r>
    </w:p>
    <w:p w14:paraId="32FAB7E2" w14:textId="176A2BBD"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e</w:t>
      </w:r>
      <w:proofErr w:type="gramEnd"/>
      <w:r w:rsidR="00280CFA" w:rsidRPr="008D7EB7">
        <w:rPr>
          <w:rFonts w:eastAsia="Calibri"/>
          <w:szCs w:val="22"/>
          <w:lang w:eastAsia="en-US"/>
        </w:rPr>
        <w:t xml:space="preserve"> nom de la commune qui a établi la taxe</w:t>
      </w:r>
      <w:r>
        <w:rPr>
          <w:rFonts w:eastAsia="Calibri"/>
          <w:szCs w:val="22"/>
          <w:lang w:eastAsia="en-US"/>
        </w:rPr>
        <w:t> ;</w:t>
      </w:r>
    </w:p>
    <w:p w14:paraId="576D26F3" w14:textId="5F1CB9BD"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es</w:t>
      </w:r>
      <w:proofErr w:type="gramEnd"/>
      <w:r w:rsidR="00280CFA" w:rsidRPr="008D7EB7">
        <w:rPr>
          <w:rFonts w:eastAsia="Calibri"/>
          <w:szCs w:val="22"/>
          <w:lang w:eastAsia="en-US"/>
        </w:rPr>
        <w:t xml:space="preserve"> noms, prénoms ou dénominations sociales et l’adresse du redevable</w:t>
      </w:r>
      <w:r>
        <w:rPr>
          <w:rFonts w:eastAsia="Calibri"/>
          <w:szCs w:val="22"/>
          <w:lang w:eastAsia="en-US"/>
        </w:rPr>
        <w:t> ;</w:t>
      </w:r>
    </w:p>
    <w:p w14:paraId="117C2DEB" w14:textId="6C0E7DD2"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a</w:t>
      </w:r>
      <w:proofErr w:type="gramEnd"/>
      <w:r w:rsidR="00280CFA" w:rsidRPr="008D7EB7">
        <w:rPr>
          <w:rFonts w:eastAsia="Calibri"/>
          <w:szCs w:val="22"/>
          <w:lang w:eastAsia="en-US"/>
        </w:rPr>
        <w:t xml:space="preserve"> date et le libellé du règlement en vertu duquel la taxe est due</w:t>
      </w:r>
      <w:r>
        <w:rPr>
          <w:rFonts w:eastAsia="Calibri"/>
          <w:szCs w:val="22"/>
          <w:lang w:eastAsia="en-US"/>
        </w:rPr>
        <w:t> ;</w:t>
      </w:r>
    </w:p>
    <w:p w14:paraId="63FA4A97" w14:textId="02FDCC4A"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a</w:t>
      </w:r>
      <w:proofErr w:type="gramEnd"/>
      <w:r w:rsidR="00280CFA" w:rsidRPr="008D7EB7">
        <w:rPr>
          <w:rFonts w:eastAsia="Calibri"/>
          <w:szCs w:val="22"/>
          <w:lang w:eastAsia="en-US"/>
        </w:rPr>
        <w:t xml:space="preserve"> date du visa exécutoire du rôle</w:t>
      </w:r>
      <w:r>
        <w:rPr>
          <w:rFonts w:eastAsia="Calibri"/>
          <w:szCs w:val="22"/>
          <w:lang w:eastAsia="en-US"/>
        </w:rPr>
        <w:t> ;</w:t>
      </w:r>
    </w:p>
    <w:p w14:paraId="140C61DE" w14:textId="5D92F50B"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e</w:t>
      </w:r>
      <w:proofErr w:type="gramEnd"/>
      <w:r w:rsidR="00280CFA" w:rsidRPr="008D7EB7">
        <w:rPr>
          <w:rFonts w:eastAsia="Calibri"/>
          <w:szCs w:val="22"/>
          <w:lang w:eastAsia="en-US"/>
        </w:rPr>
        <w:t xml:space="preserve"> montant de la taxe, en principal, intérêts et frais</w:t>
      </w:r>
      <w:r>
        <w:rPr>
          <w:rFonts w:eastAsia="Calibri"/>
          <w:szCs w:val="22"/>
          <w:lang w:eastAsia="en-US"/>
        </w:rPr>
        <w:t> ;</w:t>
      </w:r>
    </w:p>
    <w:p w14:paraId="3A13416A" w14:textId="69CF8FBF"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’exercice</w:t>
      </w:r>
      <w:proofErr w:type="gramEnd"/>
      <w:r w:rsidR="00280CFA" w:rsidRPr="008D7EB7">
        <w:rPr>
          <w:rFonts w:eastAsia="Calibri"/>
          <w:szCs w:val="22"/>
          <w:lang w:eastAsia="en-US"/>
        </w:rPr>
        <w:t xml:space="preserve"> auquel se rapporte la taxe</w:t>
      </w:r>
      <w:r>
        <w:rPr>
          <w:rFonts w:eastAsia="Calibri"/>
          <w:szCs w:val="22"/>
          <w:lang w:eastAsia="en-US"/>
        </w:rPr>
        <w:t> ;</w:t>
      </w:r>
    </w:p>
    <w:p w14:paraId="0FC14917" w14:textId="5ACA80AE"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e</w:t>
      </w:r>
      <w:proofErr w:type="gramEnd"/>
      <w:r w:rsidR="00280CFA" w:rsidRPr="008D7EB7">
        <w:rPr>
          <w:rFonts w:eastAsia="Calibri"/>
          <w:szCs w:val="22"/>
          <w:lang w:eastAsia="en-US"/>
        </w:rPr>
        <w:t xml:space="preserve"> numéro d’article du rôle</w:t>
      </w:r>
      <w:r>
        <w:rPr>
          <w:rFonts w:eastAsia="Calibri"/>
          <w:szCs w:val="22"/>
          <w:lang w:eastAsia="en-US"/>
        </w:rPr>
        <w:t> ;</w:t>
      </w:r>
    </w:p>
    <w:p w14:paraId="051DB912" w14:textId="25B77B70"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a</w:t>
      </w:r>
      <w:proofErr w:type="gramEnd"/>
      <w:r w:rsidR="00280CFA" w:rsidRPr="008D7EB7">
        <w:rPr>
          <w:rFonts w:eastAsia="Calibri"/>
          <w:szCs w:val="22"/>
          <w:lang w:eastAsia="en-US"/>
        </w:rPr>
        <w:t xml:space="preserve"> date de l’envoie de l’avertissement extrait de rôle</w:t>
      </w:r>
      <w:r>
        <w:rPr>
          <w:rFonts w:eastAsia="Calibri"/>
          <w:szCs w:val="22"/>
          <w:lang w:eastAsia="en-US"/>
        </w:rPr>
        <w:t> ;</w:t>
      </w:r>
    </w:p>
    <w:p w14:paraId="6051A67A" w14:textId="0B074491"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a</w:t>
      </w:r>
      <w:proofErr w:type="gramEnd"/>
      <w:r w:rsidR="00280CFA" w:rsidRPr="008D7EB7">
        <w:rPr>
          <w:rFonts w:eastAsia="Calibri"/>
          <w:szCs w:val="22"/>
          <w:lang w:eastAsia="en-US"/>
        </w:rPr>
        <w:t xml:space="preserve"> date ultime de paiement</w:t>
      </w:r>
      <w:r>
        <w:rPr>
          <w:rFonts w:eastAsia="Calibri"/>
          <w:szCs w:val="22"/>
          <w:lang w:eastAsia="en-US"/>
        </w:rPr>
        <w:t> ;</w:t>
      </w:r>
    </w:p>
    <w:p w14:paraId="376C8657" w14:textId="56E7ABC9" w:rsidR="00280CFA" w:rsidRPr="008D7EB7" w:rsidRDefault="00FE6EB9" w:rsidP="008D7EB7">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a</w:t>
      </w:r>
      <w:proofErr w:type="gramEnd"/>
      <w:r w:rsidR="00280CFA" w:rsidRPr="008D7EB7">
        <w:rPr>
          <w:rFonts w:eastAsia="Calibri"/>
          <w:szCs w:val="22"/>
          <w:lang w:eastAsia="en-US"/>
        </w:rPr>
        <w:t xml:space="preserve"> date d’envoi de la sommation de payer</w:t>
      </w:r>
      <w:r>
        <w:rPr>
          <w:rFonts w:eastAsia="Calibri"/>
          <w:szCs w:val="22"/>
          <w:lang w:eastAsia="en-US"/>
        </w:rPr>
        <w:t> ;</w:t>
      </w:r>
    </w:p>
    <w:p w14:paraId="60A2D273" w14:textId="18F2F244" w:rsidR="003047FF" w:rsidRPr="003047FF" w:rsidRDefault="00FE6EB9" w:rsidP="003047FF">
      <w:pPr>
        <w:pStyle w:val="Paragraphedeliste"/>
        <w:numPr>
          <w:ilvl w:val="0"/>
          <w:numId w:val="157"/>
        </w:numPr>
        <w:spacing w:after="160" w:line="259" w:lineRule="auto"/>
        <w:contextualSpacing/>
        <w:jc w:val="both"/>
        <w:rPr>
          <w:rFonts w:eastAsia="Calibri"/>
          <w:szCs w:val="22"/>
          <w:lang w:eastAsia="en-US"/>
        </w:rPr>
      </w:pPr>
      <w:proofErr w:type="gramStart"/>
      <w:r>
        <w:rPr>
          <w:rFonts w:eastAsia="Calibri"/>
          <w:szCs w:val="22"/>
          <w:lang w:eastAsia="en-US"/>
        </w:rPr>
        <w:t>l</w:t>
      </w:r>
      <w:r w:rsidR="00280CFA" w:rsidRPr="008D7EB7">
        <w:rPr>
          <w:rFonts w:eastAsia="Calibri"/>
          <w:szCs w:val="22"/>
          <w:lang w:eastAsia="en-US"/>
        </w:rPr>
        <w:t>es</w:t>
      </w:r>
      <w:proofErr w:type="gramEnd"/>
      <w:r w:rsidR="00280CFA" w:rsidRPr="008D7EB7">
        <w:rPr>
          <w:rFonts w:eastAsia="Calibri"/>
          <w:szCs w:val="22"/>
          <w:lang w:eastAsia="en-US"/>
        </w:rPr>
        <w:t xml:space="preserve"> coordonnées du redevable qui a reçu l’avertissement extrait de rôle, la date de la sommation de payer (si la personne poursuivie est un codébiteur)</w:t>
      </w:r>
      <w:r>
        <w:rPr>
          <w:rFonts w:eastAsia="Calibri"/>
          <w:szCs w:val="22"/>
          <w:lang w:eastAsia="en-US"/>
        </w:rPr>
        <w:t>.</w:t>
      </w:r>
      <w:r w:rsidR="00280CFA" w:rsidRPr="008D7EB7">
        <w:rPr>
          <w:rFonts w:eastAsia="Calibri"/>
          <w:szCs w:val="22"/>
          <w:lang w:eastAsia="en-US"/>
        </w:rPr>
        <w:t xml:space="preserve">  </w:t>
      </w:r>
    </w:p>
    <w:p w14:paraId="28215B6E" w14:textId="77777777" w:rsidR="00DC3972" w:rsidRDefault="00DC3972" w:rsidP="00256E9F">
      <w:pPr>
        <w:pStyle w:val="Sam3"/>
      </w:pPr>
    </w:p>
    <w:p w14:paraId="49E677B1" w14:textId="1C3DA1B3" w:rsidR="00F53CED" w:rsidRDefault="004672E1" w:rsidP="00256E9F">
      <w:pPr>
        <w:pStyle w:val="Sam3"/>
      </w:pPr>
      <w:bookmarkStart w:id="4548" w:name="_Toc74557694"/>
      <w:r>
        <w:t>VI.4.1</w:t>
      </w:r>
      <w:r w:rsidR="00A51939">
        <w:t>0</w:t>
      </w:r>
      <w:r>
        <w:t xml:space="preserve"> </w:t>
      </w:r>
      <w:bookmarkStart w:id="4549" w:name="_Toc512523773"/>
      <w:bookmarkStart w:id="4550" w:name="_Toc512525463"/>
      <w:bookmarkStart w:id="4551" w:name="_Toc515896772"/>
      <w:r w:rsidR="003047FF">
        <w:t>La sommation interruptive de prescription</w:t>
      </w:r>
      <w:r w:rsidR="00DC3972">
        <w:t xml:space="preserve"> (</w:t>
      </w:r>
      <w:r w:rsidR="00E22CB7" w:rsidRPr="00E22CB7">
        <w:t>articles L3321-12 renvoyant aux articles 20 et 24 du CRAF)</w:t>
      </w:r>
      <w:bookmarkEnd w:id="4548"/>
    </w:p>
    <w:p w14:paraId="39F4F6D0" w14:textId="77777777" w:rsidR="00C643F6" w:rsidRDefault="00C643F6" w:rsidP="00256E9F">
      <w:pPr>
        <w:pStyle w:val="Sam3"/>
      </w:pPr>
    </w:p>
    <w:p w14:paraId="75791A13" w14:textId="0371005C" w:rsidR="00DC3972" w:rsidRDefault="00DC3972" w:rsidP="00576EF5">
      <w:r>
        <w:t>Outre le fait que cette procédure utilise aussi le recommandé, elle permet – à la différence de la sommation prévue au point VI.4.</w:t>
      </w:r>
      <w:r w:rsidR="00E22CB7">
        <w:t xml:space="preserve">8 </w:t>
      </w:r>
      <w:proofErr w:type="gramStart"/>
      <w:r w:rsidR="00E22CB7">
        <w:t>3.B</w:t>
      </w:r>
      <w:proofErr w:type="gramEnd"/>
      <w:r>
        <w:t xml:space="preserve"> – de récupérer l</w:t>
      </w:r>
      <w:r w:rsidRPr="00DC3972">
        <w:t>es frais inhérents à l’envoi du recommandé</w:t>
      </w:r>
      <w:r>
        <w:t>, lesquels comprennent outre les frais postaux, les frais administratifs. Il ressort de la jurisprudence qu’un montant de 15 EUR est admissible.</w:t>
      </w:r>
    </w:p>
    <w:p w14:paraId="01F3D37F" w14:textId="77777777" w:rsidR="00945A6F" w:rsidRDefault="00945A6F" w:rsidP="00256E9F">
      <w:pPr>
        <w:pStyle w:val="Sam3"/>
      </w:pPr>
    </w:p>
    <w:p w14:paraId="22A51E39" w14:textId="77777777" w:rsidR="00945A6F" w:rsidRDefault="00945A6F" w:rsidP="00256E9F">
      <w:pPr>
        <w:pStyle w:val="Sam3"/>
      </w:pPr>
    </w:p>
    <w:p w14:paraId="4948D5E3" w14:textId="02055BF3" w:rsidR="00E22CB7" w:rsidRPr="00E22CB7" w:rsidRDefault="00E22CB7" w:rsidP="00256E9F">
      <w:pPr>
        <w:pStyle w:val="Sam3"/>
      </w:pPr>
      <w:r w:rsidRPr="00E22CB7">
        <w:t xml:space="preserve">En ce qui concerne le contenu des sommations de payer interruptives de prescription : </w:t>
      </w:r>
    </w:p>
    <w:p w14:paraId="0A424766" w14:textId="77777777" w:rsidR="00E22CB7" w:rsidRPr="00E22CB7" w:rsidRDefault="00E22CB7" w:rsidP="00256E9F">
      <w:pPr>
        <w:pStyle w:val="Sam3"/>
      </w:pPr>
    </w:p>
    <w:p w14:paraId="2BB9D70B" w14:textId="03D82AC1" w:rsidR="00E22CB7" w:rsidRPr="000F38CA" w:rsidRDefault="00E22CB7" w:rsidP="00256E9F">
      <w:pPr>
        <w:pStyle w:val="Sam3"/>
      </w:pPr>
      <w:r w:rsidRPr="000F38CA">
        <w:t xml:space="preserve">Lorsque le courrier est adressé au redevable, ce dernier doit viser les articles 13 §1er, 14, 20 et 24 du CRAF. Il doit également mentionner toutes les informations relatives à la taxe et ce de manière complète et non équivoque. Le montant des intérêts calculés sur la base de l’article 414 du CIR 92 doit également être mentionné. La mention de la qualité interruptive de la prescription et de l’exigence de paiement immédiat doit également être présente. Aucune annexe ne doit être jointe au courrier. </w:t>
      </w:r>
    </w:p>
    <w:p w14:paraId="137B8350" w14:textId="77777777" w:rsidR="00E22CB7" w:rsidRPr="000F38CA" w:rsidRDefault="00E22CB7" w:rsidP="00256E9F">
      <w:pPr>
        <w:pStyle w:val="Sam3"/>
      </w:pPr>
    </w:p>
    <w:p w14:paraId="7D512692" w14:textId="338529E0" w:rsidR="00DC3972" w:rsidRPr="000F38CA" w:rsidRDefault="00E22CB7" w:rsidP="00256E9F">
      <w:pPr>
        <w:pStyle w:val="Sam3"/>
      </w:pPr>
      <w:r w:rsidRPr="000F38CA">
        <w:t>Lorsque le courrier est adressé au codébiteur, ce dernier doit viser les articles 13 §2, 14, 20 et 24 du CRAF ainsi que le règlement prévoyant la solidarité. Le nom du redevable enrôlé, le montant de la taxe due, les intérêts et les frais de recommandé doivent être mentionnés. Il doit également être fait mention de la possibilité offerte au codébiteur de formuler une réclamation sur la base de l’article 371 ou de l’article 373 du code des impôts sur les revenus.</w:t>
      </w:r>
    </w:p>
    <w:p w14:paraId="5A00DB10" w14:textId="77777777" w:rsidR="00453CB4" w:rsidRPr="007B15CD" w:rsidRDefault="00453CB4" w:rsidP="00256E9F">
      <w:pPr>
        <w:pStyle w:val="Sam3"/>
        <w:rPr>
          <w:sz w:val="2"/>
          <w:szCs w:val="2"/>
        </w:rPr>
      </w:pPr>
    </w:p>
    <w:p w14:paraId="1A8FE032" w14:textId="7AA415F7" w:rsidR="003047FF" w:rsidRDefault="003047FF" w:rsidP="00256E9F">
      <w:pPr>
        <w:pStyle w:val="Sam3"/>
      </w:pPr>
      <w:bookmarkStart w:id="4552" w:name="_Toc74557695"/>
      <w:r>
        <w:lastRenderedPageBreak/>
        <w:t>VI.4.1</w:t>
      </w:r>
      <w:r w:rsidR="00A51939">
        <w:t>1</w:t>
      </w:r>
      <w:r>
        <w:t xml:space="preserve"> Frais de rappel en cas de non-paiement d’une redevance</w:t>
      </w:r>
      <w:bookmarkEnd w:id="4552"/>
    </w:p>
    <w:p w14:paraId="73A97B3D" w14:textId="77777777" w:rsidR="00C643F6" w:rsidRDefault="00C643F6" w:rsidP="00671240">
      <w:pPr>
        <w:jc w:val="both"/>
        <w:rPr>
          <w:rFonts w:cstheme="minorHAnsi"/>
          <w:b/>
        </w:rPr>
      </w:pPr>
    </w:p>
    <w:p w14:paraId="298A917A" w14:textId="647EE87A" w:rsidR="00AC56A8" w:rsidRPr="00FE6EB9" w:rsidRDefault="003D2F82" w:rsidP="00671240">
      <w:pPr>
        <w:jc w:val="both"/>
      </w:pPr>
      <w:r w:rsidRPr="008D7EB7">
        <w:rPr>
          <w:rFonts w:cstheme="minorHAnsi"/>
          <w:b/>
        </w:rPr>
        <w:t>E</w:t>
      </w:r>
      <w:r w:rsidR="00280CFA" w:rsidRPr="008D7EB7">
        <w:rPr>
          <w:rFonts w:cstheme="minorHAnsi"/>
          <w:b/>
        </w:rPr>
        <w:t>n matière de recouvrement des redevances, le nouveau Code du recouvrement des créances fiscales et non fiscales ne s’applique pas</w:t>
      </w:r>
      <w:r w:rsidR="00280CFA" w:rsidRPr="008D7EB7">
        <w:rPr>
          <w:rFonts w:cstheme="minorHAnsi"/>
        </w:rPr>
        <w:t xml:space="preserve">. En cette matière, </w:t>
      </w:r>
      <w:r w:rsidR="003C0A75" w:rsidRPr="008D7EB7">
        <w:rPr>
          <w:rFonts w:cstheme="minorHAnsi"/>
        </w:rPr>
        <w:t>il y a lieu distinguer le recouvrement amiable qui est régi par la loi du 20</w:t>
      </w:r>
      <w:r w:rsidR="00FE6EB9">
        <w:rPr>
          <w:rFonts w:cstheme="minorHAnsi"/>
        </w:rPr>
        <w:t xml:space="preserve"> décembre </w:t>
      </w:r>
      <w:r w:rsidR="003C0A75" w:rsidRPr="008D7EB7">
        <w:rPr>
          <w:rFonts w:cstheme="minorHAnsi"/>
        </w:rPr>
        <w:t>2002</w:t>
      </w:r>
      <w:r w:rsidR="003C0A75" w:rsidRPr="008D7EB7">
        <w:rPr>
          <w:rFonts w:cstheme="minorHAnsi"/>
          <w:bCs/>
        </w:rPr>
        <w:t xml:space="preserve"> relative au recouvrement amiable des dettes du consommateur</w:t>
      </w:r>
      <w:r w:rsidR="003C0A75" w:rsidRPr="008D7EB7">
        <w:rPr>
          <w:rStyle w:val="Appelnotedebasdep"/>
          <w:rFonts w:cstheme="minorHAnsi"/>
          <w:bCs/>
        </w:rPr>
        <w:footnoteReference w:id="94"/>
      </w:r>
      <w:r w:rsidR="003C0A75" w:rsidRPr="008D7EB7">
        <w:rPr>
          <w:rFonts w:cstheme="minorHAnsi"/>
        </w:rPr>
        <w:t xml:space="preserve">  et le recouvrement forcé, qui, quant à lui, est régi par l’article L1124-40 du CDLD :</w:t>
      </w:r>
      <w:r w:rsidR="003C0A75" w:rsidRPr="00FE6EB9" w:rsidDel="003C0A75">
        <w:t xml:space="preserve"> </w:t>
      </w:r>
    </w:p>
    <w:p w14:paraId="61E2D3CC" w14:textId="77777777" w:rsidR="00B31E8D" w:rsidRPr="0037322F" w:rsidRDefault="00B31E8D" w:rsidP="00671240">
      <w:pPr>
        <w:jc w:val="both"/>
      </w:pPr>
    </w:p>
    <w:p w14:paraId="43FBB66F" w14:textId="3AA4A729" w:rsidR="00F53CED" w:rsidRPr="00F53CED" w:rsidRDefault="00F53CED" w:rsidP="008D7EB7">
      <w:pPr>
        <w:pStyle w:val="Sam4"/>
        <w:numPr>
          <w:ilvl w:val="0"/>
          <w:numId w:val="246"/>
        </w:numPr>
      </w:pPr>
      <w:bookmarkStart w:id="4553" w:name="_Toc74557696"/>
      <w:r w:rsidRPr="00F53CED">
        <w:t>Le recouvrement amiable</w:t>
      </w:r>
      <w:r w:rsidR="00475C19" w:rsidRPr="008D7EB7">
        <w:rPr>
          <w:rStyle w:val="Appelnotedebasdep"/>
          <w:b w:val="0"/>
          <w:bCs/>
          <w:i w:val="0"/>
          <w:iCs/>
          <w:u w:val="none"/>
        </w:rPr>
        <w:footnoteReference w:id="95"/>
      </w:r>
      <w:bookmarkEnd w:id="4553"/>
      <w:r w:rsidRPr="008D7EB7">
        <w:rPr>
          <w:b w:val="0"/>
          <w:bCs/>
          <w:i w:val="0"/>
          <w:iCs/>
          <w:u w:val="none"/>
        </w:rPr>
        <w:t xml:space="preserve"> </w:t>
      </w:r>
    </w:p>
    <w:p w14:paraId="4FB74146" w14:textId="77777777" w:rsidR="004672E1" w:rsidRDefault="004672E1" w:rsidP="00671240">
      <w:pPr>
        <w:jc w:val="both"/>
      </w:pPr>
    </w:p>
    <w:p w14:paraId="2A92943F" w14:textId="7424DC2F" w:rsidR="00AC56A8" w:rsidRDefault="00F53CED" w:rsidP="00671240">
      <w:pPr>
        <w:jc w:val="both"/>
      </w:pPr>
      <w:r w:rsidRPr="0037322F">
        <w:t xml:space="preserve">En vertu de cette loi, pour qu’un créancier puisse réclamer le </w:t>
      </w:r>
      <w:r w:rsidRPr="00FE6EB9">
        <w:t xml:space="preserve">montant </w:t>
      </w:r>
      <w:r w:rsidR="000322A2" w:rsidRPr="00FE6EB9">
        <w:t xml:space="preserve">des </w:t>
      </w:r>
      <w:r w:rsidRPr="00FE6EB9">
        <w:t>frais de</w:t>
      </w:r>
      <w:r w:rsidRPr="0037322F">
        <w:t xml:space="preserve"> rappel (par pli simple ou recommandé) à son débiteur, le montant doit impérativement avoir été prévu dans le règlement-redevance et garder un objectif indemnitaire (clause pénale).</w:t>
      </w:r>
    </w:p>
    <w:p w14:paraId="65F140AA" w14:textId="77777777" w:rsidR="0037322F" w:rsidRPr="00971487" w:rsidRDefault="0037322F" w:rsidP="00671240">
      <w:pPr>
        <w:jc w:val="both"/>
        <w:rPr>
          <w:sz w:val="10"/>
          <w:szCs w:val="10"/>
        </w:rPr>
      </w:pPr>
    </w:p>
    <w:p w14:paraId="544DF925" w14:textId="3434C150" w:rsidR="00F53CED" w:rsidRDefault="00F53CED" w:rsidP="00671240">
      <w:pPr>
        <w:jc w:val="both"/>
      </w:pPr>
      <w:r w:rsidRPr="0037322F">
        <w:t>Des montants de 5</w:t>
      </w:r>
      <w:r w:rsidR="00475C19">
        <w:t>,00</w:t>
      </w:r>
      <w:r w:rsidRPr="0037322F">
        <w:t xml:space="preserve"> euros pour un pli simple ou de 10</w:t>
      </w:r>
      <w:r w:rsidR="00475C19">
        <w:t>,00</w:t>
      </w:r>
      <w:r w:rsidRPr="0037322F">
        <w:t xml:space="preserve"> euros pour un recommandé</w:t>
      </w:r>
      <w:r w:rsidRPr="009315DC">
        <w:t xml:space="preserve"> semblent raisonnables.</w:t>
      </w:r>
    </w:p>
    <w:p w14:paraId="62449D46" w14:textId="6DE0DFE3" w:rsidR="00B31E8D" w:rsidRDefault="00B31E8D" w:rsidP="00671240">
      <w:pPr>
        <w:jc w:val="both"/>
      </w:pPr>
    </w:p>
    <w:p w14:paraId="66F9E799" w14:textId="77777777" w:rsidR="00453CB4" w:rsidRPr="009315DC" w:rsidRDefault="00453CB4" w:rsidP="00671240">
      <w:pPr>
        <w:jc w:val="both"/>
      </w:pPr>
    </w:p>
    <w:p w14:paraId="777723F3" w14:textId="451FF4CE" w:rsidR="002017D0" w:rsidRPr="001A01B7" w:rsidRDefault="002017D0" w:rsidP="008D7EB7">
      <w:pPr>
        <w:pStyle w:val="Sam4"/>
        <w:numPr>
          <w:ilvl w:val="0"/>
          <w:numId w:val="246"/>
        </w:numPr>
      </w:pPr>
      <w:bookmarkStart w:id="4554" w:name="_Toc7094749"/>
      <w:bookmarkStart w:id="4555" w:name="_Toc8121782"/>
      <w:bookmarkStart w:id="4556" w:name="_Toc8129723"/>
      <w:bookmarkStart w:id="4557" w:name="_Toc7094750"/>
      <w:bookmarkStart w:id="4558" w:name="_Toc8121783"/>
      <w:bookmarkStart w:id="4559" w:name="_Toc8129724"/>
      <w:bookmarkStart w:id="4560" w:name="_Toc7094751"/>
      <w:bookmarkStart w:id="4561" w:name="_Toc8121784"/>
      <w:bookmarkStart w:id="4562" w:name="_Toc8129725"/>
      <w:bookmarkStart w:id="4563" w:name="_Toc7094752"/>
      <w:bookmarkStart w:id="4564" w:name="_Toc8121785"/>
      <w:bookmarkStart w:id="4565" w:name="_Toc8129726"/>
      <w:bookmarkStart w:id="4566" w:name="_Toc7094753"/>
      <w:bookmarkStart w:id="4567" w:name="_Toc8121786"/>
      <w:bookmarkStart w:id="4568" w:name="_Toc8129727"/>
      <w:bookmarkStart w:id="4569" w:name="_Toc7094754"/>
      <w:bookmarkStart w:id="4570" w:name="_Toc8121787"/>
      <w:bookmarkStart w:id="4571" w:name="_Toc8129728"/>
      <w:bookmarkStart w:id="4572" w:name="_Toc7094755"/>
      <w:bookmarkStart w:id="4573" w:name="_Toc8121788"/>
      <w:bookmarkStart w:id="4574" w:name="_Toc8129729"/>
      <w:bookmarkStart w:id="4575" w:name="_Toc7094756"/>
      <w:bookmarkStart w:id="4576" w:name="_Toc8121789"/>
      <w:bookmarkStart w:id="4577" w:name="_Toc8129730"/>
      <w:bookmarkStart w:id="4578" w:name="_Toc7094757"/>
      <w:bookmarkStart w:id="4579" w:name="_Toc8121790"/>
      <w:bookmarkStart w:id="4580" w:name="_Toc8129731"/>
      <w:bookmarkStart w:id="4581" w:name="_Toc7094758"/>
      <w:bookmarkStart w:id="4582" w:name="_Toc8121791"/>
      <w:bookmarkStart w:id="4583" w:name="_Toc8129732"/>
      <w:bookmarkStart w:id="4584" w:name="_Toc7094759"/>
      <w:bookmarkStart w:id="4585" w:name="_Toc8121792"/>
      <w:bookmarkStart w:id="4586" w:name="_Toc8129733"/>
      <w:bookmarkStart w:id="4587" w:name="_Toc74557697"/>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r w:rsidRPr="001A01B7">
        <w:t>Le recouvrement forcé</w:t>
      </w:r>
      <w:r w:rsidR="00475C19" w:rsidRPr="00BC172A">
        <w:rPr>
          <w:rStyle w:val="Appelnotedebasdep"/>
          <w:b w:val="0"/>
          <w:bCs/>
          <w:i w:val="0"/>
          <w:iCs/>
          <w:u w:val="none"/>
        </w:rPr>
        <w:footnoteReference w:id="96"/>
      </w:r>
      <w:bookmarkEnd w:id="4587"/>
      <w:r w:rsidR="00475C19" w:rsidRPr="00BC172A">
        <w:rPr>
          <w:b w:val="0"/>
          <w:bCs/>
          <w:i w:val="0"/>
          <w:iCs/>
          <w:u w:val="none"/>
        </w:rPr>
        <w:t xml:space="preserve"> </w:t>
      </w:r>
    </w:p>
    <w:p w14:paraId="35F5EE76" w14:textId="77777777" w:rsidR="004672E1" w:rsidRDefault="004672E1" w:rsidP="00671240">
      <w:pPr>
        <w:jc w:val="both"/>
      </w:pPr>
    </w:p>
    <w:p w14:paraId="30AB2587" w14:textId="5F6837F8" w:rsidR="002017D0" w:rsidRDefault="002017D0" w:rsidP="00671240">
      <w:pPr>
        <w:jc w:val="both"/>
      </w:pPr>
      <w:r w:rsidRPr="001A01B7">
        <w:t xml:space="preserve">En vertu de l'article L1124-40 § </w:t>
      </w:r>
      <w:r w:rsidR="00475C19" w:rsidRPr="001A01B7">
        <w:t>1</w:t>
      </w:r>
      <w:r w:rsidR="00475C19" w:rsidRPr="008D7EB7">
        <w:rPr>
          <w:vertAlign w:val="superscript"/>
        </w:rPr>
        <w:t>er</w:t>
      </w:r>
      <w:r w:rsidR="00475C19">
        <w:t xml:space="preserve"> </w:t>
      </w:r>
      <w:r w:rsidRPr="001A01B7">
        <w:t xml:space="preserve">du C.D.L.D. le </w:t>
      </w:r>
      <w:r w:rsidR="003D2F82">
        <w:t>d</w:t>
      </w:r>
      <w:r w:rsidRPr="001A01B7">
        <w:t>irecteur Financier doit obligatoirement envoyer un courrier recommandé au redevable préalablement à l'envoi de la contrainte non fiscale à un huissier de justice.</w:t>
      </w:r>
    </w:p>
    <w:p w14:paraId="734AAA86" w14:textId="77777777" w:rsidR="0037322F" w:rsidRPr="00971487" w:rsidRDefault="0037322F" w:rsidP="00671240">
      <w:pPr>
        <w:jc w:val="both"/>
        <w:rPr>
          <w:sz w:val="10"/>
          <w:szCs w:val="10"/>
        </w:rPr>
      </w:pPr>
    </w:p>
    <w:p w14:paraId="30CB7673" w14:textId="4C2D5DA2" w:rsidR="002017D0" w:rsidRDefault="003D2F82" w:rsidP="00671240">
      <w:pPr>
        <w:jc w:val="both"/>
      </w:pPr>
      <w:r>
        <w:t>C</w:t>
      </w:r>
      <w:r w:rsidR="002017D0">
        <w:t xml:space="preserve">ette procédure ne peut </w:t>
      </w:r>
      <w:r w:rsidR="002017D0" w:rsidRPr="00E54EA4">
        <w:t xml:space="preserve">être entamée que </w:t>
      </w:r>
      <w:r w:rsidR="002017D0" w:rsidRPr="008D7EB7">
        <w:rPr>
          <w:b/>
          <w:bCs/>
        </w:rPr>
        <w:t>SI ET SEULEMENT SI</w:t>
      </w:r>
      <w:r w:rsidR="002017D0" w:rsidRPr="00E54EA4">
        <w:t xml:space="preserve"> la dette est liquide, certaine et exigible. Ce qui implique nécessairement que la dette soit une dette d’argent, que son délai de paiement soit échu et que la dette ne soit pas contestée par son débiteur.</w:t>
      </w:r>
    </w:p>
    <w:p w14:paraId="1304EF06" w14:textId="77777777" w:rsidR="0037322F" w:rsidRPr="00971487" w:rsidRDefault="0037322F" w:rsidP="00671240">
      <w:pPr>
        <w:jc w:val="both"/>
        <w:rPr>
          <w:sz w:val="10"/>
          <w:szCs w:val="10"/>
        </w:rPr>
      </w:pPr>
    </w:p>
    <w:p w14:paraId="088BDB6B" w14:textId="32698D96" w:rsidR="002017D0" w:rsidRDefault="002017D0" w:rsidP="00671240">
      <w:pPr>
        <w:jc w:val="both"/>
      </w:pPr>
      <w:r w:rsidRPr="001A01B7">
        <w:t>Le non-respect de cette formalité peut entrainer l'annulation de la procédure de recouvrement forcé basée sur la contrainte non fiscale.</w:t>
      </w:r>
    </w:p>
    <w:p w14:paraId="1669829F" w14:textId="77777777" w:rsidR="003D2F82" w:rsidRPr="00971487" w:rsidRDefault="003D2F82" w:rsidP="00671240">
      <w:pPr>
        <w:jc w:val="both"/>
        <w:rPr>
          <w:sz w:val="10"/>
          <w:szCs w:val="10"/>
        </w:rPr>
      </w:pPr>
    </w:p>
    <w:p w14:paraId="786D4FD7" w14:textId="736A7068" w:rsidR="002017D0" w:rsidRDefault="002017D0" w:rsidP="00671240">
      <w:pPr>
        <w:jc w:val="both"/>
      </w:pPr>
      <w:r w:rsidRPr="001A01B7">
        <w:t xml:space="preserve">L'article L1124-40 § 1er du CDLD indique que des frais administratifs </w:t>
      </w:r>
      <w:r w:rsidRPr="00387ADD">
        <w:t>peuvent</w:t>
      </w:r>
      <w:r w:rsidRPr="001A01B7">
        <w:t xml:space="preserve"> être mis à charge du redevable et sont portés en compte sur la contrainte non fiscale en cas de non-paiement.</w:t>
      </w:r>
    </w:p>
    <w:p w14:paraId="3F527174" w14:textId="77777777" w:rsidR="0037322F" w:rsidRPr="00971487" w:rsidRDefault="0037322F" w:rsidP="00671240">
      <w:pPr>
        <w:jc w:val="both"/>
        <w:rPr>
          <w:sz w:val="10"/>
          <w:szCs w:val="10"/>
        </w:rPr>
      </w:pPr>
    </w:p>
    <w:p w14:paraId="149CDF3F" w14:textId="5484D913" w:rsidR="002017D0" w:rsidRDefault="002017D0" w:rsidP="00671240">
      <w:pPr>
        <w:jc w:val="both"/>
      </w:pPr>
      <w:r w:rsidRPr="00603CA3">
        <w:t xml:space="preserve">Le texte n'impose pas de mettre les frais de recommandé à charge du redevable. Il s'agit d'une faculté laissée aux pouvoirs locaux. Il </w:t>
      </w:r>
      <w:r>
        <w:t>convient donc</w:t>
      </w:r>
      <w:r w:rsidRPr="00603CA3">
        <w:t xml:space="preserve"> de mentionner dans le règlement s'ils sont ou non mis à charge du redevable</w:t>
      </w:r>
      <w:r>
        <w:t xml:space="preserve"> et de préciser leur montant</w:t>
      </w:r>
      <w:r w:rsidRPr="00603CA3">
        <w:t>.</w:t>
      </w:r>
    </w:p>
    <w:p w14:paraId="07888F8A" w14:textId="77777777" w:rsidR="003D2F82" w:rsidRPr="00971487" w:rsidRDefault="003D2F82" w:rsidP="00671240">
      <w:pPr>
        <w:jc w:val="both"/>
        <w:rPr>
          <w:sz w:val="10"/>
          <w:szCs w:val="10"/>
        </w:rPr>
      </w:pPr>
    </w:p>
    <w:p w14:paraId="559B6BAE" w14:textId="77777777" w:rsidR="003D2F82" w:rsidRDefault="002017D0" w:rsidP="00671240">
      <w:pPr>
        <w:jc w:val="both"/>
      </w:pPr>
      <w:r w:rsidRPr="00603CA3">
        <w:t xml:space="preserve">Le texte ne détermine pas le montant des frais mais il est vivement conseillé de ne pas appliquer un montant qui serait disproportionné au regard du montant de la créance réclamée. En cas de recours, ils pourraient être jugés abusifs et être requalifiés en clause pénale abusive. </w:t>
      </w:r>
    </w:p>
    <w:p w14:paraId="0D801132" w14:textId="77777777" w:rsidR="003D2F82" w:rsidRPr="00971487" w:rsidRDefault="003D2F82" w:rsidP="00671240">
      <w:pPr>
        <w:jc w:val="both"/>
        <w:rPr>
          <w:sz w:val="10"/>
          <w:szCs w:val="10"/>
        </w:rPr>
      </w:pPr>
    </w:p>
    <w:p w14:paraId="612D3C57" w14:textId="1F071A20" w:rsidR="002017D0" w:rsidRDefault="002017D0" w:rsidP="00671240">
      <w:pPr>
        <w:jc w:val="both"/>
      </w:pPr>
      <w:r w:rsidRPr="00603CA3">
        <w:t>En tout état de cause, le montant des frais du recommandé ne devrait pas dépasser 10</w:t>
      </w:r>
      <w:r w:rsidR="00FB779C">
        <w:t>,00</w:t>
      </w:r>
      <w:r w:rsidRPr="00603CA3">
        <w:t xml:space="preserve"> euros.</w:t>
      </w:r>
    </w:p>
    <w:p w14:paraId="4D8C7378" w14:textId="77777777" w:rsidR="0037322F" w:rsidRPr="00971487" w:rsidRDefault="0037322F" w:rsidP="00671240">
      <w:pPr>
        <w:jc w:val="both"/>
        <w:rPr>
          <w:sz w:val="10"/>
          <w:szCs w:val="10"/>
        </w:rPr>
      </w:pPr>
    </w:p>
    <w:p w14:paraId="1F70C840" w14:textId="71D895A0" w:rsidR="002017D0" w:rsidRPr="00603CA3" w:rsidRDefault="003D2F82" w:rsidP="00671240">
      <w:pPr>
        <w:jc w:val="both"/>
      </w:pPr>
      <w:r>
        <w:t>U</w:t>
      </w:r>
      <w:r w:rsidR="002017D0" w:rsidRPr="00603CA3">
        <w:t xml:space="preserve">ne contrainte ne peut être visée et rendue exécutoire par le </w:t>
      </w:r>
      <w:r w:rsidR="003C0A75">
        <w:t>C</w:t>
      </w:r>
      <w:r w:rsidR="002017D0" w:rsidRPr="00603CA3">
        <w:t xml:space="preserve">ollège communal que si la dette est exigible, liquide et certaine. Ainsi, c’est uniquement lorsque la dette ne répond pas </w:t>
      </w:r>
      <w:r w:rsidR="002017D0" w:rsidRPr="00603CA3">
        <w:lastRenderedPageBreak/>
        <w:t>à ces critères que le recouvrement de la redevance est poursuivi devant les juridictions civiles compétentes. Idéalement les règlements-redevances devraient veiller à prévoir les deux procédures.</w:t>
      </w:r>
    </w:p>
    <w:p w14:paraId="73343CA1" w14:textId="77777777" w:rsidR="0037322F" w:rsidRDefault="0037322F" w:rsidP="00671240">
      <w:pPr>
        <w:jc w:val="both"/>
      </w:pPr>
    </w:p>
    <w:p w14:paraId="44BEEF47" w14:textId="77777777" w:rsidR="002017D0" w:rsidRDefault="002017D0" w:rsidP="00671240">
      <w:pPr>
        <w:jc w:val="both"/>
      </w:pPr>
      <w:r w:rsidRPr="00603CA3">
        <w:t>En conclusion :</w:t>
      </w:r>
    </w:p>
    <w:p w14:paraId="02304D25" w14:textId="77777777" w:rsidR="0037322F" w:rsidRPr="00971487" w:rsidRDefault="0037322F" w:rsidP="00671240">
      <w:pPr>
        <w:jc w:val="both"/>
        <w:rPr>
          <w:sz w:val="10"/>
          <w:szCs w:val="10"/>
        </w:rPr>
      </w:pPr>
    </w:p>
    <w:p w14:paraId="6BEE6130" w14:textId="65BE3933" w:rsidR="002017D0" w:rsidRDefault="002017D0" w:rsidP="00671240">
      <w:pPr>
        <w:jc w:val="both"/>
      </w:pPr>
      <w:r w:rsidRPr="00603CA3">
        <w:t xml:space="preserve">Si une commune souhaite récupérer les frais de la mise en demeure (par pli recommandé) prévue à l’article L1124-40 du </w:t>
      </w:r>
      <w:r w:rsidR="003D2F82">
        <w:t>CDLD</w:t>
      </w:r>
      <w:r w:rsidRPr="00603CA3">
        <w:t xml:space="preserve">, celle-ci devra </w:t>
      </w:r>
      <w:r>
        <w:t>les</w:t>
      </w:r>
      <w:r w:rsidRPr="00603CA3">
        <w:t xml:space="preserve"> prévoir impérativement dans son règlement-redevance.</w:t>
      </w:r>
    </w:p>
    <w:p w14:paraId="3606D0BE" w14:textId="77777777" w:rsidR="0037322F" w:rsidRPr="00971487" w:rsidRDefault="0037322F" w:rsidP="00671240">
      <w:pPr>
        <w:jc w:val="both"/>
        <w:rPr>
          <w:sz w:val="10"/>
          <w:szCs w:val="10"/>
        </w:rPr>
      </w:pPr>
    </w:p>
    <w:p w14:paraId="33136BF2" w14:textId="6125DED2" w:rsidR="002017D0" w:rsidRPr="00474A8F" w:rsidRDefault="002017D0" w:rsidP="00671240">
      <w:pPr>
        <w:jc w:val="both"/>
      </w:pPr>
      <w:r w:rsidRPr="00603CA3">
        <w:t xml:space="preserve">Si une commune souhaite envoyer un autre rappel que la mise en demeure prévue à l’article L1124-40 du </w:t>
      </w:r>
      <w:r w:rsidR="00286880">
        <w:t>CDLD</w:t>
      </w:r>
      <w:r w:rsidRPr="00603CA3">
        <w:t xml:space="preserve"> (par pli simple ou recommandé), elle devra également prévoir le montant de ce ou ces rappel(s) dans le règlement-redevance. </w:t>
      </w:r>
      <w:r w:rsidR="000E5811" w:rsidRPr="00603CA3">
        <w:t>À</w:t>
      </w:r>
      <w:r w:rsidRPr="00603CA3">
        <w:t xml:space="preserve"> ce sujet, les communes sont invitées à faire preuve de modération quant au nombre de rappels envoyés et à leur coût.</w:t>
      </w:r>
    </w:p>
    <w:p w14:paraId="02B407BA" w14:textId="77777777" w:rsidR="00F53CED" w:rsidRDefault="00F53CED" w:rsidP="00671240"/>
    <w:p w14:paraId="4F99296F" w14:textId="06B012B9" w:rsidR="009B153C" w:rsidRPr="00DA6BD2" w:rsidRDefault="004672E1" w:rsidP="00256E9F">
      <w:pPr>
        <w:pStyle w:val="Sam3"/>
      </w:pPr>
      <w:bookmarkStart w:id="4588" w:name="_Toc74557698"/>
      <w:r>
        <w:t>VI.4.</w:t>
      </w:r>
      <w:r w:rsidR="00A51939">
        <w:t xml:space="preserve">12 </w:t>
      </w:r>
      <w:r w:rsidR="00BB13C1">
        <w:t>Réclamation</w:t>
      </w:r>
      <w:r w:rsidR="00043BC1">
        <w:t xml:space="preserve"> </w:t>
      </w:r>
      <w:bookmarkStart w:id="4589" w:name="_Hlk99374711"/>
      <w:r w:rsidR="00043BC1">
        <w:t xml:space="preserve">contre les taxes communales et </w:t>
      </w:r>
      <w:r w:rsidR="000E5811">
        <w:t>ses c</w:t>
      </w:r>
      <w:r w:rsidR="000E5811" w:rsidRPr="00DA6BD2">
        <w:t>onséquences</w:t>
      </w:r>
      <w:r w:rsidR="009B153C" w:rsidRPr="00DA6BD2">
        <w:t xml:space="preserve"> sur le recouvrement</w:t>
      </w:r>
      <w:bookmarkEnd w:id="4549"/>
      <w:bookmarkEnd w:id="4550"/>
      <w:bookmarkEnd w:id="4551"/>
      <w:bookmarkEnd w:id="4588"/>
      <w:bookmarkEnd w:id="4589"/>
    </w:p>
    <w:p w14:paraId="709FE336" w14:textId="6D5E9427" w:rsidR="00043BC1" w:rsidRPr="00043BC1" w:rsidRDefault="00043BC1" w:rsidP="00043BC1">
      <w:pPr>
        <w:spacing w:before="120"/>
        <w:jc w:val="both"/>
        <w:textAlignment w:val="baseline"/>
        <w:rPr>
          <w:rFonts w:eastAsia="Calibri" w:cs="Calibri"/>
        </w:rPr>
      </w:pPr>
      <w:r w:rsidRPr="00043BC1">
        <w:rPr>
          <w:rFonts w:eastAsia="Calibri" w:cs="Calibri"/>
        </w:rPr>
        <w:t>Les articles L3321-12 et L3321-4, § 3, 9°</w:t>
      </w:r>
      <w:r w:rsidR="0042031D" w:rsidRPr="0042031D">
        <w:rPr>
          <w:rFonts w:eastAsia="Calibri" w:cs="Calibri"/>
        </w:rPr>
        <w:t xml:space="preserve"> </w:t>
      </w:r>
      <w:r w:rsidR="0042031D" w:rsidRPr="00043BC1">
        <w:rPr>
          <w:rFonts w:eastAsia="Calibri" w:cs="Calibri"/>
        </w:rPr>
        <w:t>du CDLD</w:t>
      </w:r>
      <w:r w:rsidRPr="00043BC1">
        <w:rPr>
          <w:rFonts w:eastAsia="Calibri" w:cs="Calibri"/>
        </w:rPr>
        <w:t xml:space="preserve"> disposent que :</w:t>
      </w:r>
    </w:p>
    <w:p w14:paraId="40DC721F" w14:textId="058BEBFA" w:rsidR="00043BC1" w:rsidRPr="008D7EB7" w:rsidRDefault="00043BC1" w:rsidP="00043BC1">
      <w:pPr>
        <w:numPr>
          <w:ilvl w:val="0"/>
          <w:numId w:val="100"/>
        </w:numPr>
        <w:spacing w:before="120"/>
        <w:jc w:val="both"/>
        <w:textAlignment w:val="baseline"/>
        <w:rPr>
          <w:rFonts w:eastAsia="Calibri" w:cs="Calibri"/>
        </w:rPr>
      </w:pPr>
      <w:proofErr w:type="gramStart"/>
      <w:r w:rsidRPr="008D7EB7">
        <w:rPr>
          <w:rFonts w:eastAsia="Calibri" w:cs="Calibri"/>
        </w:rPr>
        <w:t>le</w:t>
      </w:r>
      <w:proofErr w:type="gramEnd"/>
      <w:r w:rsidRPr="008D7EB7">
        <w:rPr>
          <w:rFonts w:eastAsia="Calibri" w:cs="Calibri"/>
        </w:rPr>
        <w:t xml:space="preserve"> titre VII, chapitre 7 du Code des impôts sur les revenus (« Voies de recours ») </w:t>
      </w:r>
      <w:r w:rsidR="00A51939">
        <w:rPr>
          <w:rFonts w:eastAsia="Calibri" w:cs="Calibri"/>
        </w:rPr>
        <w:t xml:space="preserve"> </w:t>
      </w:r>
      <w:r w:rsidRPr="008D7EB7">
        <w:rPr>
          <w:rFonts w:eastAsia="Calibri" w:cs="Calibri"/>
        </w:rPr>
        <w:t>s’applique aux impositions locales à la condition qu’elles ne concernent pas spécialement les impôts sur les revenus ;</w:t>
      </w:r>
    </w:p>
    <w:p w14:paraId="6412F17E" w14:textId="77777777" w:rsidR="00043BC1" w:rsidRPr="008D7EB7" w:rsidRDefault="00043BC1" w:rsidP="00043BC1">
      <w:pPr>
        <w:numPr>
          <w:ilvl w:val="0"/>
          <w:numId w:val="100"/>
        </w:numPr>
        <w:spacing w:before="120"/>
        <w:jc w:val="both"/>
        <w:textAlignment w:val="baseline"/>
        <w:rPr>
          <w:rFonts w:eastAsia="Calibri" w:cs="Calibri"/>
        </w:rPr>
      </w:pPr>
      <w:proofErr w:type="gramStart"/>
      <w:r w:rsidRPr="008D7EB7">
        <w:rPr>
          <w:rFonts w:eastAsia="Calibri" w:cs="Calibri"/>
        </w:rPr>
        <w:t>les</w:t>
      </w:r>
      <w:proofErr w:type="gramEnd"/>
      <w:r w:rsidRPr="008D7EB7">
        <w:rPr>
          <w:rFonts w:eastAsia="Calibri" w:cs="Calibri"/>
        </w:rPr>
        <w:t xml:space="preserve"> rôles mentionnent le délai dans lequel le redevable peut introduire une réclamation, la dénomination et l’adresse de l’instance compétente pour la recevoir. </w:t>
      </w:r>
    </w:p>
    <w:p w14:paraId="45C74DA2" w14:textId="1BB20F24" w:rsidR="00043BC1" w:rsidRDefault="00043BC1" w:rsidP="00043BC1">
      <w:pPr>
        <w:spacing w:before="120"/>
        <w:jc w:val="both"/>
        <w:textAlignment w:val="baseline"/>
        <w:rPr>
          <w:rFonts w:eastAsia="Calibri" w:cs="Calibri"/>
        </w:rPr>
      </w:pPr>
      <w:r w:rsidRPr="00043BC1">
        <w:rPr>
          <w:rFonts w:eastAsia="Calibri" w:cs="Calibri"/>
        </w:rPr>
        <w:t>En outre, l'article L 3321-2 du CDLD prévoit que le titre II dudit code, relatif à l'établissement et au recouvrement des taxes communales et provinciales, contenant les dispositions relatives au recours administratif à introduire à leur encontre, ne s'applique pas aux taxes additionnelles aux impôts de l'autorité fédérale ainsi qu’aux taxes additionnelles perçues par la Région wallonne au profit des provinces et des communes.</w:t>
      </w:r>
    </w:p>
    <w:p w14:paraId="18FB9F7D" w14:textId="77777777" w:rsidR="004672E1" w:rsidRDefault="004672E1" w:rsidP="00043BC1">
      <w:pPr>
        <w:spacing w:before="120"/>
        <w:jc w:val="both"/>
        <w:textAlignment w:val="baseline"/>
        <w:rPr>
          <w:rFonts w:eastAsia="Calibri" w:cs="Calibri"/>
        </w:rPr>
      </w:pPr>
    </w:p>
    <w:p w14:paraId="7A0477AB" w14:textId="4B29B361" w:rsidR="00E60819" w:rsidRDefault="00E60819" w:rsidP="008D7EB7">
      <w:pPr>
        <w:pStyle w:val="Sam4"/>
        <w:numPr>
          <w:ilvl w:val="4"/>
          <w:numId w:val="248"/>
        </w:numPr>
        <w:rPr>
          <w:rFonts w:eastAsia="Calibri"/>
        </w:rPr>
      </w:pPr>
      <w:bookmarkStart w:id="4590" w:name="_Toc40185444"/>
      <w:bookmarkStart w:id="4591" w:name="_Toc40186179"/>
      <w:bookmarkStart w:id="4592" w:name="_Hlk102393867"/>
      <w:bookmarkStart w:id="4593" w:name="_Toc74557699"/>
      <w:bookmarkEnd w:id="4590"/>
      <w:bookmarkEnd w:id="4591"/>
      <w:r>
        <w:rPr>
          <w:rFonts w:eastAsia="Calibri"/>
        </w:rPr>
        <w:t>Recours préala</w:t>
      </w:r>
      <w:r w:rsidR="00212CAF">
        <w:rPr>
          <w:rFonts w:eastAsia="Calibri"/>
        </w:rPr>
        <w:t>ble obligatoire au recours judiciaire</w:t>
      </w:r>
    </w:p>
    <w:p w14:paraId="19D35C25" w14:textId="1F0FA3FA" w:rsidR="00212CAF" w:rsidRDefault="00212CAF" w:rsidP="00256E9F">
      <w:pPr>
        <w:pStyle w:val="Sam4"/>
        <w:numPr>
          <w:ilvl w:val="0"/>
          <w:numId w:val="0"/>
        </w:numPr>
        <w:jc w:val="both"/>
        <w:rPr>
          <w:rFonts w:eastAsia="Calibri"/>
          <w:b w:val="0"/>
          <w:bCs/>
          <w:i w:val="0"/>
          <w:iCs/>
          <w:u w:val="none"/>
        </w:rPr>
      </w:pPr>
      <w:bookmarkStart w:id="4594" w:name="_Hlk102393911"/>
      <w:bookmarkEnd w:id="4592"/>
      <w:r>
        <w:rPr>
          <w:rFonts w:eastAsia="Calibri"/>
          <w:b w:val="0"/>
          <w:bCs/>
          <w:i w:val="0"/>
          <w:iCs/>
          <w:u w:val="none"/>
        </w:rPr>
        <w:t>L</w:t>
      </w:r>
      <w:r w:rsidRPr="00256E9F">
        <w:rPr>
          <w:rFonts w:eastAsia="Calibri"/>
          <w:b w:val="0"/>
          <w:bCs/>
          <w:i w:val="0"/>
          <w:iCs/>
          <w:u w:val="none"/>
        </w:rPr>
        <w:t xml:space="preserve">a réclamation introduite devant le collège </w:t>
      </w:r>
      <w:r>
        <w:rPr>
          <w:rFonts w:eastAsia="Calibri"/>
          <w:b w:val="0"/>
          <w:bCs/>
          <w:i w:val="0"/>
          <w:iCs/>
          <w:u w:val="none"/>
        </w:rPr>
        <w:t>communal</w:t>
      </w:r>
      <w:r w:rsidRPr="00256E9F">
        <w:rPr>
          <w:rFonts w:eastAsia="Calibri"/>
          <w:b w:val="0"/>
          <w:bCs/>
          <w:i w:val="0"/>
          <w:iCs/>
          <w:u w:val="none"/>
        </w:rPr>
        <w:t xml:space="preserve"> contre une taxe communale est le préalable </w:t>
      </w:r>
      <w:r>
        <w:rPr>
          <w:rFonts w:eastAsia="Calibri"/>
          <w:b w:val="0"/>
          <w:bCs/>
          <w:i w:val="0"/>
          <w:iCs/>
          <w:u w:val="none"/>
        </w:rPr>
        <w:t xml:space="preserve">obligatoire </w:t>
      </w:r>
      <w:r w:rsidRPr="00256E9F">
        <w:rPr>
          <w:rFonts w:eastAsia="Calibri"/>
          <w:b w:val="0"/>
          <w:bCs/>
          <w:i w:val="0"/>
          <w:iCs/>
          <w:u w:val="none"/>
        </w:rPr>
        <w:t xml:space="preserve">qui rend admissible </w:t>
      </w:r>
      <w:r w:rsidR="00565234">
        <w:rPr>
          <w:rFonts w:eastAsia="Calibri"/>
          <w:b w:val="0"/>
          <w:bCs/>
          <w:i w:val="0"/>
          <w:iCs/>
          <w:u w:val="none"/>
        </w:rPr>
        <w:t>le recours</w:t>
      </w:r>
      <w:r w:rsidRPr="00256E9F">
        <w:rPr>
          <w:rFonts w:eastAsia="Calibri"/>
          <w:b w:val="0"/>
          <w:bCs/>
          <w:i w:val="0"/>
          <w:iCs/>
          <w:u w:val="none"/>
        </w:rPr>
        <w:t xml:space="preserve"> </w:t>
      </w:r>
      <w:r w:rsidR="00565234">
        <w:rPr>
          <w:rFonts w:eastAsia="Calibri"/>
          <w:b w:val="0"/>
          <w:bCs/>
          <w:i w:val="0"/>
          <w:iCs/>
          <w:u w:val="none"/>
        </w:rPr>
        <w:t>judiciaire</w:t>
      </w:r>
      <w:r>
        <w:rPr>
          <w:rFonts w:eastAsia="Calibri"/>
          <w:b w:val="0"/>
          <w:bCs/>
          <w:i w:val="0"/>
          <w:iCs/>
          <w:u w:val="none"/>
        </w:rPr>
        <w:t>.</w:t>
      </w:r>
      <w:r>
        <w:rPr>
          <w:rStyle w:val="Appelnotedebasdep"/>
          <w:rFonts w:eastAsia="Calibri"/>
          <w:b w:val="0"/>
          <w:bCs/>
          <w:i w:val="0"/>
          <w:iCs/>
          <w:u w:val="none"/>
        </w:rPr>
        <w:footnoteReference w:id="97"/>
      </w:r>
    </w:p>
    <w:p w14:paraId="2CD4F63A" w14:textId="00F6E8B0" w:rsidR="00565234" w:rsidRDefault="00565234" w:rsidP="00212CAF">
      <w:pPr>
        <w:pStyle w:val="Sam4"/>
        <w:numPr>
          <w:ilvl w:val="0"/>
          <w:numId w:val="0"/>
        </w:numPr>
        <w:rPr>
          <w:rFonts w:eastAsia="Calibri"/>
          <w:b w:val="0"/>
          <w:bCs/>
          <w:i w:val="0"/>
          <w:iCs/>
          <w:u w:val="none"/>
        </w:rPr>
      </w:pPr>
    </w:p>
    <w:p w14:paraId="1B4964B5" w14:textId="203FC35F" w:rsidR="00565234" w:rsidRDefault="00565234" w:rsidP="00256E9F">
      <w:pPr>
        <w:pStyle w:val="Sam4"/>
        <w:numPr>
          <w:ilvl w:val="0"/>
          <w:numId w:val="0"/>
        </w:numPr>
        <w:jc w:val="both"/>
        <w:rPr>
          <w:rFonts w:eastAsia="Calibri"/>
          <w:b w:val="0"/>
          <w:bCs/>
          <w:i w:val="0"/>
          <w:iCs/>
          <w:u w:val="none"/>
        </w:rPr>
      </w:pPr>
      <w:r>
        <w:rPr>
          <w:rFonts w:eastAsia="Calibri"/>
          <w:b w:val="0"/>
          <w:bCs/>
          <w:i w:val="0"/>
          <w:iCs/>
          <w:u w:val="none"/>
        </w:rPr>
        <w:t xml:space="preserve">Ce préalable obligatoire s’impose et ce, </w:t>
      </w:r>
      <w:r w:rsidRPr="00565234">
        <w:rPr>
          <w:rFonts w:eastAsia="Calibri"/>
          <w:b w:val="0"/>
          <w:bCs/>
          <w:i w:val="0"/>
          <w:iCs/>
          <w:u w:val="none"/>
        </w:rPr>
        <w:t xml:space="preserve">quelle que soit la nature des griefs invoqués contre la cotisation </w:t>
      </w:r>
      <w:r>
        <w:rPr>
          <w:rFonts w:eastAsia="Calibri"/>
          <w:b w:val="0"/>
          <w:bCs/>
          <w:i w:val="0"/>
          <w:iCs/>
          <w:u w:val="none"/>
        </w:rPr>
        <w:t xml:space="preserve">contestée. Ainsi, </w:t>
      </w:r>
      <w:r w:rsidRPr="00565234">
        <w:rPr>
          <w:rFonts w:eastAsia="Calibri"/>
          <w:b w:val="0"/>
          <w:bCs/>
          <w:i w:val="0"/>
          <w:iCs/>
          <w:u w:val="none"/>
        </w:rPr>
        <w:t>un contribuable qui entend ne contester que la légalité du règlement-taxe sur la base duquel la cotisation mise à sa charge a été enrôlée doit introduire une réclamation en bonne et due forme devant le Collège et ce, même si ce dernier n'est pas compétent pour se prononcer sur les griefs invoqués par le contribuable.</w:t>
      </w:r>
    </w:p>
    <w:bookmarkEnd w:id="4594"/>
    <w:p w14:paraId="4936D260" w14:textId="77777777" w:rsidR="00050DD1" w:rsidRDefault="00050DD1" w:rsidP="00212CAF">
      <w:pPr>
        <w:pStyle w:val="Sam4"/>
        <w:numPr>
          <w:ilvl w:val="0"/>
          <w:numId w:val="0"/>
        </w:numPr>
        <w:rPr>
          <w:rFonts w:eastAsia="Calibri"/>
          <w:b w:val="0"/>
          <w:bCs/>
          <w:i w:val="0"/>
          <w:iCs/>
          <w:u w:val="none"/>
        </w:rPr>
      </w:pPr>
    </w:p>
    <w:p w14:paraId="6C386DC0" w14:textId="77777777" w:rsidR="00565234" w:rsidRPr="00256E9F" w:rsidRDefault="00565234" w:rsidP="00256E9F">
      <w:pPr>
        <w:pStyle w:val="Sam4"/>
        <w:numPr>
          <w:ilvl w:val="0"/>
          <w:numId w:val="0"/>
        </w:numPr>
        <w:rPr>
          <w:rFonts w:eastAsia="Calibri"/>
          <w:b w:val="0"/>
          <w:bCs/>
          <w:i w:val="0"/>
          <w:iCs/>
          <w:u w:val="none"/>
        </w:rPr>
      </w:pPr>
    </w:p>
    <w:p w14:paraId="09FA180C" w14:textId="571C76C0" w:rsidR="00043BC1" w:rsidRPr="008D7EB7" w:rsidRDefault="00043BC1" w:rsidP="008D7EB7">
      <w:pPr>
        <w:pStyle w:val="Sam4"/>
        <w:numPr>
          <w:ilvl w:val="4"/>
          <w:numId w:val="248"/>
        </w:numPr>
        <w:rPr>
          <w:rFonts w:eastAsia="Calibri"/>
        </w:rPr>
      </w:pPr>
      <w:r w:rsidRPr="008D7EB7">
        <w:rPr>
          <w:rFonts w:eastAsia="Calibri"/>
        </w:rPr>
        <w:t>Qui peut introduire un recours administratif ?</w:t>
      </w:r>
      <w:bookmarkEnd w:id="4593"/>
    </w:p>
    <w:p w14:paraId="5A792FD1" w14:textId="77777777" w:rsidR="00043BC1" w:rsidRPr="00043BC1" w:rsidRDefault="00043BC1" w:rsidP="00043BC1">
      <w:pPr>
        <w:spacing w:before="120"/>
        <w:jc w:val="both"/>
        <w:textAlignment w:val="baseline"/>
        <w:rPr>
          <w:rFonts w:eastAsia="Calibri" w:cs="Calibri"/>
        </w:rPr>
      </w:pPr>
      <w:r w:rsidRPr="00043BC1">
        <w:rPr>
          <w:rFonts w:eastAsia="Calibri" w:cs="Calibri"/>
        </w:rPr>
        <w:t>Le redevable, ainsi que son conjoint sur les biens duquel l'imposition est mise en recouvrement, peuvent introduire une réclamation contre une taxe communale auprès de l’instance compétente pour la recevoir qui agit en tant qu’autorité administrative.</w:t>
      </w:r>
    </w:p>
    <w:p w14:paraId="762C4C40" w14:textId="5E9EC21C" w:rsidR="00043BC1" w:rsidRPr="00043BC1" w:rsidRDefault="00043BC1" w:rsidP="00043BC1">
      <w:pPr>
        <w:spacing w:before="120"/>
        <w:jc w:val="both"/>
        <w:textAlignment w:val="baseline"/>
        <w:rPr>
          <w:rFonts w:eastAsia="Calibri" w:cs="Calibri"/>
          <w:spacing w:val="-1"/>
        </w:rPr>
      </w:pPr>
      <w:r w:rsidRPr="00043BC1">
        <w:rPr>
          <w:rFonts w:eastAsia="Calibri" w:cs="Calibri"/>
          <w:spacing w:val="-1"/>
        </w:rPr>
        <w:lastRenderedPageBreak/>
        <w:t>La Cour Constitutionnelle a décidé</w:t>
      </w:r>
      <w:r w:rsidR="00FE6EB9">
        <w:rPr>
          <w:rStyle w:val="Appelnotedebasdep"/>
          <w:rFonts w:eastAsia="Calibri" w:cs="Calibri"/>
          <w:spacing w:val="-1"/>
        </w:rPr>
        <w:footnoteReference w:id="98"/>
      </w:r>
      <w:r w:rsidRPr="00043BC1">
        <w:rPr>
          <w:rFonts w:eastAsia="Calibri" w:cs="Calibri"/>
          <w:spacing w:val="-1"/>
        </w:rPr>
        <w:t xml:space="preserve"> qu'il doit être admis que le droit de réclamation en cause est désormais reconnu à toute personne qui peut être tenue au paiement de l'impôt, non seulement en matière d'impôts sur les revenus mais aussi en matière de taxes provinciales et communales. </w:t>
      </w:r>
    </w:p>
    <w:p w14:paraId="1C761F99" w14:textId="77777777" w:rsidR="00043BC1" w:rsidRPr="00043BC1" w:rsidRDefault="00043BC1" w:rsidP="00043BC1">
      <w:pPr>
        <w:spacing w:before="120"/>
        <w:jc w:val="both"/>
        <w:textAlignment w:val="baseline"/>
        <w:rPr>
          <w:rFonts w:eastAsia="Calibri" w:cs="Calibri"/>
          <w:spacing w:val="-1"/>
        </w:rPr>
      </w:pPr>
      <w:r w:rsidRPr="00043BC1">
        <w:rPr>
          <w:rFonts w:eastAsia="Calibri" w:cs="Calibri"/>
          <w:spacing w:val="-1"/>
        </w:rPr>
        <w:t xml:space="preserve">Ainsi, les débiteurs </w:t>
      </w:r>
      <w:r w:rsidRPr="00043BC1">
        <w:rPr>
          <w:rFonts w:eastAsia="Calibri" w:cs="Calibri"/>
        </w:rPr>
        <w:t>solidairement responsables peuvent aussi introduire une réclamation contre la taxe pour laquelle ils sont tenus solidairement.</w:t>
      </w:r>
    </w:p>
    <w:p w14:paraId="7AA6FD3B" w14:textId="04BF5C1B" w:rsidR="00043BC1" w:rsidRDefault="00043BC1" w:rsidP="00043BC1">
      <w:pPr>
        <w:spacing w:before="120"/>
        <w:jc w:val="both"/>
        <w:textAlignment w:val="baseline"/>
        <w:rPr>
          <w:rFonts w:eastAsia="Calibri" w:cs="Calibri"/>
        </w:rPr>
      </w:pPr>
      <w:r w:rsidRPr="00043BC1">
        <w:rPr>
          <w:rFonts w:eastAsia="Calibri" w:cs="Calibri"/>
        </w:rPr>
        <w:t>La réclamation peut également être introduite par un mandataire, pour autant que la preuve du mandat soit fournie à l’Administration, sauf si ce mandataire est un avocat.</w:t>
      </w:r>
    </w:p>
    <w:p w14:paraId="3C3D339A" w14:textId="77777777" w:rsidR="004672E1" w:rsidRPr="006B47EE" w:rsidRDefault="004672E1" w:rsidP="00043BC1">
      <w:pPr>
        <w:spacing w:before="120"/>
        <w:jc w:val="both"/>
        <w:textAlignment w:val="baseline"/>
        <w:rPr>
          <w:rFonts w:eastAsia="Calibri" w:cs="Calibri"/>
          <w:sz w:val="2"/>
          <w:szCs w:val="2"/>
        </w:rPr>
      </w:pPr>
    </w:p>
    <w:p w14:paraId="734DB9AA" w14:textId="77777777" w:rsidR="00043BC1" w:rsidRPr="008D7EB7" w:rsidRDefault="00043BC1" w:rsidP="008D7EB7">
      <w:pPr>
        <w:pStyle w:val="Sam4"/>
        <w:numPr>
          <w:ilvl w:val="4"/>
          <w:numId w:val="248"/>
        </w:numPr>
        <w:rPr>
          <w:rFonts w:eastAsia="Calibri"/>
        </w:rPr>
      </w:pPr>
      <w:bookmarkStart w:id="4595" w:name="_Toc74557700"/>
      <w:r w:rsidRPr="008D7EB7">
        <w:rPr>
          <w:rFonts w:eastAsia="Calibri"/>
        </w:rPr>
        <w:t>Sous quelle forme ?</w:t>
      </w:r>
      <w:bookmarkEnd w:id="4595"/>
    </w:p>
    <w:p w14:paraId="07D8AB11" w14:textId="77777777" w:rsidR="00043BC1" w:rsidRPr="00043BC1" w:rsidRDefault="00043BC1" w:rsidP="00043BC1">
      <w:pPr>
        <w:spacing w:before="120"/>
        <w:jc w:val="both"/>
        <w:textAlignment w:val="baseline"/>
        <w:rPr>
          <w:rFonts w:eastAsia="Calibri" w:cs="Calibri"/>
        </w:rPr>
      </w:pPr>
      <w:r w:rsidRPr="00043BC1">
        <w:rPr>
          <w:rFonts w:eastAsia="Calibri" w:cs="Calibri"/>
        </w:rPr>
        <w:t>L’arrêté royal du 12 avril 1999 déterminant la procédure devant le gouverneur ou devant le collège des bourgmestre et échevins en matière de réclamation contre une imposition provinciale ou communale prévoit que la réclamation doit être datée et signée par le réclamant ou son représentant et mentionner :</w:t>
      </w:r>
    </w:p>
    <w:p w14:paraId="1E276BD7" w14:textId="77777777" w:rsidR="00043BC1" w:rsidRPr="00900C39" w:rsidRDefault="00043BC1" w:rsidP="00043BC1">
      <w:pPr>
        <w:numPr>
          <w:ilvl w:val="0"/>
          <w:numId w:val="101"/>
        </w:numPr>
        <w:spacing w:before="120"/>
        <w:jc w:val="both"/>
        <w:textAlignment w:val="baseline"/>
        <w:rPr>
          <w:rFonts w:eastAsia="Calibri" w:cs="Calibri"/>
        </w:rPr>
      </w:pPr>
      <w:proofErr w:type="gramStart"/>
      <w:r w:rsidRPr="00900C39">
        <w:rPr>
          <w:rFonts w:eastAsia="Calibri" w:cs="Calibri"/>
        </w:rPr>
        <w:t>les</w:t>
      </w:r>
      <w:proofErr w:type="gramEnd"/>
      <w:r w:rsidRPr="00900C39">
        <w:rPr>
          <w:rFonts w:eastAsia="Calibri" w:cs="Calibri"/>
        </w:rPr>
        <w:t xml:space="preserve"> nom, qualité, adresse ou siège du redevable à charge duquel l'imposition est établie ;</w:t>
      </w:r>
    </w:p>
    <w:p w14:paraId="6960E794" w14:textId="77777777" w:rsidR="00043BC1" w:rsidRPr="00900C39" w:rsidRDefault="00043BC1" w:rsidP="00043BC1">
      <w:pPr>
        <w:numPr>
          <w:ilvl w:val="0"/>
          <w:numId w:val="101"/>
        </w:numPr>
        <w:spacing w:before="120"/>
        <w:jc w:val="both"/>
        <w:textAlignment w:val="baseline"/>
        <w:rPr>
          <w:rFonts w:eastAsia="Calibri" w:cs="Calibri"/>
        </w:rPr>
      </w:pPr>
      <w:proofErr w:type="gramStart"/>
      <w:r w:rsidRPr="00900C39">
        <w:rPr>
          <w:rFonts w:eastAsia="Calibri" w:cs="Calibri"/>
        </w:rPr>
        <w:t>l'objet</w:t>
      </w:r>
      <w:proofErr w:type="gramEnd"/>
      <w:r w:rsidRPr="00900C39">
        <w:rPr>
          <w:rFonts w:eastAsia="Calibri" w:cs="Calibri"/>
        </w:rPr>
        <w:t xml:space="preserve"> de la réclamation et un exposé des faits et moyens.</w:t>
      </w:r>
    </w:p>
    <w:p w14:paraId="45A0F5C0" w14:textId="77777777" w:rsidR="00043BC1" w:rsidRPr="00043BC1" w:rsidRDefault="00043BC1" w:rsidP="00043BC1">
      <w:pPr>
        <w:spacing w:before="120"/>
        <w:jc w:val="both"/>
        <w:textAlignment w:val="baseline"/>
        <w:rPr>
          <w:rFonts w:eastAsia="Calibri" w:cs="Calibri"/>
        </w:rPr>
      </w:pPr>
      <w:r w:rsidRPr="00043BC1">
        <w:rPr>
          <w:rFonts w:eastAsia="Calibri" w:cs="Calibri"/>
        </w:rPr>
        <w:t xml:space="preserve">La réclamation </w:t>
      </w:r>
      <w:r w:rsidRPr="00FE6EB9">
        <w:rPr>
          <w:rFonts w:eastAsia="Calibri" w:cs="Calibri"/>
        </w:rPr>
        <w:t>doit être présentée</w:t>
      </w:r>
      <w:r w:rsidRPr="00043BC1">
        <w:rPr>
          <w:rFonts w:eastAsia="Calibri" w:cs="Calibri"/>
        </w:rPr>
        <w:t xml:space="preserve"> par écrit et signée par le redevable ou son mandataire. </w:t>
      </w:r>
    </w:p>
    <w:p w14:paraId="4B00B08C" w14:textId="385109DB" w:rsidR="00043BC1" w:rsidRPr="00043BC1" w:rsidRDefault="00043BC1" w:rsidP="00043BC1">
      <w:pPr>
        <w:spacing w:before="120"/>
        <w:jc w:val="both"/>
        <w:textAlignment w:val="baseline"/>
        <w:rPr>
          <w:rFonts w:eastAsia="Calibri" w:cs="Calibri"/>
        </w:rPr>
      </w:pPr>
      <w:r w:rsidRPr="00043BC1">
        <w:rPr>
          <w:rFonts w:eastAsia="Calibri" w:cs="Calibri"/>
        </w:rPr>
        <w:t xml:space="preserve">La Cour de </w:t>
      </w:r>
      <w:proofErr w:type="gramStart"/>
      <w:r w:rsidRPr="00043BC1">
        <w:rPr>
          <w:rFonts w:eastAsia="Calibri" w:cs="Calibri"/>
        </w:rPr>
        <w:t>Cassation</w:t>
      </w:r>
      <w:proofErr w:type="gramEnd"/>
      <w:r w:rsidR="00FE6EB9">
        <w:rPr>
          <w:rStyle w:val="Appelnotedebasdep"/>
          <w:rFonts w:eastAsia="Calibri" w:cs="Calibri"/>
        </w:rPr>
        <w:footnoteReference w:id="99"/>
      </w:r>
      <w:r w:rsidRPr="00043BC1">
        <w:rPr>
          <w:rFonts w:eastAsia="Calibri" w:cs="Calibri"/>
        </w:rPr>
        <w:t xml:space="preserve"> a précisé que la réclamation écrite est un acte de procédure devant contenir les éléments faisant apparaître sa validité. Afin d’être valable, la réclamation doit être signée. En effet, la signature constitue un élément essentiel de la réclamation.</w:t>
      </w:r>
    </w:p>
    <w:p w14:paraId="7481D6FA" w14:textId="77777777" w:rsidR="00043BC1" w:rsidRPr="00043BC1" w:rsidRDefault="00043BC1" w:rsidP="00043BC1">
      <w:pPr>
        <w:spacing w:before="120"/>
        <w:jc w:val="both"/>
        <w:textAlignment w:val="baseline"/>
        <w:rPr>
          <w:rFonts w:eastAsia="Calibri" w:cs="Calibri"/>
        </w:rPr>
      </w:pPr>
      <w:r w:rsidRPr="00043BC1">
        <w:rPr>
          <w:rFonts w:eastAsia="Calibri" w:cs="Calibri"/>
        </w:rPr>
        <w:t>A cet égard, j’attire l’attention que cette irrégularité ne peut être corrigée après l'expiration du délai de réclamation, lequel est d'ordre public. Autrement dit, cette irrégularité ne peut être corrigée que par la signature de la réclamation endéans le délai de réclamation ou par l'introduction d'une réclamation nouvelle et signée dans le délai de réclamation.</w:t>
      </w:r>
    </w:p>
    <w:p w14:paraId="34213925" w14:textId="03CD7111" w:rsidR="00043BC1" w:rsidRPr="00043BC1" w:rsidRDefault="00043BC1" w:rsidP="00043BC1">
      <w:pPr>
        <w:spacing w:before="120"/>
        <w:jc w:val="both"/>
        <w:textAlignment w:val="baseline"/>
        <w:rPr>
          <w:rFonts w:eastAsia="Calibri" w:cs="Calibri"/>
        </w:rPr>
      </w:pPr>
      <w:r w:rsidRPr="00043BC1">
        <w:rPr>
          <w:rFonts w:eastAsia="Calibri" w:cs="Calibri"/>
        </w:rPr>
        <w:t xml:space="preserve">La réclamation doit être motivée c’est-à-dire contenir les </w:t>
      </w:r>
      <w:r w:rsidRPr="00FE6EB9">
        <w:rPr>
          <w:rFonts w:eastAsia="Calibri" w:cs="Calibri"/>
        </w:rPr>
        <w:t xml:space="preserve">arguments de </w:t>
      </w:r>
      <w:r w:rsidR="008E2608" w:rsidRPr="00FE6EB9">
        <w:rPr>
          <w:rFonts w:eastAsia="Calibri" w:cs="Calibri"/>
        </w:rPr>
        <w:t xml:space="preserve">droit </w:t>
      </w:r>
      <w:r w:rsidRPr="00FE6EB9">
        <w:rPr>
          <w:rFonts w:eastAsia="Calibri" w:cs="Calibri"/>
        </w:rPr>
        <w:t>et</w:t>
      </w:r>
      <w:r w:rsidRPr="00043BC1">
        <w:rPr>
          <w:rFonts w:eastAsia="Calibri" w:cs="Calibri"/>
        </w:rPr>
        <w:t xml:space="preserve"> de fait invoqués par le redevable à l’appui de ses prétentions. </w:t>
      </w:r>
    </w:p>
    <w:p w14:paraId="799A11E3" w14:textId="7B775650" w:rsidR="00043BC1" w:rsidRDefault="00043BC1" w:rsidP="00043BC1">
      <w:pPr>
        <w:spacing w:before="120"/>
        <w:jc w:val="both"/>
        <w:textAlignment w:val="baseline"/>
        <w:rPr>
          <w:rFonts w:eastAsia="Calibri" w:cs="Calibri"/>
        </w:rPr>
      </w:pPr>
      <w:r w:rsidRPr="00043BC1">
        <w:rPr>
          <w:rFonts w:eastAsia="Calibri" w:cs="Calibri"/>
        </w:rPr>
        <w:t>Une réclamation non motivée est irrecevable</w:t>
      </w:r>
      <w:r w:rsidR="00FE6EB9">
        <w:rPr>
          <w:rStyle w:val="Appelnotedebasdep"/>
          <w:rFonts w:eastAsia="Calibri" w:cs="Calibri"/>
        </w:rPr>
        <w:footnoteReference w:id="100"/>
      </w:r>
      <w:r w:rsidRPr="00043BC1">
        <w:rPr>
          <w:rFonts w:eastAsia="Calibri" w:cs="Calibri"/>
        </w:rPr>
        <w:t>.</w:t>
      </w:r>
    </w:p>
    <w:p w14:paraId="04912AE2" w14:textId="77777777" w:rsidR="004672E1" w:rsidRPr="00043BC1" w:rsidRDefault="004672E1" w:rsidP="00043BC1">
      <w:pPr>
        <w:spacing w:before="120"/>
        <w:jc w:val="both"/>
        <w:textAlignment w:val="baseline"/>
        <w:rPr>
          <w:rFonts w:eastAsia="Calibri" w:cs="Calibri"/>
        </w:rPr>
      </w:pPr>
    </w:p>
    <w:p w14:paraId="26AD1C51" w14:textId="77777777" w:rsidR="00043BC1" w:rsidRPr="008D7EB7" w:rsidRDefault="00043BC1" w:rsidP="008D7EB7">
      <w:pPr>
        <w:pStyle w:val="Sam4"/>
        <w:numPr>
          <w:ilvl w:val="4"/>
          <w:numId w:val="248"/>
        </w:numPr>
        <w:rPr>
          <w:rFonts w:eastAsia="Calibri"/>
        </w:rPr>
      </w:pPr>
      <w:bookmarkStart w:id="4596" w:name="_Toc74557701"/>
      <w:r w:rsidRPr="008D7EB7">
        <w:rPr>
          <w:rFonts w:eastAsia="Calibri"/>
        </w:rPr>
        <w:t>Dans quel délai ?</w:t>
      </w:r>
      <w:bookmarkEnd w:id="4596"/>
    </w:p>
    <w:p w14:paraId="5A2403CD" w14:textId="6F213CD2" w:rsidR="00043BC1" w:rsidRDefault="00043BC1" w:rsidP="00043BC1">
      <w:pPr>
        <w:spacing w:before="120"/>
        <w:jc w:val="both"/>
        <w:textAlignment w:val="baseline"/>
        <w:rPr>
          <w:rFonts w:ascii="Verdana" w:eastAsia="Calibri" w:hAnsi="Verdana" w:cs="Calibri"/>
          <w:color w:val="444444"/>
          <w:sz w:val="20"/>
          <w:szCs w:val="20"/>
          <w:shd w:val="clear" w:color="auto" w:fill="FFFFFF"/>
        </w:rPr>
      </w:pPr>
      <w:r w:rsidRPr="00043BC1">
        <w:rPr>
          <w:rFonts w:eastAsia="Calibri" w:cs="Calibri"/>
        </w:rPr>
        <w:t xml:space="preserve">La réclamation doit introduite, sous peine de déchéance, dans un délai de six mois à compter du troisième jour ouvrable qui suit la date d'envoi de l'avertissement-extrait de rôle mentionnant le délai de réclamation, telle qu'elle figure sur ledit avertissement-extrait de rôle, </w:t>
      </w:r>
      <w:r w:rsidRPr="00043BC1">
        <w:rPr>
          <w:rFonts w:ascii="Verdana" w:eastAsia="Calibri" w:hAnsi="Verdana" w:cs="Calibri"/>
          <w:color w:val="444444"/>
          <w:sz w:val="20"/>
          <w:szCs w:val="20"/>
          <w:shd w:val="clear" w:color="auto" w:fill="FFFFFF"/>
        </w:rPr>
        <w:t>ou qui suit la date de l'avis de cotisation ou de la perception des impôts perçus autrement que par rôle.</w:t>
      </w:r>
    </w:p>
    <w:p w14:paraId="69274337" w14:textId="4BBCACD8" w:rsidR="007C3B5A" w:rsidRPr="00043BC1" w:rsidRDefault="007C3B5A" w:rsidP="00043BC1">
      <w:pPr>
        <w:spacing w:before="120"/>
        <w:jc w:val="both"/>
        <w:textAlignment w:val="baseline"/>
        <w:rPr>
          <w:rFonts w:eastAsia="Calibri" w:cs="Calibri"/>
        </w:rPr>
      </w:pPr>
      <w:bookmarkStart w:id="4597" w:name="_Hlk102393965"/>
      <w:r>
        <w:rPr>
          <w:rFonts w:ascii="Verdana" w:eastAsia="Calibri" w:hAnsi="Verdana" w:cs="Calibri"/>
          <w:color w:val="444444"/>
          <w:sz w:val="20"/>
          <w:szCs w:val="20"/>
          <w:shd w:val="clear" w:color="auto" w:fill="FFFFFF"/>
        </w:rPr>
        <w:t xml:space="preserve">Outre le fait de l’irrecevabilité de la réclamation introduite hors délai, le contribuable se voit aussi </w:t>
      </w:r>
      <w:r w:rsidRPr="007C3B5A">
        <w:rPr>
          <w:rFonts w:ascii="Verdana" w:eastAsia="Calibri" w:hAnsi="Verdana" w:cs="Calibri"/>
          <w:color w:val="444444"/>
          <w:sz w:val="20"/>
          <w:szCs w:val="20"/>
          <w:shd w:val="clear" w:color="auto" w:fill="FFFFFF"/>
        </w:rPr>
        <w:t>privé de la possibilité de porter son litige devant les</w:t>
      </w:r>
      <w:r w:rsidRPr="007C3B5A">
        <w:t xml:space="preserve"> </w:t>
      </w:r>
      <w:r w:rsidRPr="007C3B5A">
        <w:rPr>
          <w:rFonts w:ascii="Verdana" w:eastAsia="Calibri" w:hAnsi="Verdana" w:cs="Calibri"/>
          <w:color w:val="444444"/>
          <w:sz w:val="20"/>
          <w:szCs w:val="20"/>
          <w:shd w:val="clear" w:color="auto" w:fill="FFFFFF"/>
        </w:rPr>
        <w:t xml:space="preserve">cours et tribunaux, pourtant seuls compétents pour connaître des griefs de légalité du règlement-taxe sur lequel repose la </w:t>
      </w:r>
      <w:r w:rsidR="00050DD1">
        <w:rPr>
          <w:rFonts w:ascii="Verdana" w:eastAsia="Calibri" w:hAnsi="Verdana" w:cs="Calibri"/>
          <w:color w:val="444444"/>
          <w:sz w:val="20"/>
          <w:szCs w:val="20"/>
          <w:shd w:val="clear" w:color="auto" w:fill="FFFFFF"/>
        </w:rPr>
        <w:t>taxation</w:t>
      </w:r>
      <w:r w:rsidRPr="007C3B5A">
        <w:rPr>
          <w:rFonts w:ascii="Verdana" w:eastAsia="Calibri" w:hAnsi="Verdana" w:cs="Calibri"/>
          <w:color w:val="444444"/>
          <w:sz w:val="20"/>
          <w:szCs w:val="20"/>
          <w:shd w:val="clear" w:color="auto" w:fill="FFFFFF"/>
        </w:rPr>
        <w:t>.</w:t>
      </w:r>
    </w:p>
    <w:bookmarkEnd w:id="4597"/>
    <w:p w14:paraId="32B2A80A" w14:textId="5EA545D4" w:rsidR="00043BC1" w:rsidRDefault="00B752C3" w:rsidP="00043BC1">
      <w:pPr>
        <w:spacing w:before="120"/>
        <w:jc w:val="both"/>
        <w:textAlignment w:val="baseline"/>
        <w:rPr>
          <w:rFonts w:eastAsia="Calibri" w:cs="Calibri"/>
        </w:rPr>
      </w:pPr>
      <w:r>
        <w:rPr>
          <w:rFonts w:eastAsia="Calibri" w:cs="Calibri"/>
        </w:rPr>
        <w:lastRenderedPageBreak/>
        <w:t>Que</w:t>
      </w:r>
      <w:r w:rsidRPr="00043BC1">
        <w:rPr>
          <w:rFonts w:eastAsia="Calibri" w:cs="Calibri"/>
        </w:rPr>
        <w:t xml:space="preserve"> </w:t>
      </w:r>
      <w:r w:rsidR="00043BC1" w:rsidRPr="00043BC1">
        <w:rPr>
          <w:rFonts w:eastAsia="Calibri" w:cs="Calibri"/>
        </w:rPr>
        <w:t xml:space="preserve">la réclamation </w:t>
      </w:r>
      <w:r>
        <w:rPr>
          <w:rFonts w:eastAsia="Calibri" w:cs="Calibri"/>
        </w:rPr>
        <w:t>soit</w:t>
      </w:r>
      <w:r w:rsidRPr="00043BC1">
        <w:rPr>
          <w:rFonts w:eastAsia="Calibri" w:cs="Calibri"/>
        </w:rPr>
        <w:t xml:space="preserve"> </w:t>
      </w:r>
      <w:r w:rsidR="00043BC1" w:rsidRPr="00043BC1">
        <w:rPr>
          <w:rFonts w:eastAsia="Calibri" w:cs="Calibri"/>
        </w:rPr>
        <w:t>introduite par lettre recommandée</w:t>
      </w:r>
      <w:r>
        <w:rPr>
          <w:rFonts w:eastAsia="Calibri" w:cs="Calibri"/>
        </w:rPr>
        <w:t xml:space="preserve"> </w:t>
      </w:r>
      <w:bookmarkStart w:id="4598" w:name="_Hlk102394000"/>
      <w:r>
        <w:rPr>
          <w:rFonts w:eastAsia="Calibri" w:cs="Calibri"/>
        </w:rPr>
        <w:t>ou par lettre simple</w:t>
      </w:r>
      <w:r>
        <w:rPr>
          <w:rStyle w:val="Appelnotedebasdep"/>
          <w:rFonts w:eastAsia="Calibri" w:cs="Calibri"/>
        </w:rPr>
        <w:footnoteReference w:id="101"/>
      </w:r>
      <w:bookmarkEnd w:id="4598"/>
      <w:r w:rsidR="00043BC1" w:rsidRPr="00043BC1">
        <w:rPr>
          <w:rFonts w:eastAsia="Calibri" w:cs="Calibri"/>
        </w:rPr>
        <w:t xml:space="preserve">la date </w:t>
      </w:r>
      <w:bookmarkStart w:id="4601" w:name="_Hlk99374886"/>
      <w:r w:rsidR="00043BC1" w:rsidRPr="00043BC1">
        <w:rPr>
          <w:rFonts w:eastAsia="Calibri" w:cs="Calibri"/>
        </w:rPr>
        <w:t>du cachet de la poste figurant sur la preuve d'envoi</w:t>
      </w:r>
      <w:r w:rsidR="00773A89">
        <w:rPr>
          <w:rFonts w:eastAsia="Calibri" w:cs="Calibri"/>
        </w:rPr>
        <w:t xml:space="preserve"> </w:t>
      </w:r>
      <w:bookmarkStart w:id="4602" w:name="_Hlk102394061"/>
      <w:r w:rsidR="00773A89">
        <w:rPr>
          <w:rFonts w:eastAsia="Calibri" w:cs="Calibri"/>
        </w:rPr>
        <w:t>du recommandé</w:t>
      </w:r>
      <w:r>
        <w:rPr>
          <w:rFonts w:eastAsia="Calibri" w:cs="Calibri"/>
        </w:rPr>
        <w:t xml:space="preserve"> ou sur l’enveloppe</w:t>
      </w:r>
      <w:r w:rsidR="00043BC1" w:rsidRPr="00043BC1">
        <w:rPr>
          <w:rFonts w:eastAsia="Calibri" w:cs="Calibri"/>
        </w:rPr>
        <w:t xml:space="preserve"> </w:t>
      </w:r>
      <w:r w:rsidR="00773A89">
        <w:rPr>
          <w:rFonts w:eastAsia="Calibri" w:cs="Calibri"/>
        </w:rPr>
        <w:t xml:space="preserve">de l’envoi simple </w:t>
      </w:r>
      <w:bookmarkEnd w:id="4602"/>
      <w:r w:rsidR="00043BC1" w:rsidRPr="00043BC1">
        <w:rPr>
          <w:rFonts w:eastAsia="Calibri" w:cs="Calibri"/>
        </w:rPr>
        <w:t>vaut comme date d'introduction.</w:t>
      </w:r>
    </w:p>
    <w:bookmarkEnd w:id="4601"/>
    <w:p w14:paraId="3ED60E0A" w14:textId="7AA5A7CF" w:rsidR="006D3567" w:rsidRPr="00FE6EB9" w:rsidRDefault="006D3567" w:rsidP="00043BC1">
      <w:pPr>
        <w:spacing w:before="120"/>
        <w:jc w:val="both"/>
        <w:textAlignment w:val="baseline"/>
        <w:rPr>
          <w:rFonts w:eastAsia="Calibri" w:cs="Calibri"/>
        </w:rPr>
      </w:pPr>
      <w:r w:rsidRPr="008D7EB7">
        <w:rPr>
          <w:rFonts w:eastAsia="Calibri" w:cs="Calibri"/>
        </w:rPr>
        <w:t>Si la réclamation est remise à l'autorité compétente ou à l'organe qu'elle désigne spécialement à cet effet contre accusé de réception, c’est la date figurant sur le dit accusé qui sera prise en compte.</w:t>
      </w:r>
    </w:p>
    <w:p w14:paraId="7CCFB6B6" w14:textId="77777777" w:rsidR="00043BC1" w:rsidRPr="00043BC1" w:rsidRDefault="00043BC1" w:rsidP="00043BC1">
      <w:pPr>
        <w:spacing w:before="120"/>
        <w:jc w:val="both"/>
        <w:textAlignment w:val="baseline"/>
        <w:rPr>
          <w:rFonts w:eastAsia="Calibri" w:cs="Calibri"/>
        </w:rPr>
      </w:pPr>
      <w:r w:rsidRPr="00043BC1">
        <w:rPr>
          <w:rFonts w:eastAsia="Calibri" w:cs="Calibri"/>
        </w:rPr>
        <w:t xml:space="preserve">En ce qui concerne le conjoint séparé de fait, le délai de réclamation commence à courir le jour où le receveur l’informe, par un avis de cotisation, de son intention de mettre en recouvrement la dette d’impôt établie au nom de l’autre conjoint </w:t>
      </w:r>
      <w:proofErr w:type="gramStart"/>
      <w:r w:rsidRPr="00043BC1">
        <w:rPr>
          <w:rFonts w:eastAsia="Calibri" w:cs="Calibri"/>
        </w:rPr>
        <w:t>séparé</w:t>
      </w:r>
      <w:proofErr w:type="gramEnd"/>
      <w:r w:rsidRPr="00043BC1">
        <w:rPr>
          <w:rFonts w:eastAsia="Calibri" w:cs="Calibri"/>
        </w:rPr>
        <w:t xml:space="preserve"> de fait.</w:t>
      </w:r>
    </w:p>
    <w:p w14:paraId="47A16BBD" w14:textId="77777777" w:rsidR="00043BC1" w:rsidRPr="00043BC1" w:rsidRDefault="00043BC1" w:rsidP="00043BC1">
      <w:pPr>
        <w:spacing w:before="120"/>
        <w:jc w:val="both"/>
        <w:textAlignment w:val="baseline"/>
        <w:rPr>
          <w:rFonts w:eastAsia="Calibri" w:cs="Calibri"/>
        </w:rPr>
      </w:pPr>
      <w:r w:rsidRPr="00043BC1">
        <w:rPr>
          <w:rFonts w:eastAsia="Calibri" w:cs="Calibri"/>
        </w:rPr>
        <w:t>Le redevable peut également introduire une demande de dégrèvement d’office lorsqu’il estime que la « surtaxe » résulte :</w:t>
      </w:r>
    </w:p>
    <w:p w14:paraId="16AF02CF" w14:textId="77777777" w:rsidR="00043BC1" w:rsidRPr="008D7EB7" w:rsidRDefault="00043BC1" w:rsidP="00043BC1">
      <w:pPr>
        <w:numPr>
          <w:ilvl w:val="0"/>
          <w:numId w:val="100"/>
        </w:numPr>
        <w:spacing w:before="120"/>
        <w:jc w:val="both"/>
        <w:textAlignment w:val="baseline"/>
        <w:rPr>
          <w:rFonts w:eastAsia="Calibri" w:cs="Calibri"/>
        </w:rPr>
      </w:pPr>
      <w:proofErr w:type="gramStart"/>
      <w:r w:rsidRPr="008D7EB7">
        <w:rPr>
          <w:rFonts w:eastAsia="Calibri" w:cs="Calibri"/>
        </w:rPr>
        <w:t>d'une</w:t>
      </w:r>
      <w:proofErr w:type="gramEnd"/>
      <w:r w:rsidRPr="008D7EB7">
        <w:rPr>
          <w:rFonts w:eastAsia="Calibri" w:cs="Calibri"/>
        </w:rPr>
        <w:t xml:space="preserve"> erreur matérielle ;</w:t>
      </w:r>
    </w:p>
    <w:p w14:paraId="530B8E2C" w14:textId="77777777" w:rsidR="00043BC1" w:rsidRPr="008D7EB7" w:rsidRDefault="00043BC1" w:rsidP="00043BC1">
      <w:pPr>
        <w:numPr>
          <w:ilvl w:val="0"/>
          <w:numId w:val="100"/>
        </w:numPr>
        <w:spacing w:before="120"/>
        <w:jc w:val="both"/>
        <w:textAlignment w:val="baseline"/>
        <w:rPr>
          <w:rFonts w:eastAsia="Calibri" w:cs="Calibri"/>
        </w:rPr>
      </w:pPr>
      <w:proofErr w:type="gramStart"/>
      <w:r w:rsidRPr="008D7EB7">
        <w:rPr>
          <w:rFonts w:eastAsia="Calibri" w:cs="Calibri"/>
        </w:rPr>
        <w:t>d’un</w:t>
      </w:r>
      <w:proofErr w:type="gramEnd"/>
      <w:r w:rsidRPr="008D7EB7">
        <w:rPr>
          <w:rFonts w:eastAsia="Calibri" w:cs="Calibri"/>
        </w:rPr>
        <w:t xml:space="preserve"> double emploi ;</w:t>
      </w:r>
    </w:p>
    <w:p w14:paraId="7D5A190E" w14:textId="4023A1F1" w:rsidR="00043BC1" w:rsidRPr="008D7EB7" w:rsidRDefault="00043BC1" w:rsidP="00043BC1">
      <w:pPr>
        <w:numPr>
          <w:ilvl w:val="0"/>
          <w:numId w:val="100"/>
        </w:numPr>
        <w:spacing w:before="120"/>
        <w:jc w:val="both"/>
        <w:textAlignment w:val="baseline"/>
        <w:rPr>
          <w:rFonts w:eastAsia="Calibri" w:cs="Calibri"/>
        </w:rPr>
      </w:pPr>
      <w:proofErr w:type="gramStart"/>
      <w:r w:rsidRPr="008D7EB7">
        <w:rPr>
          <w:rFonts w:eastAsia="Calibri" w:cs="Calibri"/>
        </w:rPr>
        <w:t>de</w:t>
      </w:r>
      <w:proofErr w:type="gramEnd"/>
      <w:r w:rsidRPr="008D7EB7">
        <w:rPr>
          <w:rFonts w:eastAsia="Calibri" w:cs="Calibri"/>
        </w:rPr>
        <w:t xml:space="preserve"> « faits nouveaux », dont la production ou l'allégation tardive par le redevable est justifiée par de justes motifs.</w:t>
      </w:r>
    </w:p>
    <w:p w14:paraId="6CFE36D5" w14:textId="77777777" w:rsidR="00D63488" w:rsidRPr="00971487" w:rsidRDefault="00D63488" w:rsidP="00D63488">
      <w:pPr>
        <w:textAlignment w:val="baseline"/>
        <w:rPr>
          <w:rFonts w:eastAsia="Calibri" w:cs="Calibri"/>
          <w:sz w:val="10"/>
          <w:szCs w:val="10"/>
        </w:rPr>
      </w:pPr>
    </w:p>
    <w:p w14:paraId="642B448D" w14:textId="014EE5D8" w:rsidR="00D63488" w:rsidRPr="008D7EB7" w:rsidRDefault="00D63488" w:rsidP="00D63488">
      <w:pPr>
        <w:jc w:val="both"/>
        <w:textAlignment w:val="baseline"/>
        <w:rPr>
          <w:rFonts w:eastAsia="Calibri" w:cs="Calibri"/>
        </w:rPr>
      </w:pPr>
      <w:r w:rsidRPr="00E5589D">
        <w:rPr>
          <w:rFonts w:eastAsia="Calibri" w:cs="Calibri"/>
        </w:rPr>
        <w:t>Pour rappel, l'erreur matérielle visée à l’article 376, § 1</w:t>
      </w:r>
      <w:r w:rsidRPr="00276F16">
        <w:rPr>
          <w:rFonts w:eastAsia="Calibri" w:cs="Calibri"/>
          <w:vertAlign w:val="superscript"/>
        </w:rPr>
        <w:t>er</w:t>
      </w:r>
      <w:r w:rsidRPr="00276F16">
        <w:rPr>
          <w:rFonts w:eastAsia="Calibri" w:cs="Calibri"/>
        </w:rPr>
        <w:t xml:space="preserve"> du code des impôts sur les revenus consiste en une erreur de fait c'est-à dire une erreur commise par inadvertance qui a pour conséquence que la cotisation manque de base légale</w:t>
      </w:r>
      <w:r w:rsidRPr="008D7EB7">
        <w:rPr>
          <w:rStyle w:val="Appelnotedebasdep"/>
          <w:rFonts w:eastAsia="Calibri" w:cs="Calibri"/>
        </w:rPr>
        <w:footnoteReference w:id="102"/>
      </w:r>
      <w:r w:rsidRPr="00E5589D">
        <w:rPr>
          <w:rFonts w:eastAsia="Calibri" w:cs="Calibri"/>
        </w:rPr>
        <w:t>. Elle est étrangère à toute intervention de l'intelligence ou de la volonté</w:t>
      </w:r>
      <w:r w:rsidRPr="00276F16">
        <w:rPr>
          <w:rFonts w:eastAsia="Calibri" w:cs="Calibri"/>
        </w:rPr>
        <w:t xml:space="preserve"> du contribuable ou du fonctionnaire taxateur ainsi qu'à toute appréciation de celui-ci. Elle consiste en erreurs de calcul, erreurs de plume ou autres erreurs grossières, étrangère à toute appréciation juridique de l'</w:t>
      </w:r>
      <w:proofErr w:type="spellStart"/>
      <w:r w:rsidRPr="00276F16">
        <w:rPr>
          <w:rFonts w:eastAsia="Calibri" w:cs="Calibri"/>
        </w:rPr>
        <w:t>imposabilité</w:t>
      </w:r>
      <w:proofErr w:type="spellEnd"/>
      <w:r w:rsidRPr="00276F16">
        <w:rPr>
          <w:rFonts w:eastAsia="Calibri" w:cs="Calibri"/>
        </w:rPr>
        <w:t xml:space="preserve"> du redevable ou de la détermination des bases imposables</w:t>
      </w:r>
      <w:r w:rsidRPr="008D7EB7">
        <w:rPr>
          <w:rStyle w:val="Appelnotedebasdep"/>
          <w:rFonts w:eastAsia="Calibri" w:cs="Calibri"/>
        </w:rPr>
        <w:footnoteReference w:id="103"/>
      </w:r>
      <w:r w:rsidRPr="00E5589D">
        <w:rPr>
          <w:rFonts w:eastAsia="Calibri" w:cs="Calibri"/>
        </w:rPr>
        <w:t xml:space="preserve">. </w:t>
      </w:r>
    </w:p>
    <w:p w14:paraId="4AD440EC" w14:textId="77777777" w:rsidR="00D63488" w:rsidRPr="00971487" w:rsidRDefault="00D63488" w:rsidP="008D7EB7">
      <w:pPr>
        <w:jc w:val="both"/>
        <w:textAlignment w:val="baseline"/>
        <w:rPr>
          <w:rFonts w:eastAsia="Calibri" w:cs="Calibri"/>
          <w:sz w:val="10"/>
          <w:szCs w:val="10"/>
        </w:rPr>
      </w:pPr>
    </w:p>
    <w:p w14:paraId="6AF1AEFC" w14:textId="6F8A8AED" w:rsidR="00D63488" w:rsidRPr="008D7EB7" w:rsidRDefault="00D63488" w:rsidP="00D63488">
      <w:pPr>
        <w:jc w:val="both"/>
        <w:textAlignment w:val="baseline"/>
        <w:rPr>
          <w:rFonts w:eastAsia="Calibri" w:cs="Calibri"/>
        </w:rPr>
      </w:pPr>
      <w:r w:rsidRPr="00276F16">
        <w:rPr>
          <w:rFonts w:eastAsia="Calibri" w:cs="Calibri"/>
        </w:rPr>
        <w:t>Ainsi, l’erreur matérielle au sens de la loi est une erreur dont l’origine réside dans une négligence, une distraction ou une inattention du fonctionnaire taxateur ou du contribuable</w:t>
      </w:r>
      <w:r w:rsidRPr="008D7EB7">
        <w:rPr>
          <w:rStyle w:val="Appelnotedebasdep"/>
          <w:rFonts w:eastAsia="Calibri" w:cs="Calibri"/>
        </w:rPr>
        <w:footnoteReference w:id="104"/>
      </w:r>
      <w:r w:rsidRPr="00E5589D">
        <w:rPr>
          <w:rFonts w:eastAsia="Calibri" w:cs="Calibri"/>
        </w:rPr>
        <w:t xml:space="preserve">. </w:t>
      </w:r>
    </w:p>
    <w:p w14:paraId="3100A88D" w14:textId="77777777" w:rsidR="00D63488" w:rsidRPr="00971487" w:rsidRDefault="00D63488" w:rsidP="008D7EB7">
      <w:pPr>
        <w:jc w:val="both"/>
        <w:textAlignment w:val="baseline"/>
        <w:rPr>
          <w:rFonts w:eastAsia="Calibri" w:cs="Calibri"/>
          <w:sz w:val="10"/>
          <w:szCs w:val="10"/>
        </w:rPr>
      </w:pPr>
    </w:p>
    <w:p w14:paraId="20AB6CF5" w14:textId="77777777" w:rsidR="00FE6EB9" w:rsidRDefault="00D63488">
      <w:pPr>
        <w:jc w:val="both"/>
        <w:textAlignment w:val="baseline"/>
        <w:rPr>
          <w:rFonts w:eastAsia="Calibri" w:cs="Calibri"/>
        </w:rPr>
      </w:pPr>
      <w:r w:rsidRPr="00E5589D">
        <w:rPr>
          <w:rFonts w:eastAsia="Calibri" w:cs="Calibri"/>
        </w:rPr>
        <w:t xml:space="preserve">L’erreur matérielle ne doit </w:t>
      </w:r>
      <w:r w:rsidRPr="00276F16">
        <w:rPr>
          <w:rFonts w:eastAsia="Calibri" w:cs="Calibri"/>
        </w:rPr>
        <w:t>donc pas être confondue avec l’erreur de droit qui suppose une interprétation ou une appréciation incorrecte — volontairement ou par ignorance — de la loi fiscale</w:t>
      </w:r>
      <w:r w:rsidRPr="008D7EB7">
        <w:rPr>
          <w:rStyle w:val="Appelnotedebasdep"/>
          <w:rFonts w:eastAsia="Calibri" w:cs="Calibri"/>
        </w:rPr>
        <w:footnoteReference w:id="105"/>
      </w:r>
      <w:r w:rsidRPr="00E5589D">
        <w:rPr>
          <w:rFonts w:eastAsia="Calibri" w:cs="Calibri"/>
        </w:rPr>
        <w:t xml:space="preserve">. </w:t>
      </w:r>
    </w:p>
    <w:p w14:paraId="1D0578A2" w14:textId="77777777" w:rsidR="00FE6EB9" w:rsidRPr="00971487" w:rsidRDefault="00FE6EB9">
      <w:pPr>
        <w:jc w:val="both"/>
        <w:textAlignment w:val="baseline"/>
        <w:rPr>
          <w:rFonts w:eastAsia="Calibri" w:cs="Calibri"/>
          <w:sz w:val="10"/>
          <w:szCs w:val="10"/>
        </w:rPr>
      </w:pPr>
    </w:p>
    <w:p w14:paraId="3A7F669F" w14:textId="6B7FB311" w:rsidR="00D63488" w:rsidRPr="00276F16" w:rsidRDefault="00D63488" w:rsidP="008D7EB7">
      <w:pPr>
        <w:jc w:val="both"/>
        <w:textAlignment w:val="baseline"/>
        <w:rPr>
          <w:rFonts w:eastAsia="Calibri" w:cs="Calibri"/>
        </w:rPr>
      </w:pPr>
      <w:r w:rsidRPr="00E5589D">
        <w:rPr>
          <w:rFonts w:eastAsia="Calibri" w:cs="Calibri"/>
        </w:rPr>
        <w:t>L’erreur de droit est de nature intellectuelle car elle suppose un raisonnement, une int</w:t>
      </w:r>
      <w:r w:rsidRPr="00276F16">
        <w:rPr>
          <w:rFonts w:eastAsia="Calibri" w:cs="Calibri"/>
        </w:rPr>
        <w:t>erprétation ou une simple appréciation soit d’éléments de fait, soit d'une disposition légale</w:t>
      </w:r>
      <w:r w:rsidRPr="008D7EB7">
        <w:rPr>
          <w:rStyle w:val="Appelnotedebasdep"/>
          <w:rFonts w:eastAsia="Calibri" w:cs="Calibri"/>
        </w:rPr>
        <w:footnoteReference w:id="106"/>
      </w:r>
      <w:r w:rsidRPr="00E5589D">
        <w:rPr>
          <w:rFonts w:eastAsia="Calibri" w:cs="Calibri"/>
        </w:rPr>
        <w:t>. Elle est née d’une fausse opinion du contribuable ou du fonctionnaire instructeur au sujet du principe ou du calcul de l'impôt</w:t>
      </w:r>
      <w:r w:rsidRPr="008D7EB7">
        <w:rPr>
          <w:rStyle w:val="Appelnotedebasdep"/>
          <w:rFonts w:eastAsia="Calibri" w:cs="Calibri"/>
        </w:rPr>
        <w:footnoteReference w:id="107"/>
      </w:r>
      <w:r w:rsidRPr="00E5589D">
        <w:rPr>
          <w:rFonts w:eastAsia="Calibri" w:cs="Calibri"/>
        </w:rPr>
        <w:t>.</w:t>
      </w:r>
    </w:p>
    <w:p w14:paraId="570AA74C" w14:textId="77777777" w:rsidR="00D63488" w:rsidRPr="00971487" w:rsidRDefault="00D63488" w:rsidP="00D63488">
      <w:pPr>
        <w:jc w:val="both"/>
        <w:textAlignment w:val="baseline"/>
        <w:rPr>
          <w:rFonts w:eastAsia="Calibri" w:cs="Calibri"/>
          <w:sz w:val="10"/>
          <w:szCs w:val="10"/>
        </w:rPr>
      </w:pPr>
    </w:p>
    <w:p w14:paraId="4490B695" w14:textId="4BCB7314" w:rsidR="00D63488" w:rsidRPr="00493337" w:rsidRDefault="00D63488" w:rsidP="008D7EB7">
      <w:pPr>
        <w:jc w:val="both"/>
        <w:textAlignment w:val="baseline"/>
        <w:rPr>
          <w:rFonts w:eastAsia="Calibri" w:cs="Calibri"/>
        </w:rPr>
      </w:pPr>
      <w:r w:rsidRPr="00FD06D8">
        <w:rPr>
          <w:rFonts w:eastAsia="Calibri" w:cs="Calibri"/>
        </w:rPr>
        <w:lastRenderedPageBreak/>
        <w:t>Cette « surtaxe » doit êt</w:t>
      </w:r>
      <w:r w:rsidRPr="00493337">
        <w:rPr>
          <w:rFonts w:eastAsia="Calibri" w:cs="Calibri"/>
        </w:rPr>
        <w:t>re signalée par le redevable dans les cinq ans à partir du 1</w:t>
      </w:r>
      <w:r w:rsidRPr="00493337">
        <w:rPr>
          <w:rFonts w:eastAsia="Calibri" w:cs="Calibri"/>
          <w:vertAlign w:val="superscript"/>
        </w:rPr>
        <w:t>er</w:t>
      </w:r>
      <w:r w:rsidRPr="00493337">
        <w:rPr>
          <w:rFonts w:eastAsia="Calibri" w:cs="Calibri"/>
        </w:rPr>
        <w:t xml:space="preserve"> janvier de l'année au cours de laquelle l'impôt a été établi.</w:t>
      </w:r>
    </w:p>
    <w:p w14:paraId="04801D95" w14:textId="400B0A00" w:rsidR="00043BC1" w:rsidRDefault="00043BC1">
      <w:pPr>
        <w:spacing w:before="120"/>
        <w:jc w:val="both"/>
        <w:textAlignment w:val="baseline"/>
        <w:rPr>
          <w:rFonts w:eastAsia="Calibri" w:cs="Calibri"/>
        </w:rPr>
      </w:pPr>
      <w:r w:rsidRPr="00043BC1">
        <w:rPr>
          <w:rFonts w:eastAsia="Calibri" w:cs="Calibri"/>
        </w:rPr>
        <w:t>Cette « surtaxe » doit être signalée par le redevable dans les cinq ans à partir du 1</w:t>
      </w:r>
      <w:r w:rsidRPr="00043BC1">
        <w:rPr>
          <w:rFonts w:eastAsia="Calibri" w:cs="Calibri"/>
          <w:vertAlign w:val="superscript"/>
        </w:rPr>
        <w:t>er</w:t>
      </w:r>
      <w:r w:rsidRPr="00043BC1">
        <w:rPr>
          <w:rFonts w:eastAsia="Calibri" w:cs="Calibri"/>
        </w:rPr>
        <w:t xml:space="preserve"> janvier de l'année au cours de laquelle l'impôt a été établi.</w:t>
      </w:r>
    </w:p>
    <w:p w14:paraId="028B7912" w14:textId="77777777" w:rsidR="00453CB4" w:rsidRPr="00954869" w:rsidRDefault="00453CB4">
      <w:pPr>
        <w:spacing w:before="120"/>
        <w:jc w:val="both"/>
        <w:textAlignment w:val="baseline"/>
        <w:rPr>
          <w:rFonts w:eastAsia="Calibri" w:cs="Calibri"/>
          <w:sz w:val="10"/>
          <w:szCs w:val="10"/>
        </w:rPr>
      </w:pPr>
    </w:p>
    <w:p w14:paraId="41FB9B65" w14:textId="77777777" w:rsidR="00043BC1" w:rsidRPr="008D7EB7" w:rsidRDefault="00043BC1" w:rsidP="008D7EB7">
      <w:pPr>
        <w:pStyle w:val="Sam4"/>
        <w:numPr>
          <w:ilvl w:val="4"/>
          <w:numId w:val="248"/>
        </w:numPr>
        <w:rPr>
          <w:rFonts w:eastAsia="Calibri"/>
        </w:rPr>
      </w:pPr>
      <w:bookmarkStart w:id="4605" w:name="_Toc74557702"/>
      <w:bookmarkStart w:id="4606" w:name="_Hlk101784938"/>
      <w:r w:rsidRPr="008D7EB7">
        <w:rPr>
          <w:rFonts w:eastAsia="Calibri"/>
        </w:rPr>
        <w:t>Auprès de qui ?</w:t>
      </w:r>
      <w:bookmarkEnd w:id="4605"/>
    </w:p>
    <w:bookmarkEnd w:id="4606"/>
    <w:p w14:paraId="6C85495B" w14:textId="76D9FCD5" w:rsidR="00043BC1" w:rsidRDefault="00043BC1" w:rsidP="00043BC1">
      <w:pPr>
        <w:spacing w:before="120"/>
        <w:jc w:val="both"/>
        <w:textAlignment w:val="baseline"/>
        <w:rPr>
          <w:rFonts w:asciiTheme="minorHAnsi" w:eastAsia="Calibri" w:hAnsiTheme="minorHAnsi" w:cstheme="minorHAnsi"/>
        </w:rPr>
      </w:pPr>
      <w:r w:rsidRPr="00256E9F">
        <w:rPr>
          <w:rFonts w:asciiTheme="minorHAnsi" w:eastAsia="Calibri" w:hAnsiTheme="minorHAnsi" w:cstheme="minorHAnsi"/>
        </w:rPr>
        <w:t>L’article L3321-9 stipule que le redevable peut introduire une réclamation contre une taxe communale auprès du collège communal, qui agit en tant qu’autorité administrative.</w:t>
      </w:r>
    </w:p>
    <w:p w14:paraId="23C57170" w14:textId="77777777" w:rsidR="007C3B5A" w:rsidRPr="00954869" w:rsidRDefault="007C3B5A" w:rsidP="00043BC1">
      <w:pPr>
        <w:spacing w:before="120"/>
        <w:jc w:val="both"/>
        <w:textAlignment w:val="baseline"/>
        <w:rPr>
          <w:rFonts w:asciiTheme="minorHAnsi" w:eastAsia="Calibri" w:hAnsiTheme="minorHAnsi" w:cstheme="minorHAnsi"/>
          <w:sz w:val="10"/>
          <w:szCs w:val="10"/>
        </w:rPr>
      </w:pPr>
    </w:p>
    <w:p w14:paraId="72AB6745" w14:textId="6784DD0D" w:rsidR="007C3B5A" w:rsidRPr="008D7EB7" w:rsidRDefault="007C3B5A" w:rsidP="007C3B5A">
      <w:pPr>
        <w:pStyle w:val="Sam4"/>
        <w:numPr>
          <w:ilvl w:val="4"/>
          <w:numId w:val="248"/>
        </w:numPr>
        <w:rPr>
          <w:rFonts w:eastAsia="Calibri"/>
        </w:rPr>
      </w:pPr>
      <w:bookmarkStart w:id="4607" w:name="_Hlk102394165"/>
      <w:r>
        <w:rPr>
          <w:rFonts w:eastAsia="Calibri"/>
        </w:rPr>
        <w:t>Limite du pouvoir en tant qu’autorité administrative</w:t>
      </w:r>
      <w:r w:rsidRPr="008D7EB7">
        <w:rPr>
          <w:rFonts w:eastAsia="Calibri"/>
        </w:rPr>
        <w:t> ?</w:t>
      </w:r>
    </w:p>
    <w:p w14:paraId="43DCD13C" w14:textId="6686ABB6" w:rsidR="00565234" w:rsidRPr="00256E9F" w:rsidRDefault="00565234" w:rsidP="00043BC1">
      <w:pPr>
        <w:spacing w:before="120"/>
        <w:jc w:val="both"/>
        <w:textAlignment w:val="baseline"/>
        <w:rPr>
          <w:rFonts w:asciiTheme="minorHAnsi" w:eastAsia="Tahoma" w:hAnsiTheme="minorHAnsi" w:cstheme="minorHAnsi"/>
          <w:color w:val="000000"/>
          <w:spacing w:val="4"/>
        </w:rPr>
      </w:pPr>
      <w:bookmarkStart w:id="4608" w:name="_Hlk102394193"/>
      <w:bookmarkEnd w:id="4607"/>
      <w:r w:rsidRPr="00256E9F">
        <w:rPr>
          <w:rFonts w:asciiTheme="minorHAnsi" w:eastAsia="Tahoma" w:hAnsiTheme="minorHAnsi" w:cstheme="minorHAnsi"/>
          <w:color w:val="000000"/>
          <w:spacing w:val="4"/>
        </w:rPr>
        <w:t>De ce statut d’autorité administrative du collège, il en découle que :</w:t>
      </w:r>
    </w:p>
    <w:p w14:paraId="64429608" w14:textId="45C373C9" w:rsidR="00565234" w:rsidRPr="00256E9F" w:rsidRDefault="00565234" w:rsidP="00565234">
      <w:pPr>
        <w:pStyle w:val="Paragraphedeliste"/>
        <w:numPr>
          <w:ilvl w:val="0"/>
          <w:numId w:val="305"/>
        </w:numPr>
        <w:spacing w:before="120"/>
        <w:jc w:val="both"/>
        <w:textAlignment w:val="baseline"/>
        <w:rPr>
          <w:rFonts w:asciiTheme="minorHAnsi" w:eastAsia="Calibri" w:hAnsiTheme="minorHAnsi" w:cstheme="minorHAnsi"/>
        </w:rPr>
      </w:pPr>
      <w:r w:rsidRPr="00256E9F">
        <w:rPr>
          <w:rFonts w:asciiTheme="minorHAnsi" w:eastAsia="Tahoma" w:hAnsiTheme="minorHAnsi" w:cstheme="minorHAnsi"/>
          <w:color w:val="000000"/>
          <w:spacing w:val="4"/>
        </w:rPr>
        <w:t xml:space="preserve"> </w:t>
      </w:r>
      <w:r w:rsidR="007C3B5A" w:rsidRPr="00256E9F">
        <w:rPr>
          <w:rFonts w:asciiTheme="minorHAnsi" w:eastAsia="Tahoma" w:hAnsiTheme="minorHAnsi" w:cstheme="minorHAnsi"/>
          <w:color w:val="000000"/>
          <w:spacing w:val="4"/>
        </w:rPr>
        <w:t>L</w:t>
      </w:r>
      <w:r w:rsidRPr="00256E9F">
        <w:rPr>
          <w:rFonts w:asciiTheme="minorHAnsi" w:eastAsia="Tahoma" w:hAnsiTheme="minorHAnsi" w:cstheme="minorHAnsi"/>
          <w:color w:val="000000"/>
          <w:spacing w:val="4"/>
        </w:rPr>
        <w:t>e Collège devait uniquement vérifier si l'imposition individuelle est conforme aux lois, aux règlements fiscaux communaux, ensuite aux dispositions de la loi du 24 décembre 1996 et finale</w:t>
      </w:r>
      <w:r w:rsidRPr="00256E9F">
        <w:rPr>
          <w:rFonts w:asciiTheme="minorHAnsi" w:eastAsia="Tahoma" w:hAnsiTheme="minorHAnsi" w:cstheme="minorHAnsi"/>
          <w:color w:val="000000"/>
          <w:spacing w:val="4"/>
        </w:rPr>
        <w:softHyphen/>
        <w:t>ment à toutes les autres dispositions normatives que l'administration locale doit respecter</w:t>
      </w:r>
      <w:r w:rsidRPr="00256E9F">
        <w:rPr>
          <w:rStyle w:val="Appelnotedebasdep"/>
          <w:rFonts w:asciiTheme="minorHAnsi" w:eastAsia="Tahoma" w:hAnsiTheme="minorHAnsi" w:cstheme="minorHAnsi"/>
          <w:color w:val="000000"/>
          <w:spacing w:val="4"/>
        </w:rPr>
        <w:footnoteReference w:id="108"/>
      </w:r>
    </w:p>
    <w:p w14:paraId="6DDEE589" w14:textId="3C5A880D" w:rsidR="007C3B5A" w:rsidRPr="00256E9F" w:rsidRDefault="007C3B5A" w:rsidP="00565234">
      <w:pPr>
        <w:pStyle w:val="Paragraphedeliste"/>
        <w:numPr>
          <w:ilvl w:val="0"/>
          <w:numId w:val="305"/>
        </w:numPr>
        <w:spacing w:before="120"/>
        <w:jc w:val="both"/>
        <w:textAlignment w:val="baseline"/>
        <w:rPr>
          <w:rFonts w:asciiTheme="minorHAnsi" w:eastAsia="Calibri" w:hAnsiTheme="minorHAnsi" w:cstheme="minorHAnsi"/>
        </w:rPr>
      </w:pPr>
      <w:r w:rsidRPr="00256E9F">
        <w:rPr>
          <w:rFonts w:asciiTheme="minorHAnsi" w:eastAsia="Tahoma" w:hAnsiTheme="minorHAnsi" w:cstheme="minorHAnsi"/>
          <w:color w:val="000000"/>
          <w:spacing w:val="4"/>
        </w:rPr>
        <w:t>Le Collège devait vérifier l'exactitude du montant réclamé au contribuable,</w:t>
      </w:r>
    </w:p>
    <w:p w14:paraId="79772BFE" w14:textId="278A752E" w:rsidR="007C3B5A" w:rsidRPr="00256E9F" w:rsidRDefault="007C3B5A" w:rsidP="00256E9F">
      <w:pPr>
        <w:pStyle w:val="Paragraphedeliste"/>
        <w:numPr>
          <w:ilvl w:val="0"/>
          <w:numId w:val="305"/>
        </w:numPr>
        <w:spacing w:before="120"/>
        <w:jc w:val="both"/>
        <w:textAlignment w:val="baseline"/>
        <w:rPr>
          <w:rFonts w:asciiTheme="minorHAnsi" w:eastAsia="Calibri" w:hAnsiTheme="minorHAnsi" w:cstheme="minorHAnsi"/>
        </w:rPr>
      </w:pPr>
      <w:r w:rsidRPr="00256E9F">
        <w:rPr>
          <w:rFonts w:asciiTheme="minorHAnsi" w:eastAsia="Calibri" w:hAnsiTheme="minorHAnsi" w:cstheme="minorHAnsi"/>
        </w:rPr>
        <w:t xml:space="preserve">Le Collège ne peut </w:t>
      </w:r>
      <w:proofErr w:type="gramStart"/>
      <w:r w:rsidRPr="00256E9F">
        <w:rPr>
          <w:rFonts w:asciiTheme="minorHAnsi" w:eastAsia="Calibri" w:hAnsiTheme="minorHAnsi" w:cstheme="minorHAnsi"/>
        </w:rPr>
        <w:t>par contre</w:t>
      </w:r>
      <w:proofErr w:type="gramEnd"/>
      <w:r w:rsidRPr="00256E9F">
        <w:rPr>
          <w:rFonts w:asciiTheme="minorHAnsi" w:eastAsia="Calibri" w:hAnsiTheme="minorHAnsi" w:cstheme="minorHAnsi"/>
        </w:rPr>
        <w:t xml:space="preserve"> pas contrôler la conformité du règlement-taxe communal ou provincial lui-même au regard de toutes lois, décrets, ordonnances, règlements provinciaux et communaux.</w:t>
      </w:r>
    </w:p>
    <w:bookmarkEnd w:id="4608"/>
    <w:p w14:paraId="5255E1A3" w14:textId="77777777" w:rsidR="007C3B5A" w:rsidRPr="00954869" w:rsidRDefault="007C3B5A" w:rsidP="00043BC1">
      <w:pPr>
        <w:spacing w:before="120"/>
        <w:jc w:val="both"/>
        <w:textAlignment w:val="baseline"/>
        <w:rPr>
          <w:rFonts w:eastAsia="Calibri" w:cs="Calibri"/>
          <w:sz w:val="10"/>
          <w:szCs w:val="10"/>
        </w:rPr>
      </w:pPr>
    </w:p>
    <w:p w14:paraId="505C15D4" w14:textId="77777777" w:rsidR="00043BC1" w:rsidRPr="008D7EB7" w:rsidRDefault="00043BC1" w:rsidP="007C3B5A">
      <w:pPr>
        <w:pStyle w:val="Sam4"/>
        <w:numPr>
          <w:ilvl w:val="4"/>
          <w:numId w:val="248"/>
        </w:numPr>
        <w:rPr>
          <w:rFonts w:eastAsia="Calibri"/>
        </w:rPr>
      </w:pPr>
      <w:bookmarkStart w:id="4609" w:name="_Toc74557703"/>
      <w:r w:rsidRPr="008D7EB7">
        <w:rPr>
          <w:rFonts w:eastAsia="Calibri"/>
        </w:rPr>
        <w:t>Accusé de réception</w:t>
      </w:r>
      <w:bookmarkEnd w:id="4609"/>
    </w:p>
    <w:p w14:paraId="77BE43E6" w14:textId="77777777" w:rsidR="00043BC1" w:rsidRPr="00043BC1" w:rsidRDefault="00043BC1" w:rsidP="00043BC1">
      <w:pPr>
        <w:spacing w:before="120"/>
        <w:jc w:val="both"/>
        <w:textAlignment w:val="baseline"/>
        <w:rPr>
          <w:rFonts w:eastAsia="Calibri" w:cs="Calibri"/>
        </w:rPr>
      </w:pPr>
      <w:r w:rsidRPr="00043BC1">
        <w:rPr>
          <w:rFonts w:eastAsia="Calibri" w:cs="Calibri"/>
        </w:rPr>
        <w:t>L'autorité compétente ou l'organe qu'elle désigne spécialement à cet effet accuse réception par écrit dans les huit jours de l'envoi de la réclamation.</w:t>
      </w:r>
    </w:p>
    <w:p w14:paraId="593FBF3F" w14:textId="77777777" w:rsidR="00043BC1" w:rsidRPr="00043BC1" w:rsidRDefault="00043BC1" w:rsidP="00043BC1">
      <w:pPr>
        <w:spacing w:before="120"/>
        <w:jc w:val="both"/>
        <w:textAlignment w:val="baseline"/>
        <w:rPr>
          <w:rFonts w:eastAsia="Calibri" w:cs="Calibri"/>
        </w:rPr>
      </w:pPr>
      <w:r w:rsidRPr="00043BC1">
        <w:rPr>
          <w:rFonts w:eastAsia="Calibri" w:cs="Calibri"/>
        </w:rPr>
        <w:t>Cet accusé de réception doit reprendre la date de réception de la réclamation. Cette date correspond à celle à laquelle l’instance compétente reçoit la réclamation.</w:t>
      </w:r>
    </w:p>
    <w:p w14:paraId="7D98B4EA" w14:textId="374031EC" w:rsidR="00043BC1" w:rsidRPr="00043BC1" w:rsidRDefault="00043BC1" w:rsidP="00043BC1">
      <w:pPr>
        <w:spacing w:before="120"/>
        <w:jc w:val="both"/>
        <w:textAlignment w:val="baseline"/>
        <w:rPr>
          <w:rFonts w:eastAsia="Calibri" w:cs="Calibri"/>
        </w:rPr>
      </w:pPr>
      <w:r w:rsidRPr="00043BC1">
        <w:rPr>
          <w:rFonts w:eastAsia="Calibri" w:cs="Calibri"/>
        </w:rPr>
        <w:t>Je tiens à vous signaler que la date de réception de la réclamation constitue le point de départ du délai d’attente de six ou neuf (procédure d’imposition d’office) mois avant l’</w:t>
      </w:r>
      <w:proofErr w:type="spellStart"/>
      <w:r w:rsidRPr="00043BC1">
        <w:rPr>
          <w:rFonts w:eastAsia="Calibri" w:cs="Calibri"/>
        </w:rPr>
        <w:t>intentement</w:t>
      </w:r>
      <w:proofErr w:type="spellEnd"/>
      <w:r w:rsidRPr="00043BC1">
        <w:rPr>
          <w:rFonts w:eastAsia="Calibri" w:cs="Calibri"/>
        </w:rPr>
        <w:t xml:space="preserve"> d’une action devant les tribunaux de première instance</w:t>
      </w:r>
      <w:r w:rsidR="00FE6EB9">
        <w:rPr>
          <w:rStyle w:val="Appelnotedebasdep"/>
          <w:rFonts w:eastAsia="Calibri" w:cs="Calibri"/>
        </w:rPr>
        <w:footnoteReference w:id="109"/>
      </w:r>
      <w:r w:rsidRPr="00043BC1">
        <w:rPr>
          <w:rFonts w:eastAsia="Calibri" w:cs="Calibri"/>
        </w:rPr>
        <w:t xml:space="preserve">. </w:t>
      </w:r>
    </w:p>
    <w:p w14:paraId="66617DD3" w14:textId="34C7EEEC" w:rsidR="00043BC1" w:rsidRDefault="00043BC1" w:rsidP="00043BC1">
      <w:pPr>
        <w:spacing w:before="120"/>
        <w:jc w:val="both"/>
        <w:textAlignment w:val="baseline"/>
        <w:rPr>
          <w:rFonts w:eastAsia="Calibri" w:cs="Calibri"/>
        </w:rPr>
      </w:pPr>
      <w:r w:rsidRPr="00043BC1">
        <w:rPr>
          <w:rFonts w:eastAsia="Calibri" w:cs="Calibri"/>
        </w:rPr>
        <w:t>De même, si la décision n’a pas été notifiée dans les six mois de l’introduction de la réclamation, l’intérêt de retard n’est plus dû, à partir du 7ème mois suivant cette date, sur la partie de l’impôt qui excède le montant immédiatement dû</w:t>
      </w:r>
      <w:r w:rsidR="00FE6EB9">
        <w:rPr>
          <w:rStyle w:val="Appelnotedebasdep"/>
          <w:rFonts w:eastAsia="Calibri" w:cs="Calibri"/>
        </w:rPr>
        <w:footnoteReference w:id="110"/>
      </w:r>
      <w:r w:rsidRPr="00043BC1">
        <w:rPr>
          <w:rFonts w:eastAsia="Calibri" w:cs="Calibri"/>
        </w:rPr>
        <w:t>.</w:t>
      </w:r>
    </w:p>
    <w:p w14:paraId="4DB41CF1" w14:textId="77777777" w:rsidR="004672E1" w:rsidRPr="00954869" w:rsidRDefault="004672E1" w:rsidP="00043BC1">
      <w:pPr>
        <w:spacing w:before="120"/>
        <w:jc w:val="both"/>
        <w:textAlignment w:val="baseline"/>
        <w:rPr>
          <w:rFonts w:eastAsia="Calibri" w:cs="Calibri"/>
          <w:sz w:val="10"/>
          <w:szCs w:val="10"/>
        </w:rPr>
      </w:pPr>
    </w:p>
    <w:p w14:paraId="4524FB91" w14:textId="77777777" w:rsidR="00043BC1" w:rsidRPr="008D7EB7" w:rsidRDefault="00043BC1" w:rsidP="007C3B5A">
      <w:pPr>
        <w:pStyle w:val="Sam4"/>
        <w:numPr>
          <w:ilvl w:val="4"/>
          <w:numId w:val="248"/>
        </w:numPr>
        <w:rPr>
          <w:rFonts w:eastAsia="Calibri"/>
        </w:rPr>
      </w:pPr>
      <w:bookmarkStart w:id="4610" w:name="_Toc40185450"/>
      <w:bookmarkStart w:id="4611" w:name="_Toc40186185"/>
      <w:bookmarkStart w:id="4612" w:name="_Toc74557704"/>
      <w:bookmarkEnd w:id="4610"/>
      <w:bookmarkEnd w:id="4611"/>
      <w:r w:rsidRPr="008D7EB7">
        <w:rPr>
          <w:rFonts w:eastAsia="Calibri"/>
        </w:rPr>
        <w:t>Procédure</w:t>
      </w:r>
      <w:bookmarkEnd w:id="4612"/>
    </w:p>
    <w:p w14:paraId="36D3C371" w14:textId="77777777" w:rsidR="00043BC1" w:rsidRPr="00043BC1" w:rsidRDefault="00043BC1" w:rsidP="00043BC1">
      <w:pPr>
        <w:spacing w:before="120"/>
        <w:jc w:val="both"/>
        <w:textAlignment w:val="baseline"/>
        <w:rPr>
          <w:rFonts w:eastAsia="Calibri" w:cs="Calibri"/>
        </w:rPr>
      </w:pPr>
      <w:r w:rsidRPr="00043BC1">
        <w:rPr>
          <w:rFonts w:eastAsia="Calibri" w:cs="Calibri"/>
        </w:rPr>
        <w:t>La procédure applicable à cette réclamation est déterminée par le gouvernement.</w:t>
      </w:r>
    </w:p>
    <w:p w14:paraId="74FD90C0" w14:textId="5804CF30" w:rsidR="00043BC1" w:rsidRDefault="00043BC1" w:rsidP="00043BC1">
      <w:pPr>
        <w:spacing w:before="120"/>
        <w:jc w:val="both"/>
        <w:textAlignment w:val="baseline"/>
        <w:rPr>
          <w:rFonts w:eastAsia="Calibri" w:cs="Calibri"/>
        </w:rPr>
      </w:pPr>
      <w:r w:rsidRPr="00043BC1">
        <w:rPr>
          <w:rFonts w:eastAsia="Calibri" w:cs="Calibri"/>
        </w:rPr>
        <w:t>Les règles de procédure à suivre dans le cadre de ce contentieux fiscal sont régies par l’arrêté royal du 12 avril 1999 déterminant la procédure devant le gouverneur ou devant le collège des bourgmestre et échevins en matière de réclamation contre une imposition provinciale ou communale.</w:t>
      </w:r>
    </w:p>
    <w:p w14:paraId="4B8D4ED6" w14:textId="59E5CE50" w:rsidR="004672E1" w:rsidRDefault="004672E1" w:rsidP="00043BC1">
      <w:pPr>
        <w:spacing w:before="120"/>
        <w:jc w:val="both"/>
        <w:textAlignment w:val="baseline"/>
        <w:rPr>
          <w:rFonts w:eastAsia="Calibri" w:cs="Calibri"/>
          <w:sz w:val="10"/>
          <w:szCs w:val="10"/>
        </w:rPr>
      </w:pPr>
    </w:p>
    <w:p w14:paraId="6028AE66" w14:textId="77777777" w:rsidR="00954869" w:rsidRPr="00971487" w:rsidRDefault="00954869" w:rsidP="00043BC1">
      <w:pPr>
        <w:spacing w:before="120"/>
        <w:jc w:val="both"/>
        <w:textAlignment w:val="baseline"/>
        <w:rPr>
          <w:rFonts w:eastAsia="Calibri" w:cs="Calibri"/>
          <w:sz w:val="10"/>
          <w:szCs w:val="10"/>
        </w:rPr>
      </w:pPr>
    </w:p>
    <w:p w14:paraId="3E5C179D" w14:textId="77777777" w:rsidR="00414677" w:rsidRPr="008D7EB7" w:rsidRDefault="00414677" w:rsidP="007C3B5A">
      <w:pPr>
        <w:pStyle w:val="Sam4"/>
        <w:numPr>
          <w:ilvl w:val="4"/>
          <w:numId w:val="248"/>
        </w:numPr>
        <w:rPr>
          <w:rFonts w:eastAsia="Calibri"/>
          <w:b w:val="0"/>
        </w:rPr>
      </w:pPr>
      <w:bookmarkStart w:id="4613" w:name="_Toc40185452"/>
      <w:bookmarkStart w:id="4614" w:name="_Toc40186187"/>
      <w:bookmarkStart w:id="4615" w:name="_Toc74557705"/>
      <w:bookmarkEnd w:id="4613"/>
      <w:bookmarkEnd w:id="4614"/>
      <w:r w:rsidRPr="00276F16">
        <w:rPr>
          <w:rFonts w:eastAsia="Calibri"/>
        </w:rPr>
        <w:lastRenderedPageBreak/>
        <w:t>Requête auprès du tribunal de première instance</w:t>
      </w:r>
      <w:bookmarkEnd w:id="4615"/>
    </w:p>
    <w:p w14:paraId="6E02C038" w14:textId="77777777"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L’article L3321-10 du CDLD prévoit que la décision prise par le collège communal peut faire l’objet d’un recours devant le Tribunal de première instance dans le ressort duquel la taxe a été établie.</w:t>
      </w:r>
    </w:p>
    <w:p w14:paraId="7A950A8B" w14:textId="77777777"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Dans cette hypothèse, l’action doit être introduite, à peine de déchéance, au plus tard dans un délai de trois mois à partir de la notification de la décision relative au recours administratif.</w:t>
      </w:r>
    </w:p>
    <w:p w14:paraId="42C26D68" w14:textId="77777777" w:rsidR="00414677" w:rsidRPr="00414677" w:rsidRDefault="00414677" w:rsidP="00971487">
      <w:pPr>
        <w:spacing w:before="120"/>
        <w:jc w:val="both"/>
        <w:textAlignment w:val="baseline"/>
        <w:rPr>
          <w:rFonts w:eastAsia="Calibri" w:cs="Calibri"/>
          <w:lang w:val="fr-BE"/>
        </w:rPr>
      </w:pPr>
      <w:r w:rsidRPr="00414677">
        <w:rPr>
          <w:rFonts w:eastAsia="Calibri" w:cs="Calibri"/>
          <w:lang w:val="fr-BE"/>
        </w:rPr>
        <w:t>A cet égard, j’insiste pour que la décision que l’autorité compétente aura notifiée par pli recommandé au réclamant ainsi que, le cas échéant, à son représentant mentionne notamment :</w:t>
      </w:r>
    </w:p>
    <w:p w14:paraId="37EC12D0" w14:textId="77777777" w:rsidR="00414677" w:rsidRPr="00414677" w:rsidRDefault="00414677" w:rsidP="00971487">
      <w:pPr>
        <w:numPr>
          <w:ilvl w:val="0"/>
          <w:numId w:val="100"/>
        </w:numPr>
        <w:ind w:left="714" w:hanging="357"/>
        <w:jc w:val="both"/>
        <w:textAlignment w:val="baseline"/>
        <w:rPr>
          <w:rFonts w:eastAsia="Calibri" w:cs="Calibri"/>
          <w:lang w:val="fr-BE"/>
        </w:rPr>
      </w:pPr>
      <w:proofErr w:type="gramStart"/>
      <w:r w:rsidRPr="00414677">
        <w:rPr>
          <w:rFonts w:eastAsia="Calibri" w:cs="Calibri"/>
          <w:lang w:val="fr-BE"/>
        </w:rPr>
        <w:t>les</w:t>
      </w:r>
      <w:proofErr w:type="gramEnd"/>
      <w:r w:rsidRPr="00414677">
        <w:rPr>
          <w:rFonts w:eastAsia="Calibri" w:cs="Calibri"/>
          <w:lang w:val="fr-BE"/>
        </w:rPr>
        <w:t xml:space="preserve"> voies éventuelles de recours ;</w:t>
      </w:r>
    </w:p>
    <w:p w14:paraId="769A7BD8" w14:textId="77777777" w:rsidR="00414677" w:rsidRPr="00414677" w:rsidRDefault="00414677" w:rsidP="00971487">
      <w:pPr>
        <w:numPr>
          <w:ilvl w:val="0"/>
          <w:numId w:val="100"/>
        </w:numPr>
        <w:ind w:left="714" w:hanging="357"/>
        <w:jc w:val="both"/>
        <w:textAlignment w:val="baseline"/>
        <w:rPr>
          <w:rFonts w:eastAsia="Calibri" w:cs="Calibri"/>
          <w:lang w:val="fr-BE"/>
        </w:rPr>
      </w:pPr>
      <w:proofErr w:type="gramStart"/>
      <w:r w:rsidRPr="00414677">
        <w:rPr>
          <w:rFonts w:eastAsia="Calibri" w:cs="Calibri"/>
          <w:lang w:val="fr-BE"/>
        </w:rPr>
        <w:t>les</w:t>
      </w:r>
      <w:proofErr w:type="gramEnd"/>
      <w:r w:rsidRPr="00414677">
        <w:rPr>
          <w:rFonts w:eastAsia="Calibri" w:cs="Calibri"/>
          <w:lang w:val="fr-BE"/>
        </w:rPr>
        <w:t xml:space="preserve"> instances compétentes pour en connaître ;</w:t>
      </w:r>
    </w:p>
    <w:p w14:paraId="1F8DF5D9" w14:textId="77777777" w:rsidR="00414677" w:rsidRPr="00414677" w:rsidRDefault="00414677" w:rsidP="00971487">
      <w:pPr>
        <w:numPr>
          <w:ilvl w:val="0"/>
          <w:numId w:val="100"/>
        </w:numPr>
        <w:ind w:left="714" w:hanging="357"/>
        <w:jc w:val="both"/>
        <w:textAlignment w:val="baseline"/>
        <w:rPr>
          <w:rFonts w:eastAsia="Calibri" w:cs="Calibri"/>
          <w:lang w:val="fr-BE"/>
        </w:rPr>
      </w:pPr>
      <w:proofErr w:type="gramStart"/>
      <w:r w:rsidRPr="00414677">
        <w:rPr>
          <w:rFonts w:eastAsia="Calibri" w:cs="Calibri"/>
          <w:lang w:val="fr-BE"/>
        </w:rPr>
        <w:t>les</w:t>
      </w:r>
      <w:proofErr w:type="gramEnd"/>
      <w:r w:rsidRPr="00414677">
        <w:rPr>
          <w:rFonts w:eastAsia="Calibri" w:cs="Calibri"/>
          <w:lang w:val="fr-BE"/>
        </w:rPr>
        <w:t xml:space="preserve"> formes et délais à respecter.</w:t>
      </w:r>
    </w:p>
    <w:p w14:paraId="658E1392" w14:textId="7C10BED3" w:rsidR="00E24783" w:rsidRDefault="00E24783" w:rsidP="00414677">
      <w:pPr>
        <w:spacing w:before="120"/>
        <w:jc w:val="both"/>
        <w:textAlignment w:val="baseline"/>
        <w:rPr>
          <w:rFonts w:eastAsia="Calibri" w:cs="Calibri"/>
          <w:lang w:val="fr-BE"/>
        </w:rPr>
      </w:pPr>
      <w:bookmarkStart w:id="4616" w:name="_Hlk102394279"/>
      <w:r w:rsidRPr="00E24783">
        <w:rPr>
          <w:rFonts w:eastAsia="Calibri" w:cs="Calibri"/>
          <w:lang w:val="fr-BE"/>
        </w:rPr>
        <w:t xml:space="preserve">L'introduction de l'action judiciaire entraîne le dessaisissement </w:t>
      </w:r>
      <w:r>
        <w:rPr>
          <w:rFonts w:eastAsia="Calibri" w:cs="Calibri"/>
          <w:lang w:val="fr-BE"/>
        </w:rPr>
        <w:t>du collège communal</w:t>
      </w:r>
      <w:r w:rsidRPr="00E24783">
        <w:rPr>
          <w:rFonts w:eastAsia="Calibri" w:cs="Calibri"/>
          <w:lang w:val="fr-BE"/>
        </w:rPr>
        <w:t>, cel</w:t>
      </w:r>
      <w:r>
        <w:rPr>
          <w:rFonts w:eastAsia="Calibri" w:cs="Calibri"/>
          <w:lang w:val="fr-BE"/>
        </w:rPr>
        <w:t>ui</w:t>
      </w:r>
      <w:r w:rsidRPr="00E24783">
        <w:rPr>
          <w:rFonts w:eastAsia="Calibri" w:cs="Calibri"/>
          <w:lang w:val="fr-BE"/>
        </w:rPr>
        <w:t>-ci ne pouvant plus statuer sur la réclamation. Il s'agit d'une règle spécifique au contentieux fiscal qui écarte toute application de la théorie du retrait des actes administratifs. En effet, en vertu de cette règle fiscale de dessaisissement, la décision du collège communal</w:t>
      </w:r>
      <w:r>
        <w:rPr>
          <w:rFonts w:eastAsia="Calibri" w:cs="Calibri"/>
          <w:lang w:val="fr-BE"/>
        </w:rPr>
        <w:t xml:space="preserve"> </w:t>
      </w:r>
      <w:r w:rsidRPr="00E24783">
        <w:rPr>
          <w:rFonts w:eastAsia="Calibri" w:cs="Calibri"/>
          <w:lang w:val="fr-BE"/>
        </w:rPr>
        <w:t>qui se prononcerait sur une réclamation après l'introduction d'un recours judiciaire serait sans aucune valeur juridique.</w:t>
      </w:r>
      <w:r>
        <w:rPr>
          <w:rStyle w:val="Appelnotedebasdep"/>
          <w:rFonts w:eastAsia="Calibri" w:cs="Calibri"/>
          <w:lang w:val="fr-BE"/>
        </w:rPr>
        <w:footnoteReference w:id="111"/>
      </w:r>
    </w:p>
    <w:bookmarkEnd w:id="4616"/>
    <w:p w14:paraId="241D3A5C" w14:textId="269CB9BB"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Le recours administratif organisé par ou en vertu de la loi, au sens de l’article 1385undecies du Code judiciaire, est, en matière de taxes communales, la réclamation formée contre la taxe enrôlée au nom du redevable devant le collège communal et que seul un tel recours constitue le préalable qui rend admissible l’action portée devant le tribunal de première instance</w:t>
      </w:r>
      <w:r w:rsidR="0089574C">
        <w:rPr>
          <w:rStyle w:val="Appelnotedebasdep"/>
          <w:rFonts w:eastAsia="Calibri" w:cs="Calibri"/>
          <w:lang w:val="fr-BE"/>
        </w:rPr>
        <w:footnoteReference w:id="112"/>
      </w:r>
      <w:r w:rsidRPr="00414677">
        <w:rPr>
          <w:rFonts w:eastAsia="Calibri" w:cs="Calibri"/>
          <w:lang w:val="fr-BE"/>
        </w:rPr>
        <w:t>.</w:t>
      </w:r>
    </w:p>
    <w:p w14:paraId="10549B90" w14:textId="5DD04254"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L’alinéa 2 de l’article L3321-10 du CDLD stipule qu</w:t>
      </w:r>
      <w:proofErr w:type="gramStart"/>
      <w:r w:rsidRPr="00414677">
        <w:rPr>
          <w:rFonts w:eastAsia="Calibri" w:cs="Calibri"/>
          <w:lang w:val="fr-BE"/>
        </w:rPr>
        <w:t>’«</w:t>
      </w:r>
      <w:proofErr w:type="gramEnd"/>
      <w:r w:rsidRPr="00414677">
        <w:rPr>
          <w:rFonts w:eastAsia="Calibri" w:cs="Calibri"/>
          <w:lang w:val="fr-BE"/>
        </w:rPr>
        <w:t> à défaut de décision, la réclamation est réputée fondée. Les articles 1385decies et 1385undecies du Code judiciaire sont applicables ».</w:t>
      </w:r>
    </w:p>
    <w:p w14:paraId="18E0A960" w14:textId="77777777"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 xml:space="preserve">Dans cette hypothèse, l’action peut être introduite au plus tôt six mois après la date de réception du recours administratif au cas où ce recours n'a pas fait l'objet d'une décision. Ce délai de six mois est prolongé de trois mois lorsque l'imposition contestée a été établie d'office par l'administration. </w:t>
      </w:r>
    </w:p>
    <w:p w14:paraId="7DCE74FA" w14:textId="77777777"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 xml:space="preserve">D’une part, cela signifie qu’aussi longtemps que le redevable n'a pas porté le litige devant le juge compétent, le Collège communal peut statuer même en dehors du délai de six mois. </w:t>
      </w:r>
    </w:p>
    <w:p w14:paraId="746AA85B" w14:textId="3FFD92FC" w:rsidR="00414677" w:rsidRPr="00414677" w:rsidRDefault="00414677" w:rsidP="00414677">
      <w:pPr>
        <w:spacing w:before="120"/>
        <w:jc w:val="both"/>
        <w:textAlignment w:val="baseline"/>
        <w:rPr>
          <w:rFonts w:eastAsia="Calibri" w:cs="Calibri"/>
          <w:lang w:val="fr-BE"/>
        </w:rPr>
      </w:pPr>
      <w:r w:rsidRPr="00414677">
        <w:rPr>
          <w:rFonts w:eastAsia="Calibri" w:cs="Calibri"/>
          <w:lang w:val="fr-BE"/>
        </w:rPr>
        <w:t>D’autre part, la Cour Constitutionnelle</w:t>
      </w:r>
      <w:r w:rsidR="00FE6EB9">
        <w:rPr>
          <w:rStyle w:val="Appelnotedebasdep"/>
          <w:rFonts w:eastAsia="Calibri" w:cs="Calibri"/>
          <w:lang w:val="fr-BE"/>
        </w:rPr>
        <w:footnoteReference w:id="113"/>
      </w:r>
      <w:r w:rsidRPr="00414677">
        <w:rPr>
          <w:rFonts w:eastAsia="Calibri" w:cs="Calibri"/>
          <w:lang w:val="fr-BE"/>
        </w:rPr>
        <w:t xml:space="preserve"> a précisé que même si en matière d’impositions communales et provinciales, le législateur a maintenu la présomption de fondement de la réclamation (au niveau administratif), le même législateur en organisant les conditions d’un recours auprès du tribunal de première instance par le renvoi aux dispositions du Code judiciaire, n’a pas voulu priver le juge de son pouvoir d’appréciation en lui imposant le seul entérinement d’une présomption que le législateur aurait lui-même préalablement fixée.  </w:t>
      </w:r>
    </w:p>
    <w:p w14:paraId="3AC9AFE8" w14:textId="1A5B27D2" w:rsidR="00414677" w:rsidRDefault="00414677" w:rsidP="00414677">
      <w:pPr>
        <w:spacing w:before="120"/>
        <w:jc w:val="both"/>
        <w:textAlignment w:val="baseline"/>
        <w:rPr>
          <w:rFonts w:eastAsia="Calibri" w:cs="Calibri"/>
          <w:lang w:val="fr-BE"/>
        </w:rPr>
      </w:pPr>
      <w:r w:rsidRPr="00414677">
        <w:rPr>
          <w:rFonts w:eastAsia="Calibri" w:cs="Calibri"/>
          <w:lang w:val="fr-BE"/>
        </w:rPr>
        <w:t>Autrement dit, cette présomption que la réclamation est réputée fondée (au niveau administratif) ne lie pas le juge.</w:t>
      </w:r>
    </w:p>
    <w:p w14:paraId="36135DA9" w14:textId="77777777" w:rsidR="00954869" w:rsidRDefault="00954869" w:rsidP="00414677">
      <w:pPr>
        <w:spacing w:before="120"/>
        <w:jc w:val="both"/>
        <w:textAlignment w:val="baseline"/>
        <w:rPr>
          <w:rFonts w:eastAsia="Calibri" w:cs="Calibri"/>
          <w:lang w:val="fr-BE"/>
        </w:rPr>
      </w:pPr>
    </w:p>
    <w:p w14:paraId="3EA719A0" w14:textId="77777777" w:rsidR="00043BC1" w:rsidRPr="008D7EB7" w:rsidRDefault="00043BC1" w:rsidP="007C3B5A">
      <w:pPr>
        <w:pStyle w:val="Sam4"/>
        <w:numPr>
          <w:ilvl w:val="4"/>
          <w:numId w:val="248"/>
        </w:numPr>
        <w:rPr>
          <w:rFonts w:eastAsia="Calibri"/>
        </w:rPr>
      </w:pPr>
      <w:bookmarkStart w:id="4617" w:name="_Toc40185454"/>
      <w:bookmarkStart w:id="4618" w:name="_Toc40186189"/>
      <w:bookmarkStart w:id="4619" w:name="_Toc74557706"/>
      <w:bookmarkEnd w:id="4617"/>
      <w:bookmarkEnd w:id="4618"/>
      <w:r w:rsidRPr="008D7EB7">
        <w:rPr>
          <w:rFonts w:eastAsia="Calibri"/>
        </w:rPr>
        <w:lastRenderedPageBreak/>
        <w:t>Conséquence sur le recouvrement d'une taxe</w:t>
      </w:r>
      <w:bookmarkEnd w:id="4619"/>
      <w:r w:rsidRPr="008D7EB7">
        <w:rPr>
          <w:rFonts w:eastAsia="Calibri"/>
        </w:rPr>
        <w:t xml:space="preserve"> </w:t>
      </w:r>
    </w:p>
    <w:p w14:paraId="41D77060" w14:textId="1A3E3F5D" w:rsidR="00F53CED" w:rsidRPr="009315DC" w:rsidRDefault="00235F28" w:rsidP="00F53CED">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orsqu'une taxe est contestée au moyen d'une réclamation, elle ne peut plus faire l'objet de mesure d'exécution qu'à concurrence du montant incontestablement dû.</w:t>
      </w:r>
      <w:r w:rsidR="00F53CED" w:rsidRPr="009315DC">
        <w:rPr>
          <w:rFonts w:asciiTheme="minorHAnsi" w:hAnsiTheme="minorHAnsi" w:cs="Calibri Light"/>
        </w:rPr>
        <w:t xml:space="preserve"> Cet incontestablement dû correspond au montant immédiatement exigible et pouvant être recouvré malgré l’introduction d’une réclamation.</w:t>
      </w:r>
    </w:p>
    <w:p w14:paraId="504A48F4"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En matière de taxes communales, l'incontestablement dû est souvent égal à zéro. Cela signifie que la caisse communale ne peut enregistrer la recette (sauf cas de paiement volontaire du redevable) tant que le litige n'est pas tranché (tant au niveau administratif que judiciaire).</w:t>
      </w:r>
    </w:p>
    <w:p w14:paraId="221DEC9B" w14:textId="6A7A6E28" w:rsidR="00556EE1"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Ceci ne </w:t>
      </w:r>
      <w:r w:rsidRPr="00FE6EB9">
        <w:rPr>
          <w:rFonts w:asciiTheme="minorHAnsi" w:hAnsiTheme="minorHAnsi" w:cs="Calibri Light"/>
        </w:rPr>
        <w:t xml:space="preserve">concerne que les taxes enrôlées car la perception de la taxe constitue un préalable incontournable pour pouvoir réclamer contre une taxe perçue au comptant. En effet, </w:t>
      </w:r>
      <w:r w:rsidR="00056994" w:rsidRPr="00FE6EB9">
        <w:rPr>
          <w:rFonts w:asciiTheme="minorHAnsi" w:hAnsiTheme="minorHAnsi" w:cs="Calibri Light"/>
        </w:rPr>
        <w:t xml:space="preserve">dans cette hypothèse, </w:t>
      </w:r>
      <w:r w:rsidRPr="00FE6EB9">
        <w:rPr>
          <w:rFonts w:asciiTheme="minorHAnsi" w:hAnsiTheme="minorHAnsi" w:cs="Calibri Light"/>
        </w:rPr>
        <w:t>le délai de réclamation ne commence à courir qu'à compter de cette date (de la perception).</w:t>
      </w:r>
      <w:r w:rsidRPr="00DA6BD2">
        <w:rPr>
          <w:rFonts w:asciiTheme="minorHAnsi" w:hAnsiTheme="minorHAnsi" w:cs="Calibri Light"/>
        </w:rPr>
        <w:t xml:space="preserve"> </w:t>
      </w:r>
    </w:p>
    <w:p w14:paraId="4CDD8704" w14:textId="38D7F292"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Pour rappel, au sens de l'article 371 du Code des Impôts sur les revenus </w:t>
      </w:r>
      <w:r w:rsidR="003C0A75">
        <w:rPr>
          <w:rFonts w:asciiTheme="minorHAnsi" w:hAnsiTheme="minorHAnsi" w:cs="Calibri Light"/>
        </w:rPr>
        <w:t>(toujours d’application après le CRAF)</w:t>
      </w:r>
      <w:r w:rsidRPr="00DA6BD2">
        <w:rPr>
          <w:rFonts w:asciiTheme="minorHAnsi" w:hAnsiTheme="minorHAnsi" w:cs="Calibri Light"/>
        </w:rPr>
        <w:t xml:space="preserve">, le mot "perception" signifie l'action de l'administration consistant dans la prise en recette de l'impôt admis à titre de paiement régulier et pour le montant admis par l'administration. </w:t>
      </w:r>
    </w:p>
    <w:p w14:paraId="20B931C3" w14:textId="77777777" w:rsidR="00556EE1" w:rsidRPr="00971487" w:rsidRDefault="00556EE1" w:rsidP="008D7EB7">
      <w:pPr>
        <w:jc w:val="both"/>
        <w:rPr>
          <w:color w:val="FF0000"/>
          <w:sz w:val="10"/>
          <w:szCs w:val="10"/>
        </w:rPr>
      </w:pPr>
    </w:p>
    <w:p w14:paraId="0707F936" w14:textId="46D36EC0" w:rsidR="003C0A75" w:rsidRPr="008D7EB7" w:rsidRDefault="003C0A75" w:rsidP="00971487">
      <w:pPr>
        <w:spacing w:after="120"/>
        <w:jc w:val="both"/>
      </w:pPr>
      <w:r w:rsidRPr="008D7EB7">
        <w:t xml:space="preserve">Cette matière est désormais régie par les articles 60 et 61 du CRAF (lesquels sont applicables aux taxes communales en vertu de l’article L 3321-12 du </w:t>
      </w:r>
      <w:r w:rsidR="00556EE1" w:rsidRPr="008D7EB7">
        <w:t>CDLD</w:t>
      </w:r>
      <w:r w:rsidRPr="008D7EB7">
        <w:t>.</w:t>
      </w:r>
    </w:p>
    <w:p w14:paraId="57F0318F" w14:textId="77777777" w:rsidR="003C0A75" w:rsidRPr="008D7EB7" w:rsidRDefault="003C0A75" w:rsidP="003C0A75">
      <w:pPr>
        <w:jc w:val="both"/>
      </w:pPr>
      <w:r w:rsidRPr="008D7EB7">
        <w:t xml:space="preserve">En vertu de l’article 60 du CRAF, les créances fiscales contestées </w:t>
      </w:r>
      <w:r w:rsidRPr="008D7EB7">
        <w:rPr>
          <w:b/>
        </w:rPr>
        <w:t>par un recours administratif</w:t>
      </w:r>
      <w:r w:rsidRPr="008D7EB7">
        <w:t xml:space="preserve"> </w:t>
      </w:r>
      <w:r w:rsidRPr="008D7EB7">
        <w:rPr>
          <w:b/>
        </w:rPr>
        <w:t>ou judiciaire</w:t>
      </w:r>
      <w:r w:rsidRPr="008D7EB7">
        <w:t xml:space="preserve"> peuvent faire l’objet de </w:t>
      </w:r>
      <w:r w:rsidRPr="008D7EB7">
        <w:rPr>
          <w:b/>
        </w:rPr>
        <w:t>saisies conservatoires</w:t>
      </w:r>
      <w:r w:rsidRPr="008D7EB7">
        <w:t xml:space="preserve"> en vue de garantir le recouvrement. Ces mesures conservatoires se font sur la base d’un extrait du rôle mentionnant la date d’exécutoire de ce dernier ou d’une copie d’un avis de perception et recouvrement.</w:t>
      </w:r>
    </w:p>
    <w:p w14:paraId="34AA11DC" w14:textId="112626A5" w:rsidR="003C0A75" w:rsidRDefault="003C0A75" w:rsidP="00971487">
      <w:pPr>
        <w:spacing w:before="120"/>
        <w:jc w:val="both"/>
      </w:pPr>
      <w:r w:rsidRPr="008D7EB7">
        <w:t xml:space="preserve">L’article 61 du CRAF, quant à lui, prévoit la possibilité d’effectuer des </w:t>
      </w:r>
      <w:r w:rsidRPr="008D7EB7">
        <w:rPr>
          <w:b/>
        </w:rPr>
        <w:t>saisies exécution</w:t>
      </w:r>
      <w:r w:rsidRPr="008D7EB7">
        <w:t xml:space="preserve"> pour les créances contestées mais considérées comme liquides et certaines. Il s’agit des montants déclarés ou issus d’une imposition d’office et dont le montant ne dépasse pas le montant de la dernière taxe définitivement due. </w:t>
      </w:r>
    </w:p>
    <w:p w14:paraId="7FA530EC" w14:textId="77777777" w:rsidR="00257704" w:rsidRPr="00971487" w:rsidRDefault="00257704" w:rsidP="00453CB4">
      <w:pPr>
        <w:jc w:val="both"/>
        <w:rPr>
          <w:color w:val="FF0000"/>
          <w:sz w:val="10"/>
          <w:szCs w:val="10"/>
        </w:rPr>
      </w:pPr>
    </w:p>
    <w:p w14:paraId="058B040A" w14:textId="77777777" w:rsidR="00257704" w:rsidRPr="00257704" w:rsidRDefault="00257704" w:rsidP="00257704">
      <w:pPr>
        <w:spacing w:before="120"/>
        <w:jc w:val="both"/>
        <w:textAlignment w:val="baseline"/>
        <w:rPr>
          <w:rFonts w:asciiTheme="minorHAnsi" w:hAnsiTheme="minorHAnsi" w:cs="Calibri Light"/>
          <w:b/>
          <w:bCs/>
          <w:lang w:val="fr-BE"/>
        </w:rPr>
      </w:pPr>
      <w:bookmarkStart w:id="4620" w:name="_Hlk73273826"/>
      <w:r w:rsidRPr="00257704">
        <w:rPr>
          <w:rFonts w:asciiTheme="minorHAnsi" w:hAnsiTheme="minorHAnsi" w:cs="Calibri Light"/>
          <w:b/>
          <w:bCs/>
          <w:lang w:val="fr-BE"/>
        </w:rPr>
        <w:t>VI.4.13 La formalité de déclaration du contribuable</w:t>
      </w:r>
    </w:p>
    <w:p w14:paraId="41269A99" w14:textId="77777777" w:rsidR="00257704" w:rsidRPr="00257704" w:rsidRDefault="00257704" w:rsidP="00257704">
      <w:pPr>
        <w:spacing w:before="120"/>
        <w:jc w:val="both"/>
        <w:textAlignment w:val="baseline"/>
        <w:rPr>
          <w:rFonts w:asciiTheme="minorHAnsi" w:hAnsiTheme="minorHAnsi" w:cs="Calibri Light"/>
          <w:lang w:val="fr-BE"/>
        </w:rPr>
      </w:pPr>
      <w:r w:rsidRPr="00257704">
        <w:rPr>
          <w:rFonts w:asciiTheme="minorHAnsi" w:hAnsiTheme="minorHAnsi" w:cs="Calibri Light"/>
          <w:lang w:val="fr-BE"/>
        </w:rPr>
        <w:t>Le Conseil d'Etat vient de rendre un arrêt très important en matière de fiscalité locale (Conseil d’Etat (XVe ch.) 13 avril 2021 Arrêt n°250.321 – ville de Verviers - taxe sur les emplacements de parking mis gratuitement à disposition desservant des immeubles affectés à une activité commerciale). Il a annulé un règlement-taxe dans son entièreté en considérant que celui-ci devait prévoir le délai dans lequel la déclaration doit être retournée à l’administration communale. Pour fonder sa décision, il se base sur l’article L3321-6 du Code de la démocratie locale et de la décentralisation en vertu duquel deux conditions doivent être remplies pour que les communes puissent faire usage de la taxation d’office, à savoir que le règlement-taxe doit non seulement prévoir une obligation de déclaration mais également préciser le délai dans lequel cette déclaration doit être retournée à l’administration communale.</w:t>
      </w:r>
    </w:p>
    <w:p w14:paraId="0105A472" w14:textId="77777777" w:rsidR="00257704" w:rsidRPr="00257704" w:rsidRDefault="00257704" w:rsidP="00257704">
      <w:pPr>
        <w:spacing w:before="120"/>
        <w:jc w:val="both"/>
        <w:textAlignment w:val="baseline"/>
        <w:rPr>
          <w:rFonts w:asciiTheme="minorHAnsi" w:hAnsiTheme="minorHAnsi" w:cs="Calibri Light"/>
          <w:lang w:val="fr-BE"/>
        </w:rPr>
      </w:pPr>
      <w:r w:rsidRPr="00257704">
        <w:rPr>
          <w:rFonts w:asciiTheme="minorHAnsi" w:hAnsiTheme="minorHAnsi" w:cs="Calibri Light"/>
          <w:lang w:val="fr-BE"/>
        </w:rPr>
        <w:t xml:space="preserve">Dans son arrêt, le Conseil d'Etat constate que si dans le règlement-taxe attaqué un délai est fixé pour la notification de la déclaration par le contribuable en cas d’absence de réception du formulaire de déclaration, aucun délai n’est prévu par ce règlement-taxe pour le contribuable qui a reçu un formulaire de déclaration. Or le Conseil d'Etat considère « qu’afin d’assurer le respect de l’article L3321-6, alinéa 1er, précité, le conseil communal doit fixer lui-même un </w:t>
      </w:r>
      <w:r w:rsidRPr="00257704">
        <w:rPr>
          <w:rFonts w:asciiTheme="minorHAnsi" w:hAnsiTheme="minorHAnsi" w:cs="Calibri Light"/>
          <w:lang w:val="fr-BE"/>
        </w:rPr>
        <w:lastRenderedPageBreak/>
        <w:t>délai et, à tout le moins, un délai minimal permettant aux contribuables de répondre au courrier de l’administration communale lui notifiant le formulaire de déclaration.</w:t>
      </w:r>
    </w:p>
    <w:p w14:paraId="50825A1E" w14:textId="77777777" w:rsidR="00257704" w:rsidRPr="00257704" w:rsidRDefault="00257704" w:rsidP="00257704">
      <w:pPr>
        <w:spacing w:before="120"/>
        <w:jc w:val="both"/>
        <w:textAlignment w:val="baseline"/>
        <w:rPr>
          <w:rFonts w:asciiTheme="minorHAnsi" w:hAnsiTheme="minorHAnsi" w:cs="Calibri Light"/>
          <w:lang w:val="fr-BE"/>
        </w:rPr>
      </w:pPr>
      <w:r w:rsidRPr="00257704">
        <w:rPr>
          <w:rFonts w:asciiTheme="minorHAnsi" w:hAnsiTheme="minorHAnsi" w:cs="Calibri Light"/>
          <w:lang w:val="fr-BE"/>
        </w:rPr>
        <w:t>Il s’agit d’une obligation légale imposée par le législateur wallon à l’autorité locale afin de s’assurer que tous les contribuables qui ont reçu un formulaire de déclaration puissent disposer, pour le compléter et le retourner, d’un délai raisonnable qui doit être fixé par une assemblée délibérante démocratiquement élue. En se limitant à renvoyer à un formulaire adressé par l’administration communale qui fixera un délai « au cas par cas », le Conseil d'Etat considère que le règlement-taxe ne respecte pas l’article L3321-6 alinéa 1</w:t>
      </w:r>
      <w:r w:rsidRPr="00257704">
        <w:rPr>
          <w:rFonts w:asciiTheme="minorHAnsi" w:hAnsiTheme="minorHAnsi" w:cs="Calibri Light"/>
          <w:vertAlign w:val="superscript"/>
          <w:lang w:val="fr-BE"/>
        </w:rPr>
        <w:t>er</w:t>
      </w:r>
      <w:r w:rsidRPr="00257704">
        <w:rPr>
          <w:rFonts w:asciiTheme="minorHAnsi" w:hAnsiTheme="minorHAnsi" w:cs="Calibri Light"/>
          <w:lang w:val="fr-BE"/>
        </w:rPr>
        <w:t xml:space="preserve"> du CDLD et est donc illégal. »</w:t>
      </w:r>
    </w:p>
    <w:bookmarkEnd w:id="4620"/>
    <w:p w14:paraId="4708AF03" w14:textId="77777777" w:rsidR="00257704" w:rsidRPr="00453CB4" w:rsidRDefault="00257704" w:rsidP="00E063FD">
      <w:pPr>
        <w:spacing w:before="120"/>
        <w:jc w:val="both"/>
        <w:textAlignment w:val="baseline"/>
        <w:rPr>
          <w:rFonts w:asciiTheme="minorHAnsi" w:hAnsiTheme="minorHAnsi" w:cs="Calibri Light"/>
          <w:sz w:val="10"/>
          <w:szCs w:val="10"/>
        </w:rPr>
      </w:pPr>
    </w:p>
    <w:p w14:paraId="08D45D18" w14:textId="515B7EE1" w:rsidR="009B153C" w:rsidRPr="00691096" w:rsidRDefault="004672E1" w:rsidP="00256E9F">
      <w:pPr>
        <w:pStyle w:val="Sam3"/>
      </w:pPr>
      <w:bookmarkStart w:id="4621" w:name="_Toc516739714"/>
      <w:bookmarkStart w:id="4622" w:name="_Toc516751627"/>
      <w:bookmarkStart w:id="4623" w:name="_Toc516825715"/>
      <w:bookmarkStart w:id="4624" w:name="_Toc516826273"/>
      <w:bookmarkStart w:id="4625" w:name="_Toc516837593"/>
      <w:bookmarkStart w:id="4626" w:name="_Toc516838152"/>
      <w:bookmarkStart w:id="4627" w:name="_Toc516838711"/>
      <w:bookmarkStart w:id="4628" w:name="_Toc516839271"/>
      <w:bookmarkStart w:id="4629" w:name="_Toc517173367"/>
      <w:bookmarkStart w:id="4630" w:name="_Toc517175041"/>
      <w:bookmarkStart w:id="4631" w:name="_Toc517175628"/>
      <w:bookmarkStart w:id="4632" w:name="_Toc517176216"/>
      <w:bookmarkStart w:id="4633" w:name="_Toc517337541"/>
      <w:bookmarkStart w:id="4634" w:name="_Toc517360337"/>
      <w:bookmarkStart w:id="4635" w:name="_Toc512523774"/>
      <w:bookmarkStart w:id="4636" w:name="_Toc512525464"/>
      <w:bookmarkStart w:id="4637" w:name="_Toc515896773"/>
      <w:bookmarkStart w:id="4638" w:name="_Toc74557707"/>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r>
        <w:t>VI.4.</w:t>
      </w:r>
      <w:bookmarkStart w:id="4639" w:name="_Toc516739716"/>
      <w:bookmarkStart w:id="4640" w:name="_Toc516751629"/>
      <w:bookmarkStart w:id="4641" w:name="_Toc516825717"/>
      <w:bookmarkStart w:id="4642" w:name="_Toc516826275"/>
      <w:bookmarkStart w:id="4643" w:name="_Toc516837595"/>
      <w:bookmarkStart w:id="4644" w:name="_Toc516838154"/>
      <w:bookmarkStart w:id="4645" w:name="_Toc516838713"/>
      <w:bookmarkStart w:id="4646" w:name="_Toc516839273"/>
      <w:bookmarkStart w:id="4647" w:name="_Toc517173369"/>
      <w:bookmarkStart w:id="4648" w:name="_Toc517175043"/>
      <w:bookmarkStart w:id="4649" w:name="_Toc517175630"/>
      <w:bookmarkStart w:id="4650" w:name="_Toc517176218"/>
      <w:bookmarkStart w:id="4651" w:name="_Toc517337543"/>
      <w:bookmarkStart w:id="4652" w:name="_Toc517360339"/>
      <w:bookmarkStart w:id="4653" w:name="_Toc515896775"/>
      <w:bookmarkEnd w:id="4635"/>
      <w:bookmarkEnd w:id="4636"/>
      <w:bookmarkEnd w:id="4637"/>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r w:rsidR="00A51939">
        <w:t>1</w:t>
      </w:r>
      <w:r w:rsidR="00257704">
        <w:t>4</w:t>
      </w:r>
      <w:r w:rsidR="00A51939">
        <w:t xml:space="preserve"> </w:t>
      </w:r>
      <w:r w:rsidR="009B153C" w:rsidRPr="00691096">
        <w:t>La procédure de la taxation d’office</w:t>
      </w:r>
      <w:bookmarkEnd w:id="4653"/>
      <w:r w:rsidR="00072B24" w:rsidRPr="008D7EB7">
        <w:rPr>
          <w:rStyle w:val="Appelnotedebasdep"/>
        </w:rPr>
        <w:footnoteReference w:id="114"/>
      </w:r>
      <w:bookmarkEnd w:id="4638"/>
    </w:p>
    <w:p w14:paraId="68553638" w14:textId="77777777"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t xml:space="preserve">Lorsque le règlement de taxation prévoit une obligation de déclaration, l’autorité habilitée à arrêter le rôle </w:t>
      </w:r>
      <w:r w:rsidRPr="00BB13C1">
        <w:rPr>
          <w:rFonts w:asciiTheme="minorHAnsi" w:hAnsiTheme="minorHAnsi" w:cs="Calibri Light"/>
          <w:color w:val="0D0D0D"/>
          <w:u w:val="single"/>
        </w:rPr>
        <w:t>doit</w:t>
      </w:r>
      <w:r w:rsidRPr="00BB13C1">
        <w:rPr>
          <w:rFonts w:asciiTheme="minorHAnsi" w:hAnsiTheme="minorHAnsi" w:cs="Calibri Light"/>
          <w:color w:val="0D0D0D"/>
        </w:rPr>
        <w:t>, sous peine de nullité de l’imposition, recourir à la taxation d’office dans les cas suivants :</w:t>
      </w:r>
    </w:p>
    <w:p w14:paraId="280DE088" w14:textId="77777777" w:rsidR="00BB13C1" w:rsidRPr="00BB13C1" w:rsidRDefault="00BB13C1" w:rsidP="00453CB4">
      <w:pPr>
        <w:numPr>
          <w:ilvl w:val="0"/>
          <w:numId w:val="96"/>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la</w:t>
      </w:r>
      <w:proofErr w:type="gramEnd"/>
      <w:r w:rsidRPr="00BB13C1">
        <w:rPr>
          <w:rFonts w:asciiTheme="minorHAnsi" w:hAnsiTheme="minorHAnsi" w:cs="Calibri Light"/>
          <w:color w:val="0D0D0D"/>
        </w:rPr>
        <w:t xml:space="preserve"> non-déclaration dans les délais prévus par le règlement ;</w:t>
      </w:r>
    </w:p>
    <w:p w14:paraId="376B9840" w14:textId="77777777" w:rsidR="00BB13C1" w:rsidRPr="00BB13C1" w:rsidRDefault="00BB13C1" w:rsidP="00453CB4">
      <w:pPr>
        <w:numPr>
          <w:ilvl w:val="0"/>
          <w:numId w:val="96"/>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ou</w:t>
      </w:r>
      <w:proofErr w:type="gramEnd"/>
      <w:r w:rsidRPr="00BB13C1">
        <w:rPr>
          <w:rFonts w:asciiTheme="minorHAnsi" w:hAnsiTheme="minorHAnsi" w:cs="Calibri Light"/>
          <w:color w:val="0D0D0D"/>
        </w:rPr>
        <w:t xml:space="preserve"> la remise d’une déclaration incorrecte, incomplète ou imprécise de la part du redevable.</w:t>
      </w:r>
    </w:p>
    <w:p w14:paraId="35BC96BC" w14:textId="77777777"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t>Ces infractions doivent être constatées par des fonctionnaires assermentés et spécialement désignés à cet effet par l’autorité habilitée à arrêter les rôles.</w:t>
      </w:r>
    </w:p>
    <w:p w14:paraId="1EEF68B7" w14:textId="421822F3"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t xml:space="preserve">La jurisprudence concordante de la Cour de </w:t>
      </w:r>
      <w:proofErr w:type="gramStart"/>
      <w:r w:rsidRPr="00BB13C1">
        <w:rPr>
          <w:rFonts w:asciiTheme="minorHAnsi" w:hAnsiTheme="minorHAnsi" w:cs="Calibri Light"/>
          <w:color w:val="0D0D0D"/>
        </w:rPr>
        <w:t>Cassation</w:t>
      </w:r>
      <w:proofErr w:type="gramEnd"/>
      <w:r w:rsidR="0089574C">
        <w:rPr>
          <w:rStyle w:val="Appelnotedebasdep"/>
          <w:rFonts w:asciiTheme="minorHAnsi" w:hAnsiTheme="minorHAnsi" w:cs="Calibri Light"/>
          <w:color w:val="0D0D0D"/>
        </w:rPr>
        <w:footnoteReference w:id="115"/>
      </w:r>
      <w:r w:rsidRPr="00BB13C1">
        <w:rPr>
          <w:rFonts w:asciiTheme="minorHAnsi" w:hAnsiTheme="minorHAnsi" w:cs="Calibri Light"/>
          <w:color w:val="0D0D0D"/>
        </w:rPr>
        <w:t xml:space="preserve"> fait apparaître que :</w:t>
      </w:r>
    </w:p>
    <w:p w14:paraId="6190F3B8" w14:textId="77777777" w:rsidR="00BB13C1" w:rsidRPr="00BB13C1" w:rsidRDefault="00BB13C1" w:rsidP="00453CB4">
      <w:pPr>
        <w:numPr>
          <w:ilvl w:val="0"/>
          <w:numId w:val="97"/>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cette</w:t>
      </w:r>
      <w:proofErr w:type="gramEnd"/>
      <w:r w:rsidRPr="00BB13C1">
        <w:rPr>
          <w:rFonts w:asciiTheme="minorHAnsi" w:hAnsiTheme="minorHAnsi" w:cs="Calibri Light"/>
          <w:color w:val="0D0D0D"/>
        </w:rPr>
        <w:t xml:space="preserve"> procédure est </w:t>
      </w:r>
      <w:r w:rsidRPr="00BB13C1">
        <w:rPr>
          <w:rFonts w:asciiTheme="minorHAnsi" w:hAnsiTheme="minorHAnsi" w:cs="Calibri Light"/>
          <w:color w:val="0D0D0D"/>
          <w:u w:val="single"/>
        </w:rPr>
        <w:t>obligatoire</w:t>
      </w:r>
      <w:r w:rsidRPr="00BB13C1">
        <w:rPr>
          <w:rFonts w:asciiTheme="minorHAnsi" w:hAnsiTheme="minorHAnsi" w:cs="Calibri Light"/>
          <w:color w:val="0D0D0D"/>
        </w:rPr>
        <w:t xml:space="preserve"> en ce sens que l’autorité habilitée à arrêter le rôle ne peut pas renoncer à cette procédure ; </w:t>
      </w:r>
    </w:p>
    <w:p w14:paraId="10E2BF60" w14:textId="77777777" w:rsidR="00BB13C1" w:rsidRPr="00BB13C1" w:rsidRDefault="00BB13C1" w:rsidP="00453CB4">
      <w:pPr>
        <w:numPr>
          <w:ilvl w:val="0"/>
          <w:numId w:val="97"/>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lorsqu’une</w:t>
      </w:r>
      <w:proofErr w:type="gramEnd"/>
      <w:r w:rsidRPr="00BB13C1">
        <w:rPr>
          <w:rFonts w:asciiTheme="minorHAnsi" w:hAnsiTheme="minorHAnsi" w:cs="Calibri Light"/>
          <w:color w:val="0D0D0D"/>
        </w:rPr>
        <w:t xml:space="preserve"> déclaration est rentrée tardivement, l’autorité habilitée à arrêter le rôle peut procéder, sans recourir à la procédure d’imposition d’office, à la taxation si celle-ci est uniquement et exclusivement basée sur le(s) montant(s) et autres éléments mentionnés (par exemple : le taux, la revendication d’une exonération, etc.) par le redevable dans la déclaration qu’il n’a pas introduite en temps utile.</w:t>
      </w:r>
    </w:p>
    <w:p w14:paraId="65D47E12" w14:textId="77777777"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t>Autrement dit, si l’autorité habilitée à arrêter le rôle ne peut pas établir la taxe sur la base du montant et des éléments fournis par le redevable dans une déclaration qu’il n’a pas introduite en temps utile, elle est tenue, sous peine de nullité de l’imposition établie, de recourir à la procédure de taxation d’office.    </w:t>
      </w:r>
    </w:p>
    <w:p w14:paraId="23F55B39" w14:textId="77777777"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t>La procédure de taxation d’office implique que l'autorité habilitée à arrêter le rôle doit aviser le redevable par lettre recommandée à la poste :</w:t>
      </w:r>
    </w:p>
    <w:p w14:paraId="16B955A7" w14:textId="5DA07326" w:rsidR="00BB13C1" w:rsidRPr="00BB13C1" w:rsidRDefault="00BB13C1" w:rsidP="00453CB4">
      <w:pPr>
        <w:numPr>
          <w:ilvl w:val="0"/>
          <w:numId w:val="98"/>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des</w:t>
      </w:r>
      <w:proofErr w:type="gramEnd"/>
      <w:r w:rsidRPr="00BB13C1">
        <w:rPr>
          <w:rFonts w:asciiTheme="minorHAnsi" w:hAnsiTheme="minorHAnsi" w:cs="Calibri Light"/>
          <w:color w:val="0D0D0D"/>
        </w:rPr>
        <w:t xml:space="preserve"> motifs du recours à cette procédure à savoir soit la non-déclaration dans les délais prévus par le </w:t>
      </w:r>
      <w:r w:rsidR="001044C0" w:rsidRPr="00BB13C1">
        <w:rPr>
          <w:rFonts w:asciiTheme="minorHAnsi" w:hAnsiTheme="minorHAnsi" w:cs="Calibri Light"/>
          <w:color w:val="0D0D0D"/>
        </w:rPr>
        <w:t>règlement </w:t>
      </w:r>
      <w:r w:rsidR="00063A7D" w:rsidRPr="00BB13C1">
        <w:rPr>
          <w:rFonts w:asciiTheme="minorHAnsi" w:hAnsiTheme="minorHAnsi" w:cs="Calibri Light"/>
          <w:color w:val="0D0D0D"/>
        </w:rPr>
        <w:t>soit la</w:t>
      </w:r>
      <w:r w:rsidRPr="00BB13C1">
        <w:rPr>
          <w:rFonts w:asciiTheme="minorHAnsi" w:hAnsiTheme="minorHAnsi" w:cs="Calibri Light"/>
          <w:color w:val="0D0D0D"/>
        </w:rPr>
        <w:t xml:space="preserve"> remise d’une déclaration incorrecte, incomplète ou imprécise) ;</w:t>
      </w:r>
    </w:p>
    <w:p w14:paraId="5F17A721" w14:textId="77777777" w:rsidR="00BB13C1" w:rsidRPr="00BB13C1" w:rsidRDefault="00BB13C1" w:rsidP="00453CB4">
      <w:pPr>
        <w:numPr>
          <w:ilvl w:val="0"/>
          <w:numId w:val="98"/>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les</w:t>
      </w:r>
      <w:proofErr w:type="gramEnd"/>
      <w:r w:rsidRPr="00BB13C1">
        <w:rPr>
          <w:rFonts w:asciiTheme="minorHAnsi" w:hAnsiTheme="minorHAnsi" w:cs="Calibri Light"/>
          <w:color w:val="0D0D0D"/>
        </w:rPr>
        <w:t xml:space="preserve"> éléments sur lesquels la taxation est basée ;</w:t>
      </w:r>
    </w:p>
    <w:p w14:paraId="2973976C" w14:textId="77777777" w:rsidR="00BB13C1" w:rsidRPr="00BB13C1" w:rsidRDefault="00BB13C1" w:rsidP="00453CB4">
      <w:pPr>
        <w:numPr>
          <w:ilvl w:val="0"/>
          <w:numId w:val="98"/>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le</w:t>
      </w:r>
      <w:proofErr w:type="gramEnd"/>
      <w:r w:rsidRPr="00BB13C1">
        <w:rPr>
          <w:rFonts w:asciiTheme="minorHAnsi" w:hAnsiTheme="minorHAnsi" w:cs="Calibri Light"/>
          <w:color w:val="0D0D0D"/>
        </w:rPr>
        <w:t xml:space="preserve"> mode de détermination de ces éléments ;</w:t>
      </w:r>
    </w:p>
    <w:p w14:paraId="5284DC6E" w14:textId="77777777" w:rsidR="00BB13C1" w:rsidRPr="00BB13C1" w:rsidRDefault="00BB13C1" w:rsidP="00453CB4">
      <w:pPr>
        <w:numPr>
          <w:ilvl w:val="0"/>
          <w:numId w:val="98"/>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le</w:t>
      </w:r>
      <w:proofErr w:type="gramEnd"/>
      <w:r w:rsidRPr="00BB13C1">
        <w:rPr>
          <w:rFonts w:asciiTheme="minorHAnsi" w:hAnsiTheme="minorHAnsi" w:cs="Calibri Light"/>
          <w:color w:val="0D0D0D"/>
        </w:rPr>
        <w:t xml:space="preserve"> montant de la taxe.</w:t>
      </w:r>
    </w:p>
    <w:p w14:paraId="4E094BC4" w14:textId="77777777"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t>Le redevable dispose d'un délai de trente jours à compter de la date d'envoi de la notification pour faire valoir ses observations par écrit.</w:t>
      </w:r>
    </w:p>
    <w:p w14:paraId="55AC75F1" w14:textId="77777777" w:rsidR="00BB13C1" w:rsidRPr="00BB13C1" w:rsidRDefault="00BB13C1" w:rsidP="00BB13C1">
      <w:pPr>
        <w:spacing w:before="120"/>
        <w:jc w:val="both"/>
        <w:textAlignment w:val="baseline"/>
        <w:rPr>
          <w:rFonts w:asciiTheme="minorHAnsi" w:hAnsiTheme="minorHAnsi" w:cs="Calibri Light"/>
          <w:color w:val="0D0D0D"/>
        </w:rPr>
      </w:pPr>
      <w:r w:rsidRPr="00BB13C1">
        <w:rPr>
          <w:rFonts w:asciiTheme="minorHAnsi" w:hAnsiTheme="minorHAnsi" w:cs="Calibri Light"/>
          <w:color w:val="0D0D0D"/>
        </w:rPr>
        <w:lastRenderedPageBreak/>
        <w:t>Préalablement à l’établissement de la cotisation, je conseille à l'autorité habilitée à arrêter le rôle de vérifier notamment sur la base des observations formulées par le redevable :</w:t>
      </w:r>
    </w:p>
    <w:p w14:paraId="5435934A" w14:textId="77777777" w:rsidR="00BB13C1" w:rsidRPr="00BB13C1" w:rsidRDefault="00BB13C1" w:rsidP="00453CB4">
      <w:pPr>
        <w:numPr>
          <w:ilvl w:val="0"/>
          <w:numId w:val="99"/>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si</w:t>
      </w:r>
      <w:proofErr w:type="gramEnd"/>
      <w:r w:rsidRPr="00BB13C1">
        <w:rPr>
          <w:rFonts w:asciiTheme="minorHAnsi" w:hAnsiTheme="minorHAnsi" w:cs="Calibri Light"/>
          <w:color w:val="0D0D0D"/>
        </w:rPr>
        <w:t xml:space="preserve"> ce n’est pas à tort que la procédure d’office a été utilisée ;</w:t>
      </w:r>
    </w:p>
    <w:p w14:paraId="26605793" w14:textId="3E2DC843" w:rsidR="00BB13C1" w:rsidRDefault="00BB13C1" w:rsidP="00453CB4">
      <w:pPr>
        <w:numPr>
          <w:ilvl w:val="0"/>
          <w:numId w:val="99"/>
        </w:numPr>
        <w:ind w:left="714" w:hanging="357"/>
        <w:jc w:val="both"/>
        <w:textAlignment w:val="baseline"/>
        <w:rPr>
          <w:rFonts w:asciiTheme="minorHAnsi" w:hAnsiTheme="minorHAnsi" w:cs="Calibri Light"/>
          <w:color w:val="0D0D0D"/>
        </w:rPr>
      </w:pPr>
      <w:proofErr w:type="gramStart"/>
      <w:r w:rsidRPr="00BB13C1">
        <w:rPr>
          <w:rFonts w:asciiTheme="minorHAnsi" w:hAnsiTheme="minorHAnsi" w:cs="Calibri Light"/>
          <w:color w:val="0D0D0D"/>
        </w:rPr>
        <w:t>si</w:t>
      </w:r>
      <w:proofErr w:type="gramEnd"/>
      <w:r w:rsidRPr="00BB13C1">
        <w:rPr>
          <w:rFonts w:asciiTheme="minorHAnsi" w:hAnsiTheme="minorHAnsi" w:cs="Calibri Light"/>
          <w:color w:val="0D0D0D"/>
        </w:rPr>
        <w:t xml:space="preserve"> la détermination du montant qui est soumis à la taxe n’est pas entachée d’une erreur.</w:t>
      </w:r>
    </w:p>
    <w:p w14:paraId="4401DBF6" w14:textId="77777777" w:rsidR="004C0409" w:rsidRPr="00971487" w:rsidRDefault="004C0409" w:rsidP="004C0409">
      <w:pPr>
        <w:pStyle w:val="Paragraphedeliste"/>
        <w:ind w:left="0"/>
        <w:jc w:val="both"/>
        <w:rPr>
          <w:rFonts w:asciiTheme="minorHAnsi" w:hAnsiTheme="minorHAnsi" w:cs="Calibri Light"/>
          <w:color w:val="0D0D0D"/>
          <w:sz w:val="10"/>
          <w:szCs w:val="10"/>
          <w:lang w:val="fr-BE"/>
        </w:rPr>
      </w:pPr>
      <w:bookmarkStart w:id="4654" w:name="_Hlk39067102"/>
    </w:p>
    <w:p w14:paraId="55658B31" w14:textId="634DE197" w:rsidR="000F1785" w:rsidRDefault="004C0409" w:rsidP="000F1785">
      <w:pPr>
        <w:pStyle w:val="Paragraphedeliste"/>
        <w:ind w:left="0"/>
        <w:jc w:val="both"/>
        <w:rPr>
          <w:rFonts w:asciiTheme="minorHAnsi" w:hAnsiTheme="minorHAnsi" w:cs="Calibri Light"/>
          <w:color w:val="0D0D0D"/>
          <w:lang w:val="fr-BE"/>
        </w:rPr>
      </w:pPr>
      <w:r w:rsidRPr="008D7EB7">
        <w:rPr>
          <w:rFonts w:asciiTheme="minorHAnsi" w:hAnsiTheme="minorHAnsi" w:cs="Calibri Light"/>
          <w:color w:val="0D0D0D"/>
          <w:lang w:val="fr-BE"/>
        </w:rPr>
        <w:t>De même, j’encourage l'autorité habilitée à arrêter le rôle à faire connaître, même si cela n’est pas prévu dans le CDLD, au redevable, par écrit, au plus tard le jour de l'établissement de la cotisation, les observations que celui-ci a formulées, et dont elle n'a pas tenu compte, en indiquant les motifs qui justifient sa décision.</w:t>
      </w:r>
      <w:bookmarkEnd w:id="4654"/>
    </w:p>
    <w:p w14:paraId="2C78D9F7" w14:textId="77777777" w:rsidR="000F1785" w:rsidRPr="00971487" w:rsidRDefault="000F1785" w:rsidP="000F1785">
      <w:pPr>
        <w:pStyle w:val="Paragraphedeliste"/>
        <w:ind w:left="0"/>
        <w:jc w:val="both"/>
        <w:rPr>
          <w:rFonts w:asciiTheme="minorHAnsi" w:hAnsiTheme="minorHAnsi" w:cs="Calibri Light"/>
          <w:color w:val="0D0D0D"/>
          <w:sz w:val="10"/>
          <w:szCs w:val="10"/>
          <w:lang w:val="fr-BE"/>
        </w:rPr>
      </w:pPr>
    </w:p>
    <w:p w14:paraId="26B302EA" w14:textId="3848503F" w:rsidR="000F1785" w:rsidRDefault="00BB13C1" w:rsidP="000F1785">
      <w:pPr>
        <w:pStyle w:val="Paragraphedeliste"/>
        <w:ind w:left="0"/>
        <w:jc w:val="both"/>
        <w:rPr>
          <w:rFonts w:asciiTheme="minorHAnsi" w:hAnsiTheme="minorHAnsi" w:cs="Calibri Light"/>
          <w:color w:val="0D0D0D"/>
          <w:lang w:val="fr-BE"/>
        </w:rPr>
      </w:pPr>
      <w:r w:rsidRPr="00BB13C1">
        <w:rPr>
          <w:rFonts w:asciiTheme="minorHAnsi" w:hAnsiTheme="minorHAnsi" w:cs="Calibri Light"/>
          <w:color w:val="0D0D0D"/>
          <w:lang w:val="fr-BE"/>
        </w:rPr>
        <w:t>La taxation d’office ne peut être enrôlée valablement que pendant une période de trois ans à compter du 1</w:t>
      </w:r>
      <w:r w:rsidRPr="00BB13C1">
        <w:rPr>
          <w:rFonts w:asciiTheme="minorHAnsi" w:hAnsiTheme="minorHAnsi" w:cs="Calibri Light"/>
          <w:color w:val="0D0D0D"/>
          <w:vertAlign w:val="superscript"/>
          <w:lang w:val="fr-BE"/>
        </w:rPr>
        <w:t>er</w:t>
      </w:r>
      <w:r w:rsidRPr="00BB13C1">
        <w:rPr>
          <w:rFonts w:asciiTheme="minorHAnsi" w:hAnsiTheme="minorHAnsi" w:cs="Calibri Light"/>
          <w:color w:val="0D0D0D"/>
          <w:lang w:val="fr-BE"/>
        </w:rPr>
        <w:t xml:space="preserve"> janvier de l’exercice d’imposition. Ce délai est prolongé de deux ans en cas d’infraction au règlement de taxation commise dans une intention frauduleuse ou à dessein de nuire.</w:t>
      </w:r>
    </w:p>
    <w:p w14:paraId="1F891F54" w14:textId="77777777" w:rsidR="000F1785" w:rsidRPr="00971487" w:rsidRDefault="000F1785" w:rsidP="000F1785">
      <w:pPr>
        <w:pStyle w:val="Paragraphedeliste"/>
        <w:ind w:left="0"/>
        <w:jc w:val="both"/>
        <w:rPr>
          <w:rFonts w:asciiTheme="minorHAnsi" w:hAnsiTheme="minorHAnsi" w:cs="Calibri Light"/>
          <w:color w:val="0D0D0D"/>
          <w:sz w:val="10"/>
          <w:szCs w:val="10"/>
          <w:lang w:val="fr-BE"/>
        </w:rPr>
      </w:pPr>
    </w:p>
    <w:p w14:paraId="7CA8E8D9" w14:textId="24BF522F" w:rsidR="000F1785" w:rsidRDefault="00BB13C1" w:rsidP="000F1785">
      <w:pPr>
        <w:pStyle w:val="Paragraphedeliste"/>
        <w:ind w:left="0"/>
        <w:jc w:val="both"/>
        <w:rPr>
          <w:rFonts w:asciiTheme="minorHAnsi" w:hAnsiTheme="minorHAnsi" w:cs="Calibri Light"/>
          <w:color w:val="0D0D0D"/>
          <w:lang w:val="fr-BE"/>
        </w:rPr>
      </w:pPr>
      <w:r w:rsidRPr="00BB13C1">
        <w:rPr>
          <w:rFonts w:asciiTheme="minorHAnsi" w:hAnsiTheme="minorHAnsi" w:cs="Calibri Light"/>
          <w:color w:val="0D0D0D"/>
          <w:lang w:val="fr-BE"/>
        </w:rPr>
        <w:t xml:space="preserve">Pour rappel, le règlement de taxation </w:t>
      </w:r>
      <w:r w:rsidR="00095952">
        <w:rPr>
          <w:rFonts w:asciiTheme="minorHAnsi" w:hAnsiTheme="minorHAnsi" w:cs="Calibri Light"/>
          <w:color w:val="0D0D0D"/>
          <w:lang w:val="fr-BE"/>
        </w:rPr>
        <w:t>doit</w:t>
      </w:r>
      <w:r w:rsidR="00095952" w:rsidRPr="00BB13C1">
        <w:rPr>
          <w:rFonts w:asciiTheme="minorHAnsi" w:hAnsiTheme="minorHAnsi" w:cs="Calibri Light"/>
          <w:color w:val="0D0D0D"/>
          <w:lang w:val="fr-BE"/>
        </w:rPr>
        <w:t xml:space="preserve"> </w:t>
      </w:r>
      <w:r w:rsidRPr="00BB13C1">
        <w:rPr>
          <w:rFonts w:asciiTheme="minorHAnsi" w:hAnsiTheme="minorHAnsi" w:cs="Calibri Light"/>
          <w:color w:val="0D0D0D"/>
          <w:lang w:val="fr-BE"/>
        </w:rPr>
        <w:t>prévoir que les taxes enrôlées d’office sont majorées de tel montant qu’il fixe et qui ne peut dépasser le double de la taxe qui est due. Le montant de cette majoration est également enrôlé.</w:t>
      </w:r>
    </w:p>
    <w:p w14:paraId="6852A2FB" w14:textId="77777777" w:rsidR="000F1785" w:rsidRPr="00971487" w:rsidRDefault="000F1785" w:rsidP="008D7EB7">
      <w:pPr>
        <w:pStyle w:val="Paragraphedeliste"/>
        <w:ind w:left="0"/>
        <w:jc w:val="both"/>
        <w:rPr>
          <w:rFonts w:asciiTheme="minorHAnsi" w:hAnsiTheme="minorHAnsi" w:cs="Calibri Light"/>
          <w:color w:val="0D0D0D"/>
          <w:sz w:val="10"/>
          <w:szCs w:val="10"/>
          <w:lang w:val="fr-BE"/>
        </w:rPr>
      </w:pPr>
    </w:p>
    <w:p w14:paraId="56A5ACFE" w14:textId="026E01C4" w:rsidR="00BB13C1" w:rsidRPr="00BB13C1" w:rsidRDefault="000F1785" w:rsidP="008D7EB7">
      <w:pPr>
        <w:pStyle w:val="Paragraphedeliste"/>
        <w:ind w:left="0"/>
        <w:jc w:val="both"/>
        <w:rPr>
          <w:rFonts w:asciiTheme="minorHAnsi" w:hAnsiTheme="minorHAnsi" w:cs="Calibri Light"/>
          <w:color w:val="0D0D0D"/>
          <w:lang w:val="fr-BE"/>
        </w:rPr>
      </w:pPr>
      <w:r>
        <w:rPr>
          <w:rFonts w:asciiTheme="minorHAnsi" w:hAnsiTheme="minorHAnsi" w:cs="Calibri Light"/>
          <w:color w:val="0D0D0D"/>
        </w:rPr>
        <w:t>C</w:t>
      </w:r>
      <w:r w:rsidR="00BB13C1" w:rsidRPr="00BB13C1">
        <w:rPr>
          <w:rFonts w:asciiTheme="minorHAnsi" w:hAnsiTheme="minorHAnsi" w:cs="Calibri Light"/>
          <w:color w:val="0D0D0D"/>
        </w:rPr>
        <w:t xml:space="preserve">omme vous pouvez le constater, pour éviter la nullité des cotisations enrôlées via la procédure de taxation d’office, je vous incite à suivre de manière stricte les règles prévues aux articles L3321-6 et suivants du CDLD. </w:t>
      </w:r>
    </w:p>
    <w:p w14:paraId="72FA4C8F" w14:textId="77777777" w:rsidR="00434194" w:rsidRPr="00453CB4" w:rsidRDefault="00434194" w:rsidP="00E063FD">
      <w:pPr>
        <w:spacing w:before="120"/>
        <w:jc w:val="both"/>
        <w:textAlignment w:val="baseline"/>
        <w:rPr>
          <w:rFonts w:asciiTheme="minorHAnsi" w:hAnsiTheme="minorHAnsi" w:cs="Calibri Light"/>
          <w:color w:val="0D0D0D"/>
          <w:sz w:val="10"/>
          <w:szCs w:val="10"/>
        </w:rPr>
      </w:pPr>
    </w:p>
    <w:p w14:paraId="60EA7C02" w14:textId="5DA1D77F" w:rsidR="009B153C" w:rsidRPr="00E063FD" w:rsidRDefault="004672E1" w:rsidP="00256E9F">
      <w:pPr>
        <w:pStyle w:val="Sam3"/>
      </w:pPr>
      <w:bookmarkStart w:id="4655" w:name="_Toc8121798"/>
      <w:bookmarkStart w:id="4656" w:name="_Toc8129739"/>
      <w:bookmarkStart w:id="4657" w:name="_Toc516739719"/>
      <w:bookmarkStart w:id="4658" w:name="_Toc516751632"/>
      <w:bookmarkStart w:id="4659" w:name="_Toc516825720"/>
      <w:bookmarkStart w:id="4660" w:name="_Toc516826278"/>
      <w:bookmarkStart w:id="4661" w:name="_Toc516837598"/>
      <w:bookmarkStart w:id="4662" w:name="_Toc516838157"/>
      <w:bookmarkStart w:id="4663" w:name="_Toc516838716"/>
      <w:bookmarkStart w:id="4664" w:name="_Toc516839276"/>
      <w:bookmarkStart w:id="4665" w:name="_Toc517173372"/>
      <w:bookmarkStart w:id="4666" w:name="_Toc517175046"/>
      <w:bookmarkStart w:id="4667" w:name="_Toc517175633"/>
      <w:bookmarkStart w:id="4668" w:name="_Toc517176221"/>
      <w:bookmarkStart w:id="4669" w:name="_Toc517337546"/>
      <w:bookmarkStart w:id="4670" w:name="_Toc517360342"/>
      <w:bookmarkStart w:id="4671" w:name="_Toc516739720"/>
      <w:bookmarkStart w:id="4672" w:name="_Toc516751633"/>
      <w:bookmarkStart w:id="4673" w:name="_Toc516825721"/>
      <w:bookmarkStart w:id="4674" w:name="_Toc516826279"/>
      <w:bookmarkStart w:id="4675" w:name="_Toc516837599"/>
      <w:bookmarkStart w:id="4676" w:name="_Toc516838158"/>
      <w:bookmarkStart w:id="4677" w:name="_Toc516838717"/>
      <w:bookmarkStart w:id="4678" w:name="_Toc516839277"/>
      <w:bookmarkStart w:id="4679" w:name="_Toc517173373"/>
      <w:bookmarkStart w:id="4680" w:name="_Toc517175047"/>
      <w:bookmarkStart w:id="4681" w:name="_Toc517175634"/>
      <w:bookmarkStart w:id="4682" w:name="_Toc517176222"/>
      <w:bookmarkStart w:id="4683" w:name="_Toc517337547"/>
      <w:bookmarkStart w:id="4684" w:name="_Toc517360343"/>
      <w:bookmarkStart w:id="4685" w:name="_Toc512523775"/>
      <w:bookmarkStart w:id="4686" w:name="_Toc512525465"/>
      <w:bookmarkStart w:id="4687" w:name="_Toc515896776"/>
      <w:bookmarkStart w:id="4688" w:name="_Toc74557708"/>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r>
        <w:rPr>
          <w:rStyle w:val="Titre3Car"/>
          <w:rFonts w:asciiTheme="minorHAnsi" w:eastAsia="PMingLiU" w:hAnsiTheme="minorHAnsi"/>
          <w:sz w:val="24"/>
          <w:szCs w:val="24"/>
        </w:rPr>
        <w:t>VI.4.</w:t>
      </w:r>
      <w:r w:rsidR="00A51939">
        <w:rPr>
          <w:rStyle w:val="Titre3Car"/>
          <w:rFonts w:asciiTheme="minorHAnsi" w:eastAsia="PMingLiU" w:hAnsiTheme="minorHAnsi"/>
          <w:sz w:val="24"/>
          <w:szCs w:val="24"/>
        </w:rPr>
        <w:t xml:space="preserve">14 </w:t>
      </w:r>
      <w:r w:rsidR="009B153C" w:rsidRPr="00BD52CB">
        <w:rPr>
          <w:rStyle w:val="Titre3Car"/>
          <w:rFonts w:asciiTheme="minorHAnsi" w:eastAsia="PMingLiU" w:hAnsiTheme="minorHAnsi"/>
          <w:sz w:val="24"/>
          <w:szCs w:val="24"/>
        </w:rPr>
        <w:t xml:space="preserve">Articles 355 à 357 </w:t>
      </w:r>
      <w:bookmarkEnd w:id="4685"/>
      <w:bookmarkEnd w:id="4686"/>
      <w:bookmarkEnd w:id="4687"/>
      <w:r w:rsidR="00072B24">
        <w:rPr>
          <w:rStyle w:val="Titre3Car"/>
          <w:rFonts w:asciiTheme="minorHAnsi" w:eastAsia="PMingLiU" w:hAnsiTheme="minorHAnsi"/>
          <w:sz w:val="24"/>
          <w:szCs w:val="24"/>
        </w:rPr>
        <w:t>du code des impôts sur les revenus</w:t>
      </w:r>
      <w:bookmarkEnd w:id="4688"/>
    </w:p>
    <w:p w14:paraId="35FFD44C" w14:textId="77777777" w:rsidR="003130F5" w:rsidRDefault="003130F5" w:rsidP="003130F5">
      <w:pPr>
        <w:spacing w:before="120"/>
        <w:jc w:val="both"/>
        <w:textAlignment w:val="baseline"/>
        <w:rPr>
          <w:spacing w:val="-1"/>
        </w:rPr>
      </w:pPr>
      <w:r>
        <w:rPr>
          <w:spacing w:val="-1"/>
        </w:rPr>
        <w:t>L'article L3321-12 du CDLD prévoit notamment que sans préjudice des dispositions du présent titre, les articles 355, 356 et 357 du Code des impôts sur les revenus sont applicables aux taxes provinciales et communales pour autant qu’elles ne concernent pas spécialement les impôts sur les revenus.</w:t>
      </w:r>
    </w:p>
    <w:p w14:paraId="32802B45" w14:textId="48DEC90D" w:rsidR="003130F5" w:rsidRDefault="003130F5" w:rsidP="003130F5">
      <w:pPr>
        <w:spacing w:before="120"/>
        <w:jc w:val="both"/>
        <w:textAlignment w:val="baseline"/>
        <w:rPr>
          <w:spacing w:val="-1"/>
        </w:rPr>
      </w:pPr>
      <w:r>
        <w:rPr>
          <w:spacing w:val="-1"/>
        </w:rPr>
        <w:t>La nouvelle cotisation prévue à l'article 355 du Code des impôts sur les revenus ne peut être établie que lorsque le Collège communal annule la cotisation initiale, tandis que la cotisation subsidiaire prévue à l'article 356 du Code des impôts sur les revenus ne peut être appliquée que si le juge annule la cotisation initiale.</w:t>
      </w:r>
    </w:p>
    <w:p w14:paraId="25D3C307" w14:textId="77777777" w:rsidR="004672E1" w:rsidRPr="00453CB4" w:rsidRDefault="004672E1" w:rsidP="003130F5">
      <w:pPr>
        <w:spacing w:before="120"/>
        <w:jc w:val="both"/>
        <w:textAlignment w:val="baseline"/>
        <w:rPr>
          <w:spacing w:val="-1"/>
          <w:sz w:val="10"/>
          <w:szCs w:val="10"/>
        </w:rPr>
      </w:pPr>
    </w:p>
    <w:p w14:paraId="7A08D0BA" w14:textId="5AC08FF7" w:rsidR="003130F5" w:rsidRDefault="000E5811" w:rsidP="008D7EB7">
      <w:pPr>
        <w:pStyle w:val="Sam4"/>
        <w:numPr>
          <w:ilvl w:val="0"/>
          <w:numId w:val="256"/>
        </w:numPr>
      </w:pPr>
      <w:bookmarkStart w:id="4689" w:name="_Toc40185459"/>
      <w:bookmarkStart w:id="4690" w:name="_Toc40186194"/>
      <w:bookmarkStart w:id="4691" w:name="_Toc74557709"/>
      <w:bookmarkEnd w:id="4689"/>
      <w:bookmarkEnd w:id="4690"/>
      <w:r>
        <w:t>Établissement</w:t>
      </w:r>
      <w:r w:rsidR="003130F5">
        <w:t xml:space="preserve"> d’une nouvelle cotisation</w:t>
      </w:r>
      <w:bookmarkEnd w:id="4691"/>
      <w:r w:rsidR="003130F5">
        <w:t xml:space="preserve"> </w:t>
      </w:r>
    </w:p>
    <w:p w14:paraId="3F3C6788" w14:textId="77777777" w:rsidR="003130F5" w:rsidRDefault="003130F5" w:rsidP="003130F5">
      <w:pPr>
        <w:spacing w:before="120"/>
        <w:jc w:val="both"/>
        <w:textAlignment w:val="baseline"/>
        <w:rPr>
          <w:spacing w:val="-1"/>
        </w:rPr>
      </w:pPr>
      <w:r>
        <w:rPr>
          <w:spacing w:val="-1"/>
        </w:rPr>
        <w:t>L'article 355 du Code des impôts sur les revenus prévoit que l'autorité compétente dispose d'un délai de trois mois à partir de la date à laquelle la décision du Collège communal n'est plus susceptible de recours en justice.</w:t>
      </w:r>
    </w:p>
    <w:p w14:paraId="0B5C9EE8" w14:textId="77777777" w:rsidR="003130F5" w:rsidRDefault="003130F5" w:rsidP="003130F5">
      <w:pPr>
        <w:spacing w:before="120"/>
        <w:jc w:val="both"/>
        <w:textAlignment w:val="baseline"/>
        <w:rPr>
          <w:spacing w:val="-1"/>
        </w:rPr>
      </w:pPr>
      <w:r>
        <w:rPr>
          <w:spacing w:val="-1"/>
        </w:rPr>
        <w:t>J’attire votre attention sur le fait que l'autorité compétente pour établir la nouvelle cotisation ne peut cependant établir une imposition sur la base des articles L3321-12 du CDLD et 355 du Code des impôts sur les revenus, lorsqu'elle celle-ci a commis une illégalité dans la procédure dans l'unique but d'éviter la forclusion.</w:t>
      </w:r>
    </w:p>
    <w:p w14:paraId="7B48DD3B" w14:textId="77777777" w:rsidR="003130F5" w:rsidRDefault="003130F5" w:rsidP="003130F5">
      <w:pPr>
        <w:spacing w:before="120"/>
        <w:jc w:val="both"/>
        <w:textAlignment w:val="baseline"/>
        <w:rPr>
          <w:color w:val="0D0D0D"/>
        </w:rPr>
      </w:pPr>
      <w:r>
        <w:rPr>
          <w:spacing w:val="-1"/>
        </w:rPr>
        <w:t>Ce serait ainsi le cas, si cette autorité compétente enrôlait fin décembre 2020 une taxation d’office concernant un exercice d’imposition 2018 (transmise au redevable par lettre recommandée à la poste le 4 décembre 2020) sans attendre que le redevable ait pu faire valoir ses observations par écrit dans le délai de trente jour</w:t>
      </w:r>
      <w:r>
        <w:rPr>
          <w:color w:val="0D0D0D"/>
        </w:rPr>
        <w:t xml:space="preserve">s à compter de la date d'envoi de la notification comme cela est prévu à l’article </w:t>
      </w:r>
      <w:r>
        <w:t>L3321-6 du CDLD</w:t>
      </w:r>
      <w:r>
        <w:rPr>
          <w:color w:val="0D0D0D"/>
        </w:rPr>
        <w:t>.</w:t>
      </w:r>
    </w:p>
    <w:p w14:paraId="03EF2827" w14:textId="61027CFB" w:rsidR="003670E5" w:rsidRDefault="003130F5" w:rsidP="00541AFA">
      <w:pPr>
        <w:spacing w:before="120"/>
        <w:jc w:val="both"/>
        <w:textAlignment w:val="baseline"/>
        <w:rPr>
          <w:spacing w:val="-1"/>
        </w:rPr>
      </w:pPr>
      <w:r>
        <w:rPr>
          <w:color w:val="0D0D0D"/>
        </w:rPr>
        <w:lastRenderedPageBreak/>
        <w:t xml:space="preserve">Comme le souligne la Cour de </w:t>
      </w:r>
      <w:proofErr w:type="gramStart"/>
      <w:r>
        <w:rPr>
          <w:color w:val="0D0D0D"/>
        </w:rPr>
        <w:t>Cassation</w:t>
      </w:r>
      <w:proofErr w:type="gramEnd"/>
      <w:r w:rsidR="003670E5" w:rsidRPr="008D7EB7">
        <w:rPr>
          <w:rStyle w:val="Appelnotedebasdep"/>
          <w:rFonts w:asciiTheme="minorHAnsi" w:hAnsiTheme="minorHAnsi" w:cs="Calibri Light"/>
          <w:color w:val="0D0D0D"/>
        </w:rPr>
        <w:footnoteReference w:id="116"/>
      </w:r>
      <w:r>
        <w:rPr>
          <w:color w:val="0D0D0D"/>
        </w:rPr>
        <w:t xml:space="preserve">, </w:t>
      </w:r>
      <w:r>
        <w:rPr>
          <w:spacing w:val="-1"/>
        </w:rPr>
        <w:t>dans le cas envisagé, l’autorité compétente violerait volontairement une règle légale dans le seul but d'éviter la prescription et de disposer ainsi, après l'annulation éventuelle de la cotisation irrégulière, d'un délai supplémentaire d'imposition à savoir, le délai de l'article 355 du Code des impôts sur les revenus. Par conséquent, cette illégalité commise intentionnellement constituerait un obstacle à l'application dudit article.</w:t>
      </w:r>
    </w:p>
    <w:p w14:paraId="37818F03" w14:textId="77777777" w:rsidR="00541AFA" w:rsidRPr="00DE5C49" w:rsidRDefault="00541AFA" w:rsidP="00541AFA">
      <w:pPr>
        <w:spacing w:before="120"/>
        <w:jc w:val="both"/>
        <w:textAlignment w:val="baseline"/>
        <w:rPr>
          <w:spacing w:val="-1"/>
          <w:sz w:val="10"/>
          <w:szCs w:val="10"/>
        </w:rPr>
      </w:pPr>
    </w:p>
    <w:p w14:paraId="2793FF09" w14:textId="033DCFC3" w:rsidR="003130F5" w:rsidRPr="008D7EB7" w:rsidRDefault="000E5811" w:rsidP="008D7EB7">
      <w:pPr>
        <w:pStyle w:val="Sam4"/>
        <w:numPr>
          <w:ilvl w:val="0"/>
          <w:numId w:val="256"/>
        </w:numPr>
      </w:pPr>
      <w:bookmarkStart w:id="4692" w:name="_Toc40185461"/>
      <w:bookmarkStart w:id="4693" w:name="_Toc40186196"/>
      <w:bookmarkStart w:id="4694" w:name="_Toc74557710"/>
      <w:bookmarkEnd w:id="4692"/>
      <w:bookmarkEnd w:id="4693"/>
      <w:r w:rsidRPr="008D7EB7">
        <w:t>Établissement</w:t>
      </w:r>
      <w:r w:rsidR="003130F5" w:rsidRPr="008D7EB7">
        <w:t xml:space="preserve"> d’une cotisation subsidiaire</w:t>
      </w:r>
      <w:bookmarkEnd w:id="4694"/>
      <w:r w:rsidR="003130F5" w:rsidRPr="008D7EB7">
        <w:t xml:space="preserve">  </w:t>
      </w:r>
    </w:p>
    <w:p w14:paraId="73ABCED6" w14:textId="77777777" w:rsidR="003130F5" w:rsidRDefault="003130F5" w:rsidP="003130F5">
      <w:pPr>
        <w:spacing w:before="120"/>
        <w:jc w:val="both"/>
        <w:textAlignment w:val="baseline"/>
      </w:pPr>
      <w:r>
        <w:t>Lorsqu’une décision du Collège communal fait l’objet d’un recours en justice, et que le juge prononce la nullité totale ou partielle de l’imposition pour une cause autre que la prescription, la cause reste inscrite au rôle pendant six mois à dater de la décision judiciaire. Pendant ce délai de six mois qui suspend les délais d’opposition, d’appel ou de cassation, l’autorité compétente peut soumettre à l’appréciation du juge par voie de conclusions, une cotisation subsidiaire à charge du même redevable et en raison de tout ou partie des mêmes éléments d’imposition que la cotisation primitive.</w:t>
      </w:r>
    </w:p>
    <w:p w14:paraId="212AEE64" w14:textId="4FECE132" w:rsidR="003130F5" w:rsidRDefault="003130F5" w:rsidP="003130F5">
      <w:pPr>
        <w:spacing w:before="120"/>
        <w:jc w:val="both"/>
        <w:textAlignment w:val="baseline"/>
      </w:pPr>
      <w:r>
        <w:t>La Cour constitutionnelle</w:t>
      </w:r>
      <w:r w:rsidR="003670E5">
        <w:rPr>
          <w:rStyle w:val="Appelnotedebasdep"/>
        </w:rPr>
        <w:footnoteReference w:id="117"/>
      </w:r>
      <w:r>
        <w:t xml:space="preserve"> a précisé que si l’autorité compétente fait usage de la possibilité d’établir une cotisation subsidiaire au cours du litige initial, elle doit le faire dans un délai déterminé, à savoir avant la clôture des débats. Étant donné que, dans cette hypothèse, l’affaire reste pendante devant le juge, qui doit prendre en considération le principe général selon lequel une décision définitive doit être prise dans un délai raisonnable, il est justifié que la disposition en cause ne prévoie aucun délai de forclusion pour l’autorité compétente.</w:t>
      </w:r>
    </w:p>
    <w:p w14:paraId="0708358B" w14:textId="4D88124E" w:rsidR="003130F5" w:rsidRDefault="003130F5" w:rsidP="003130F5">
      <w:pPr>
        <w:spacing w:before="120"/>
        <w:jc w:val="both"/>
        <w:textAlignment w:val="baseline"/>
      </w:pPr>
      <w:bookmarkStart w:id="4695" w:name="_Hlk39067405"/>
      <w:r>
        <w:t xml:space="preserve">J’attire votre attention sur le fait que l’article 356 du code des impôts sur les revenus ne peut s'appliquer que lorsqu'une décision directoriale a effectivement été rendue. </w:t>
      </w:r>
      <w:r w:rsidR="00E46EA6" w:rsidRPr="008D7EB7">
        <w:t>Il est donc important pour le Collège communal de prendre sa décision dans les 6 mois de la réc</w:t>
      </w:r>
      <w:r w:rsidR="006B1AFC" w:rsidRPr="008D7EB7">
        <w:t>e</w:t>
      </w:r>
      <w:r w:rsidR="00E46EA6" w:rsidRPr="008D7EB7">
        <w:t>ption de la réclamation (ou dans les 9 mois si imposition d’office).</w:t>
      </w:r>
    </w:p>
    <w:bookmarkEnd w:id="4695"/>
    <w:p w14:paraId="60FAC659" w14:textId="406692F6" w:rsidR="003130F5" w:rsidRDefault="003130F5" w:rsidP="003130F5">
      <w:pPr>
        <w:spacing w:before="120"/>
        <w:jc w:val="both"/>
        <w:textAlignment w:val="baseline"/>
      </w:pPr>
      <w:r>
        <w:t xml:space="preserve">Par conséquent, dans l'hypothèse où le contribuable introduit une action en justice du fait de l'absence de décision du Collège communal, conformément à l'article 1385 undecies, alinéa 2, du Code judiciaire, l’autorité compétente ne peut pas introduire une cotisation subsidiaire. </w:t>
      </w:r>
    </w:p>
    <w:p w14:paraId="3A20AF00" w14:textId="77777777" w:rsidR="004672E1" w:rsidRPr="00DE5C49" w:rsidRDefault="004672E1" w:rsidP="003130F5">
      <w:pPr>
        <w:spacing w:before="120"/>
        <w:jc w:val="both"/>
        <w:textAlignment w:val="baseline"/>
        <w:rPr>
          <w:sz w:val="10"/>
          <w:szCs w:val="10"/>
        </w:rPr>
      </w:pPr>
    </w:p>
    <w:p w14:paraId="0F982EA9" w14:textId="77777777" w:rsidR="003130F5" w:rsidRPr="008D7EB7" w:rsidRDefault="003130F5" w:rsidP="008D7EB7">
      <w:pPr>
        <w:pStyle w:val="Sam4"/>
        <w:numPr>
          <w:ilvl w:val="0"/>
          <w:numId w:val="256"/>
        </w:numPr>
      </w:pPr>
      <w:bookmarkStart w:id="4696" w:name="_Toc74557711"/>
      <w:r w:rsidRPr="008D7EB7">
        <w:t>Personnes assimilées au redevable</w:t>
      </w:r>
      <w:bookmarkEnd w:id="4696"/>
    </w:p>
    <w:p w14:paraId="5C42B334" w14:textId="77777777" w:rsidR="003130F5" w:rsidRDefault="003130F5" w:rsidP="003130F5">
      <w:pPr>
        <w:spacing w:before="120"/>
        <w:jc w:val="both"/>
        <w:textAlignment w:val="baseline"/>
      </w:pPr>
      <w:r>
        <w:t>Sont assimilés au même redevable :</w:t>
      </w:r>
    </w:p>
    <w:p w14:paraId="05E1B95F" w14:textId="77777777" w:rsidR="003130F5" w:rsidRDefault="003130F5" w:rsidP="00DE5C49">
      <w:pPr>
        <w:pStyle w:val="Paragraphedeliste"/>
        <w:numPr>
          <w:ilvl w:val="0"/>
          <w:numId w:val="105"/>
        </w:numPr>
        <w:ind w:left="714" w:hanging="357"/>
        <w:jc w:val="both"/>
        <w:textAlignment w:val="baseline"/>
      </w:pPr>
      <w:proofErr w:type="gramStart"/>
      <w:r>
        <w:t>les</w:t>
      </w:r>
      <w:proofErr w:type="gramEnd"/>
      <w:r>
        <w:t xml:space="preserve"> héritiers du redevable ;</w:t>
      </w:r>
    </w:p>
    <w:p w14:paraId="3F911F12" w14:textId="77777777" w:rsidR="003130F5" w:rsidRDefault="003130F5" w:rsidP="00DE5C49">
      <w:pPr>
        <w:pStyle w:val="Paragraphedeliste"/>
        <w:numPr>
          <w:ilvl w:val="0"/>
          <w:numId w:val="105"/>
        </w:numPr>
        <w:ind w:left="714" w:hanging="357"/>
        <w:jc w:val="both"/>
        <w:textAlignment w:val="baseline"/>
      </w:pPr>
      <w:proofErr w:type="gramStart"/>
      <w:r>
        <w:t>son</w:t>
      </w:r>
      <w:proofErr w:type="gramEnd"/>
      <w:r>
        <w:t xml:space="preserve"> conjoint ;</w:t>
      </w:r>
    </w:p>
    <w:p w14:paraId="3D61B9CD" w14:textId="77777777" w:rsidR="003130F5" w:rsidRDefault="003130F5" w:rsidP="00DE5C49">
      <w:pPr>
        <w:pStyle w:val="Paragraphedeliste"/>
        <w:numPr>
          <w:ilvl w:val="0"/>
          <w:numId w:val="105"/>
        </w:numPr>
        <w:ind w:left="714" w:hanging="357"/>
        <w:jc w:val="both"/>
        <w:textAlignment w:val="baseline"/>
      </w:pPr>
      <w:proofErr w:type="gramStart"/>
      <w:r>
        <w:t>selon</w:t>
      </w:r>
      <w:proofErr w:type="gramEnd"/>
      <w:r>
        <w:t xml:space="preserve"> le cas, la société qui a procédé à une fusion, scission, opération assimilée une fusion ou autre dissolution sans partage total de l'avoir social, et la société absorbante ou bénéficiaire ou les sociétés bénéficiaires de l'opération ;</w:t>
      </w:r>
    </w:p>
    <w:p w14:paraId="6921B327" w14:textId="77777777" w:rsidR="003130F5" w:rsidRDefault="003130F5" w:rsidP="00DE5C49">
      <w:pPr>
        <w:pStyle w:val="Paragraphedeliste"/>
        <w:numPr>
          <w:ilvl w:val="0"/>
          <w:numId w:val="105"/>
        </w:numPr>
        <w:ind w:left="714" w:hanging="357"/>
        <w:jc w:val="both"/>
        <w:textAlignment w:val="baseline"/>
      </w:pPr>
      <w:proofErr w:type="gramStart"/>
      <w:r>
        <w:t>les</w:t>
      </w:r>
      <w:proofErr w:type="gramEnd"/>
      <w:r>
        <w:t xml:space="preserve"> membres de la famille, de la société, de l'association ou de la communauté dont le chef, le directeur, les actionnaires ou les associés ont été primitivement imposés et réciproquement ;</w:t>
      </w:r>
    </w:p>
    <w:p w14:paraId="4CE2DC86" w14:textId="7047174F" w:rsidR="003130F5" w:rsidRDefault="003130F5" w:rsidP="00DE5C49">
      <w:pPr>
        <w:pStyle w:val="Paragraphedeliste"/>
        <w:numPr>
          <w:ilvl w:val="0"/>
          <w:numId w:val="105"/>
        </w:numPr>
        <w:ind w:left="714" w:hanging="357"/>
        <w:jc w:val="both"/>
        <w:textAlignment w:val="baseline"/>
      </w:pPr>
      <w:proofErr w:type="gramStart"/>
      <w:r>
        <w:t>le</w:t>
      </w:r>
      <w:proofErr w:type="gramEnd"/>
      <w:r>
        <w:t xml:space="preserve"> liquidateur de la personne morale dont la liquidation a été clôturée, en cette qualité, ou, à défaut, les personnes considérées comme liquidateurs en vertu de la partie 1re, livre 2, titre 8 du Code des sociétés et des associations, au cours de la période prévue par l'article 2:143, du même </w:t>
      </w:r>
      <w:r w:rsidR="001044C0">
        <w:t>Code. ​</w:t>
      </w:r>
      <w:r>
        <w:t xml:space="preserve"> </w:t>
      </w:r>
    </w:p>
    <w:p w14:paraId="3632D619" w14:textId="77777777" w:rsidR="003130F5" w:rsidRDefault="003130F5" w:rsidP="003130F5">
      <w:pPr>
        <w:spacing w:before="120"/>
        <w:jc w:val="both"/>
        <w:textAlignment w:val="baseline"/>
      </w:pPr>
      <w:r>
        <w:lastRenderedPageBreak/>
        <w:t>Au niveau du Code des impôts sur les revenus, un cohabitant légal est assimilé à un conjoint.</w:t>
      </w:r>
    </w:p>
    <w:p w14:paraId="574C599E" w14:textId="725629BB" w:rsidR="003130F5" w:rsidRDefault="003130F5" w:rsidP="003130F5">
      <w:pPr>
        <w:spacing w:before="120"/>
        <w:jc w:val="both"/>
        <w:textAlignment w:val="baseline"/>
      </w:pPr>
      <w:r>
        <w:t xml:space="preserve">J’attire votre attention en ce qui concerne le 3), que la loi du 17 mars 2019 adaptant certaines dispositions fiscales fédérales au nouveau Code des sociétés et des associations ne se réfère plus pour la définition des fusions et autres réorganisations de sociétés à la définition du Code des sociétés belge. La définition des fusions et autres réorganisations de sociétés est reprise à l’article 2, </w:t>
      </w:r>
      <w:r>
        <w:rPr>
          <w:rFonts w:ascii="Verdana" w:hAnsi="Verdana"/>
          <w:color w:val="444444"/>
          <w:sz w:val="20"/>
          <w:szCs w:val="20"/>
          <w:shd w:val="clear" w:color="auto" w:fill="FFFFFF"/>
        </w:rPr>
        <w:t>§ 1</w:t>
      </w:r>
      <w:r>
        <w:rPr>
          <w:rFonts w:ascii="Verdana" w:hAnsi="Verdana"/>
          <w:color w:val="444444"/>
          <w:sz w:val="20"/>
          <w:szCs w:val="20"/>
          <w:shd w:val="clear" w:color="auto" w:fill="FFFFFF"/>
          <w:vertAlign w:val="superscript"/>
        </w:rPr>
        <w:t>er</w:t>
      </w:r>
      <w:r>
        <w:rPr>
          <w:rFonts w:ascii="Verdana" w:hAnsi="Verdana"/>
          <w:color w:val="444444"/>
          <w:sz w:val="20"/>
          <w:szCs w:val="20"/>
          <w:shd w:val="clear" w:color="auto" w:fill="FFFFFF"/>
        </w:rPr>
        <w:t>, alinéa 1</w:t>
      </w:r>
      <w:r>
        <w:rPr>
          <w:rFonts w:ascii="Verdana" w:hAnsi="Verdana"/>
          <w:color w:val="444444"/>
          <w:sz w:val="20"/>
          <w:szCs w:val="20"/>
          <w:shd w:val="clear" w:color="auto" w:fill="FFFFFF"/>
          <w:vertAlign w:val="superscript"/>
        </w:rPr>
        <w:t>er</w:t>
      </w:r>
      <w:r>
        <w:rPr>
          <w:rFonts w:ascii="Verdana" w:hAnsi="Verdana"/>
          <w:color w:val="444444"/>
          <w:sz w:val="20"/>
          <w:szCs w:val="20"/>
          <w:shd w:val="clear" w:color="auto" w:fill="FFFFFF"/>
        </w:rPr>
        <w:t>, 6°/1</w:t>
      </w:r>
      <w:r>
        <w:t xml:space="preserve"> du Code des impôts sur les revenus</w:t>
      </w:r>
      <w:r>
        <w:rPr>
          <w:rFonts w:ascii="Verdana" w:hAnsi="Verdana"/>
          <w:color w:val="444444"/>
          <w:sz w:val="20"/>
          <w:szCs w:val="20"/>
          <w:shd w:val="clear" w:color="auto" w:fill="FFFFFF"/>
        </w:rPr>
        <w:t>. </w:t>
      </w:r>
    </w:p>
    <w:p w14:paraId="2716E8C1" w14:textId="77777777" w:rsidR="003130F5" w:rsidRDefault="003130F5" w:rsidP="003130F5">
      <w:pPr>
        <w:spacing w:before="120"/>
        <w:jc w:val="both"/>
        <w:textAlignment w:val="baseline"/>
      </w:pPr>
      <w:r>
        <w:t>A cet égard, les travaux préparatoires de la loi du 17 mars 2019 précisent qu’il était souhaitable que les définitions et les règles de procédure relatives aux fusions, scissions et autres formes de réorganisation ne renvoient plus à la description de ces opérations dans le Code des sociétés belge ou des dispositions de droit étranger analogues mais soient remplacées par des définitions autonomes qui correspondent à la terminologie de la directive fiscale européenne sur les fusions 2009/133/CE, telle que le cas échéant adaptée par la législation belge actuelle.</w:t>
      </w:r>
    </w:p>
    <w:p w14:paraId="34EBEC3C" w14:textId="6E8BEAD5" w:rsidR="003130F5" w:rsidRDefault="003130F5" w:rsidP="003130F5">
      <w:pPr>
        <w:spacing w:before="120"/>
        <w:jc w:val="both"/>
        <w:textAlignment w:val="baseline"/>
      </w:pPr>
      <w:r>
        <w:t>En ce qui concerne le 4), les travaux préparatoires de la loi du 17 mars 2019</w:t>
      </w:r>
      <w:r w:rsidR="003670E5">
        <w:rPr>
          <w:rStyle w:val="Appelnotedebasdep"/>
        </w:rPr>
        <w:footnoteReference w:id="118"/>
      </w:r>
      <w:r>
        <w:t xml:space="preserve"> relèvent que pour tenir compte des incertitudes qui pourront subsister quant à la personnalité juridique ou l’analogie avec une forme juridique dotée de la personnalité juridique en droit belge, l’article 357, 4° du code des impôts sur les revenus assimile désormais au « même redevable », pour les réimpositions permises par les articles 355 et 356 du code des impôts sur les revenus, une société et ses actionnaires ou associés et réciproquement. Ainsi, si l’administration a erronément établi l’impôt au nom des actionnaires ou associés alors qu’elle aurait dû le faire au nom de la société, elle sera en droit d’établir la cotisation de remplacement au nom de celle-ci, et vice versa.</w:t>
      </w:r>
    </w:p>
    <w:p w14:paraId="59D29582" w14:textId="79D50E75" w:rsidR="003130F5" w:rsidRDefault="003130F5" w:rsidP="003130F5">
      <w:pPr>
        <w:spacing w:before="120"/>
        <w:jc w:val="both"/>
        <w:textAlignment w:val="baseline"/>
      </w:pPr>
      <w:r>
        <w:t>Enfin, le liquidateur d’une personne morale dont la liquidation a été clôturée est assimilé au « même redevable » au sens des articles 355 et 356 du code des impôts sur les revenus au cours de la période prévue par l'article 2</w:t>
      </w:r>
      <w:r w:rsidR="00323B9F">
        <w:t>/</w:t>
      </w:r>
      <w:r>
        <w:t>143, du Code des sociétés et des associations.</w:t>
      </w:r>
    </w:p>
    <w:p w14:paraId="7EBE82A6" w14:textId="6243E25B" w:rsidR="003130F5" w:rsidRDefault="003130F5" w:rsidP="003130F5">
      <w:pPr>
        <w:spacing w:before="120"/>
        <w:jc w:val="both"/>
        <w:textAlignment w:val="baseline"/>
      </w:pPr>
      <w:r>
        <w:t>Outre le liquidateur, l’article 357, 5° du code des impôts sur les revenus assimile également au redevable à défaut de liquidateur, les personnes considérées comme liquidateurs en vertu de la partie 1re, livre 2, titre 8 du Code des sociétés et des associations, au cours de la période prévue par l'article 2</w:t>
      </w:r>
      <w:r w:rsidR="00323B9F">
        <w:t>/</w:t>
      </w:r>
      <w:r>
        <w:t xml:space="preserve">143, du même </w:t>
      </w:r>
      <w:r w:rsidR="001044C0">
        <w:t>Code. ​</w:t>
      </w:r>
      <w:r>
        <w:t xml:space="preserve"> </w:t>
      </w:r>
    </w:p>
    <w:p w14:paraId="6DA7261E" w14:textId="7D9898B5" w:rsidR="003130F5" w:rsidRDefault="003130F5" w:rsidP="003130F5">
      <w:pPr>
        <w:spacing w:before="120"/>
        <w:jc w:val="both"/>
        <w:textAlignment w:val="baseline"/>
      </w:pPr>
      <w:r>
        <w:t>Pour déterminer si l’article 2</w:t>
      </w:r>
      <w:r w:rsidR="00323B9F">
        <w:t>/</w:t>
      </w:r>
      <w:r>
        <w:t>143 du Code des sociétés et des associations s’applique (à savoir la prescription des actions contre le(s) liquidateur(s) dans un délai de cinq ans), l’administration est replacée, du fait de l’annulation de la cotisation, au moment de l’établissement de la cotisation d’origine. C’est donc cette date qui détermine si la cotisation nouvelle ou subsidiaire peut être établie au nom du liquidateur dans les cinq ans conformément à l’article 357, 5° du code des impôts sur les revenus</w:t>
      </w:r>
      <w:r w:rsidR="003670E5">
        <w:rPr>
          <w:rStyle w:val="Appelnotedebasdep"/>
        </w:rPr>
        <w:footnoteReference w:id="119"/>
      </w:r>
      <w:r>
        <w:t>.</w:t>
      </w:r>
    </w:p>
    <w:p w14:paraId="5AF7EE67" w14:textId="77777777" w:rsidR="00453CB4" w:rsidRPr="007B15CD" w:rsidRDefault="00453CB4" w:rsidP="00256E9F">
      <w:pPr>
        <w:pStyle w:val="Sam3"/>
        <w:rPr>
          <w:sz w:val="2"/>
          <w:szCs w:val="2"/>
        </w:rPr>
      </w:pPr>
      <w:bookmarkStart w:id="4697" w:name="_Toc512523776"/>
      <w:bookmarkStart w:id="4698" w:name="_Toc512525466"/>
      <w:bookmarkStart w:id="4699" w:name="_Toc515896777"/>
    </w:p>
    <w:p w14:paraId="5455A0A1" w14:textId="072CF961" w:rsidR="009B153C" w:rsidRPr="00DA6BD2" w:rsidRDefault="004672E1" w:rsidP="00256E9F">
      <w:pPr>
        <w:pStyle w:val="Sam3"/>
      </w:pPr>
      <w:bookmarkStart w:id="4700" w:name="_Toc74557712"/>
      <w:r>
        <w:t>VI.4.</w:t>
      </w:r>
      <w:r w:rsidR="00A51939">
        <w:t xml:space="preserve">15 </w:t>
      </w:r>
      <w:r w:rsidR="009B153C" w:rsidRPr="00DA6BD2">
        <w:t>Intérêts de retard et intérêts moratoires en matière d’impôt sur les revenus</w:t>
      </w:r>
      <w:bookmarkEnd w:id="4697"/>
      <w:bookmarkEnd w:id="4698"/>
      <w:bookmarkEnd w:id="4699"/>
      <w:bookmarkEnd w:id="4700"/>
    </w:p>
    <w:p w14:paraId="1F35C67B" w14:textId="2C24E881" w:rsidR="003C0A75" w:rsidRPr="008D7EB7" w:rsidRDefault="003C0A75" w:rsidP="003C0A75">
      <w:pPr>
        <w:spacing w:before="120"/>
        <w:jc w:val="both"/>
        <w:textAlignment w:val="baseline"/>
      </w:pPr>
      <w:r w:rsidRPr="008D7EB7">
        <w:t xml:space="preserve">Les articles 414 à 416 (intérêt de retard) et 418 et 419 (intérêt moratoire) du </w:t>
      </w:r>
      <w:r w:rsidR="00CA03DC">
        <w:t>code des impôts sur les revenus</w:t>
      </w:r>
      <w:r w:rsidRPr="008D7EB7">
        <w:t xml:space="preserve"> tels que modifié par les articles 77 et 79 de la loi du 25 décembre 2017 portant réforme de l’impôt des sociétés</w:t>
      </w:r>
      <w:r w:rsidRPr="008D7EB7">
        <w:rPr>
          <w:rStyle w:val="Appelnotedebasdep"/>
        </w:rPr>
        <w:footnoteReference w:id="120"/>
      </w:r>
      <w:r w:rsidRPr="008D7EB7">
        <w:t xml:space="preserve"> sont applicables au paiement et au remboursement des taxes communales.</w:t>
      </w:r>
    </w:p>
    <w:p w14:paraId="45A81B8A"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lastRenderedPageBreak/>
        <w:t>Ainsi, à défaut de paiement dans les délais, les sommes dues au titre de taxe sont productives au profit de la commune d’un intérêt de retard, calculé selon une certaine procédure mais sans que celui-ci ne puisse être inférieur à 4 %, ni supérieur à 10 %.</w:t>
      </w:r>
    </w:p>
    <w:p w14:paraId="75C460BD" w14:textId="77777777" w:rsidR="003C0A75" w:rsidRDefault="009B153C" w:rsidP="003C0A75">
      <w:pPr>
        <w:spacing w:before="120"/>
        <w:jc w:val="both"/>
        <w:textAlignment w:val="baseline"/>
        <w:rPr>
          <w:rFonts w:asciiTheme="minorHAnsi" w:hAnsiTheme="minorHAnsi" w:cs="Calibri Light"/>
        </w:rPr>
      </w:pPr>
      <w:r w:rsidRPr="00DA6BD2">
        <w:rPr>
          <w:rFonts w:asciiTheme="minorHAnsi" w:hAnsiTheme="minorHAnsi" w:cs="Calibri Light"/>
        </w:rPr>
        <w:t>Quant à l’intérêt moratoire (</w:t>
      </w:r>
      <w:r>
        <w:rPr>
          <w:rFonts w:asciiTheme="minorHAnsi" w:hAnsiTheme="minorHAnsi" w:cs="Calibri Light"/>
        </w:rPr>
        <w:t>c’est-à-dire</w:t>
      </w:r>
      <w:r w:rsidRPr="00DA6BD2">
        <w:rPr>
          <w:rFonts w:asciiTheme="minorHAnsi" w:hAnsiTheme="minorHAnsi" w:cs="Calibri Light"/>
        </w:rPr>
        <w:t xml:space="preserve"> celui que la commune devra prendre en compte en cas de remboursement de taxes, d’intérêts de retard et d’accroissements d’impôts)</w:t>
      </w:r>
      <w:r w:rsidR="00D0207E">
        <w:rPr>
          <w:rFonts w:asciiTheme="minorHAnsi" w:hAnsiTheme="minorHAnsi" w:cs="Calibri Light"/>
        </w:rPr>
        <w:t>,</w:t>
      </w:r>
      <w:r w:rsidRPr="00DA6BD2">
        <w:rPr>
          <w:rFonts w:asciiTheme="minorHAnsi" w:hAnsiTheme="minorHAnsi" w:cs="Calibri Light"/>
        </w:rPr>
        <w:t xml:space="preserve"> il sera égal au taux d’intérêt de retard, diminué de 2 points de pourcentage. </w:t>
      </w:r>
    </w:p>
    <w:p w14:paraId="48DAC975" w14:textId="7BC11307" w:rsidR="003C0A75" w:rsidRPr="008D7EB7" w:rsidRDefault="000D4BE7" w:rsidP="003C0A75">
      <w:pPr>
        <w:spacing w:before="120"/>
        <w:jc w:val="both"/>
        <w:textAlignment w:val="baseline"/>
        <w:rPr>
          <w:rFonts w:asciiTheme="minorHAnsi" w:hAnsiTheme="minorHAnsi" w:cs="Calibri Light"/>
        </w:rPr>
      </w:pPr>
      <w:r w:rsidRPr="008D7EB7">
        <w:rPr>
          <w:rFonts w:asciiTheme="minorHAnsi" w:hAnsiTheme="minorHAnsi" w:cs="Calibri Light"/>
        </w:rPr>
        <w:t>L</w:t>
      </w:r>
      <w:r w:rsidR="003C0A75" w:rsidRPr="008D7EB7">
        <w:rPr>
          <w:rFonts w:asciiTheme="minorHAnsi" w:hAnsiTheme="minorHAnsi" w:cs="Calibri Light"/>
        </w:rPr>
        <w:t xml:space="preserve">’article 70 du CRAF abroge l’article 417 du </w:t>
      </w:r>
      <w:r w:rsidR="00D16B73">
        <w:rPr>
          <w:rFonts w:asciiTheme="minorHAnsi" w:hAnsiTheme="minorHAnsi" w:cs="Calibri Light"/>
        </w:rPr>
        <w:t>code des impôts sur les revenus</w:t>
      </w:r>
      <w:r w:rsidR="003C0A75" w:rsidRPr="008D7EB7">
        <w:rPr>
          <w:rFonts w:asciiTheme="minorHAnsi" w:hAnsiTheme="minorHAnsi" w:cs="Calibri Light"/>
        </w:rPr>
        <w:t xml:space="preserve">. Désormais, l’exonération des </w:t>
      </w:r>
      <w:bookmarkStart w:id="4701" w:name="_Hlk38812876"/>
      <w:r w:rsidR="006B1AFC" w:rsidRPr="008D7EB7">
        <w:rPr>
          <w:rFonts w:asciiTheme="minorHAnsi" w:hAnsiTheme="minorHAnsi" w:cs="Calibri Light"/>
        </w:rPr>
        <w:t>intérêts</w:t>
      </w:r>
      <w:r w:rsidR="006B1AFC" w:rsidRPr="008D7EB7" w:rsidDel="006B1AFC">
        <w:rPr>
          <w:rFonts w:asciiTheme="minorHAnsi" w:hAnsiTheme="minorHAnsi" w:cs="Calibri Light"/>
        </w:rPr>
        <w:t xml:space="preserve"> </w:t>
      </w:r>
      <w:bookmarkEnd w:id="4701"/>
      <w:r w:rsidR="003C0A75" w:rsidRPr="008D7EB7">
        <w:rPr>
          <w:rFonts w:asciiTheme="minorHAnsi" w:hAnsiTheme="minorHAnsi" w:cs="Calibri Light"/>
        </w:rPr>
        <w:t xml:space="preserve">de retard ne peut </w:t>
      </w:r>
      <w:r w:rsidR="00D16B73">
        <w:rPr>
          <w:rFonts w:asciiTheme="minorHAnsi" w:hAnsiTheme="minorHAnsi" w:cs="Calibri Light"/>
        </w:rPr>
        <w:t>ê</w:t>
      </w:r>
      <w:r w:rsidR="003C0A75" w:rsidRPr="008D7EB7">
        <w:rPr>
          <w:rFonts w:asciiTheme="minorHAnsi" w:hAnsiTheme="minorHAnsi" w:cs="Calibri Light"/>
        </w:rPr>
        <w:t xml:space="preserve">tre accordée que dans des cas spéciaux et doit </w:t>
      </w:r>
      <w:r w:rsidR="00D16B73">
        <w:rPr>
          <w:rFonts w:asciiTheme="minorHAnsi" w:hAnsiTheme="minorHAnsi" w:cs="Calibri Light"/>
        </w:rPr>
        <w:t>ê</w:t>
      </w:r>
      <w:r w:rsidR="00D16B73" w:rsidRPr="00BC172A">
        <w:rPr>
          <w:rFonts w:asciiTheme="minorHAnsi" w:hAnsiTheme="minorHAnsi" w:cs="Calibri Light"/>
        </w:rPr>
        <w:t>tre</w:t>
      </w:r>
      <w:r w:rsidR="003C0A75" w:rsidRPr="008D7EB7">
        <w:rPr>
          <w:rFonts w:asciiTheme="minorHAnsi" w:hAnsiTheme="minorHAnsi" w:cs="Calibri Light"/>
        </w:rPr>
        <w:t xml:space="preserve"> décidée par le Collège communal. Le directeur financier doit dès lors réclamer le paiement des </w:t>
      </w:r>
      <w:r w:rsidR="006B1AFC" w:rsidRPr="008D7EB7">
        <w:rPr>
          <w:rFonts w:asciiTheme="minorHAnsi" w:hAnsiTheme="minorHAnsi" w:cs="Calibri Light"/>
        </w:rPr>
        <w:t>intérêts</w:t>
      </w:r>
      <w:r w:rsidR="006B1AFC" w:rsidRPr="008D7EB7" w:rsidDel="006B1AFC">
        <w:rPr>
          <w:rFonts w:asciiTheme="minorHAnsi" w:hAnsiTheme="minorHAnsi" w:cs="Calibri Light"/>
        </w:rPr>
        <w:t xml:space="preserve"> </w:t>
      </w:r>
      <w:r w:rsidR="003C0A75" w:rsidRPr="008D7EB7">
        <w:rPr>
          <w:rFonts w:asciiTheme="minorHAnsi" w:hAnsiTheme="minorHAnsi" w:cs="Calibri Light"/>
        </w:rPr>
        <w:t>sauf si le Collège communal adopte une décis</w:t>
      </w:r>
      <w:r w:rsidR="00D16B73">
        <w:rPr>
          <w:rFonts w:asciiTheme="minorHAnsi" w:hAnsiTheme="minorHAnsi" w:cs="Calibri Light"/>
        </w:rPr>
        <w:t>i</w:t>
      </w:r>
      <w:r w:rsidR="003C0A75" w:rsidRPr="008D7EB7">
        <w:rPr>
          <w:rFonts w:asciiTheme="minorHAnsi" w:hAnsiTheme="minorHAnsi" w:cs="Calibri Light"/>
        </w:rPr>
        <w:t xml:space="preserve">on motivée au cas par cas. </w:t>
      </w:r>
    </w:p>
    <w:p w14:paraId="39CFE7AC" w14:textId="77777777" w:rsidR="00CA03DC" w:rsidRPr="00DE5C49" w:rsidRDefault="00CA03DC" w:rsidP="00256E9F">
      <w:pPr>
        <w:pStyle w:val="Sam3"/>
      </w:pPr>
      <w:bookmarkStart w:id="4702" w:name="_Toc512523777"/>
      <w:bookmarkStart w:id="4703" w:name="_Toc512525467"/>
      <w:bookmarkStart w:id="4704" w:name="_Toc515896778"/>
    </w:p>
    <w:p w14:paraId="5FA47F2A" w14:textId="4B4B1A51" w:rsidR="009B153C" w:rsidRPr="00DA6BD2" w:rsidRDefault="004672E1" w:rsidP="00256E9F">
      <w:pPr>
        <w:pStyle w:val="Sam3"/>
      </w:pPr>
      <w:bookmarkStart w:id="4705" w:name="_Toc74557713"/>
      <w:r>
        <w:t>VI.4.</w:t>
      </w:r>
      <w:r w:rsidR="00A51939">
        <w:t xml:space="preserve">16 </w:t>
      </w:r>
      <w:r w:rsidR="009B153C" w:rsidRPr="00DA6BD2">
        <w:t>Fixation du prix de l'eau pour les communes distributrices</w:t>
      </w:r>
      <w:bookmarkEnd w:id="4702"/>
      <w:bookmarkEnd w:id="4703"/>
      <w:bookmarkEnd w:id="4704"/>
      <w:bookmarkEnd w:id="4705"/>
    </w:p>
    <w:p w14:paraId="44AF659E"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fixation du prix de l'eau doit faire l'objet d'une décision du Conseil communal et doit être soumise à la tutelle spéciale d'approbation.</w:t>
      </w:r>
    </w:p>
    <w:p w14:paraId="17DA45CD"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Si la fixation du prix de l'eau faisait apparaître un non-respect de la formule de tarification uniforme, inscrite à l'article D.228 du Code de l'eau (respect du CVD), cela constituerait une infraction de 3</w:t>
      </w:r>
      <w:r w:rsidRPr="00DA6BD2">
        <w:rPr>
          <w:rFonts w:asciiTheme="minorHAnsi" w:hAnsiTheme="minorHAnsi" w:cs="Calibri Light"/>
          <w:vertAlign w:val="superscript"/>
        </w:rPr>
        <w:t>ème</w:t>
      </w:r>
      <w:r w:rsidRPr="00DA6BD2">
        <w:rPr>
          <w:rFonts w:asciiTheme="minorHAnsi" w:hAnsiTheme="minorHAnsi" w:cs="Calibri Light"/>
        </w:rPr>
        <w:t xml:space="preserve"> catégorie, passible d'une lourde sanction administrative en vertu de l'article 404 du même Code</w:t>
      </w:r>
      <w:r w:rsidR="00D0207E">
        <w:rPr>
          <w:rStyle w:val="Appelnotedebasdep"/>
          <w:rFonts w:asciiTheme="minorHAnsi" w:hAnsiTheme="minorHAnsi" w:cs="Calibri Light"/>
        </w:rPr>
        <w:footnoteReference w:id="121"/>
      </w:r>
      <w:r w:rsidRPr="00DA6BD2">
        <w:rPr>
          <w:rFonts w:asciiTheme="minorHAnsi" w:hAnsiTheme="minorHAnsi" w:cs="Calibri Light"/>
        </w:rPr>
        <w:t>.</w:t>
      </w:r>
    </w:p>
    <w:p w14:paraId="2BB4966D" w14:textId="77777777" w:rsidR="00D0207E" w:rsidRPr="00DA6BD2" w:rsidRDefault="00D0207E" w:rsidP="00D0207E">
      <w:pPr>
        <w:spacing w:before="120"/>
        <w:jc w:val="both"/>
        <w:textAlignment w:val="baseline"/>
        <w:rPr>
          <w:rFonts w:asciiTheme="minorHAnsi" w:hAnsiTheme="minorHAnsi" w:cs="Calibri Light"/>
        </w:rPr>
      </w:pPr>
      <w:r w:rsidRPr="00DA6BD2">
        <w:rPr>
          <w:rFonts w:asciiTheme="minorHAnsi" w:hAnsiTheme="minorHAnsi" w:cs="Calibri Light"/>
        </w:rPr>
        <w:t>Dans un souci d’optimisation du temps, les autorités communales ne doivent faire parvenir la délibération à l’autorité de tutelle qu’à partir du moment où elles ont reçu l’autorisation d’augmenter le prix de l’eau.</w:t>
      </w:r>
    </w:p>
    <w:p w14:paraId="49FB9BFA" w14:textId="77777777" w:rsidR="00D0207E" w:rsidRPr="00DA6BD2" w:rsidRDefault="00D0207E" w:rsidP="00D0207E">
      <w:pPr>
        <w:tabs>
          <w:tab w:val="left" w:pos="7655"/>
        </w:tabs>
        <w:spacing w:before="120"/>
        <w:jc w:val="both"/>
        <w:textAlignment w:val="baseline"/>
        <w:rPr>
          <w:rFonts w:asciiTheme="minorHAnsi" w:hAnsiTheme="minorHAnsi" w:cs="Calibri Light"/>
        </w:rPr>
      </w:pPr>
      <w:r w:rsidRPr="00DA6BD2">
        <w:rPr>
          <w:rFonts w:asciiTheme="minorHAnsi" w:hAnsiTheme="minorHAnsi" w:cs="Calibri Light"/>
        </w:rPr>
        <w:t>Enfin, il est souhaitable que la commune précise dans le préambule dudit règlement que la modification du prix de l'eau proposée a reçu l'avis favorable – expresse (en y mentionnant alors la date de cet avis) ou tacite – du Ministre régional de l’Économie.</w:t>
      </w:r>
    </w:p>
    <w:p w14:paraId="73F50949" w14:textId="332EDE22" w:rsidR="00534E2F" w:rsidRDefault="005E3BE0" w:rsidP="00671240">
      <w:pPr>
        <w:spacing w:before="120"/>
        <w:jc w:val="both"/>
        <w:textAlignment w:val="baseline"/>
        <w:rPr>
          <w:rFonts w:asciiTheme="minorHAnsi" w:hAnsiTheme="minorHAnsi" w:cs="Calibri Light"/>
        </w:rPr>
      </w:pPr>
      <w:r>
        <w:rPr>
          <w:rFonts w:asciiTheme="minorHAnsi" w:hAnsiTheme="minorHAnsi" w:cs="Calibri Light"/>
        </w:rPr>
        <w:t xml:space="preserve">Le schéma ci-dessous vous </w:t>
      </w:r>
      <w:r w:rsidR="00D0207E">
        <w:rPr>
          <w:rFonts w:asciiTheme="minorHAnsi" w:hAnsiTheme="minorHAnsi" w:cs="Calibri Light"/>
        </w:rPr>
        <w:t>explique</w:t>
      </w:r>
      <w:r>
        <w:rPr>
          <w:rFonts w:asciiTheme="minorHAnsi" w:hAnsiTheme="minorHAnsi" w:cs="Calibri Light"/>
        </w:rPr>
        <w:t xml:space="preserve"> la procédure à mettre en </w:t>
      </w:r>
      <w:r w:rsidR="00AE36ED">
        <w:rPr>
          <w:rFonts w:asciiTheme="minorHAnsi" w:hAnsiTheme="minorHAnsi" w:cs="Calibri Light"/>
        </w:rPr>
        <w:t>œuvre</w:t>
      </w:r>
      <w:r w:rsidR="00D0207E">
        <w:rPr>
          <w:rFonts w:asciiTheme="minorHAnsi" w:hAnsiTheme="minorHAnsi" w:cs="Calibri Light"/>
        </w:rPr>
        <w:t xml:space="preserve">. </w:t>
      </w:r>
    </w:p>
    <w:p w14:paraId="345D60FD" w14:textId="3EEA78AF" w:rsidR="009B153C" w:rsidRPr="00DA6BD2" w:rsidRDefault="00971487" w:rsidP="00E063FD">
      <w:pPr>
        <w:spacing w:before="4"/>
        <w:jc w:val="both"/>
        <w:textAlignment w:val="baseline"/>
        <w:rPr>
          <w:rFonts w:asciiTheme="minorHAnsi" w:hAnsiTheme="minorHAnsi" w:cs="Calibri Light"/>
          <w:noProof/>
          <w:lang w:val="fr-BE" w:eastAsia="fr-BE"/>
        </w:rPr>
      </w:pPr>
      <w:r w:rsidRPr="00671240">
        <w:rPr>
          <w:rFonts w:asciiTheme="minorHAnsi" w:hAnsiTheme="minorHAnsi" w:cs="Calibri Light"/>
          <w:noProof/>
          <w:lang w:val="fr-BE" w:eastAsia="fr-BE"/>
        </w:rPr>
        <w:drawing>
          <wp:anchor distT="0" distB="0" distL="114300" distR="114300" simplePos="0" relativeHeight="251640832" behindDoc="0" locked="0" layoutInCell="1" allowOverlap="1" wp14:anchorId="2B8F88DA" wp14:editId="099213A9">
            <wp:simplePos x="0" y="0"/>
            <wp:positionH relativeFrom="column">
              <wp:posOffset>147955</wp:posOffset>
            </wp:positionH>
            <wp:positionV relativeFrom="paragraph">
              <wp:posOffset>54609</wp:posOffset>
            </wp:positionV>
            <wp:extent cx="5981700" cy="3152775"/>
            <wp:effectExtent l="0" t="0" r="0" b="9525"/>
            <wp:wrapNone/>
            <wp:docPr id="2" name="Imag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5"/>
                    <pic:cNvPicPr>
                      <a:picLocks noChangeAspect="1" noChangeArrowheads="1"/>
                    </pic:cNvPicPr>
                  </pic:nvPicPr>
                  <pic:blipFill>
                    <a:blip r:embed="rId15" cstate="print"/>
                    <a:srcRect/>
                    <a:stretch>
                      <a:fillRect/>
                    </a:stretch>
                  </pic:blipFill>
                  <pic:spPr bwMode="auto">
                    <a:xfrm>
                      <a:off x="0" y="0"/>
                      <a:ext cx="5986353" cy="31552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5E97E8" w14:textId="77777777" w:rsidR="009B153C" w:rsidRPr="00DA6BD2" w:rsidRDefault="009B153C" w:rsidP="00E063FD">
      <w:pPr>
        <w:spacing w:before="4"/>
        <w:jc w:val="both"/>
        <w:textAlignment w:val="baseline"/>
        <w:rPr>
          <w:rFonts w:asciiTheme="minorHAnsi" w:hAnsiTheme="minorHAnsi" w:cs="Calibri Light"/>
          <w:noProof/>
          <w:lang w:val="fr-BE" w:eastAsia="fr-BE"/>
        </w:rPr>
      </w:pPr>
    </w:p>
    <w:p w14:paraId="30F6A2DB" w14:textId="77777777" w:rsidR="009B153C" w:rsidRPr="00DA6BD2" w:rsidRDefault="009B153C" w:rsidP="00E063FD">
      <w:pPr>
        <w:spacing w:before="4"/>
        <w:jc w:val="both"/>
        <w:textAlignment w:val="baseline"/>
        <w:rPr>
          <w:rFonts w:asciiTheme="minorHAnsi" w:hAnsiTheme="minorHAnsi" w:cs="Calibri Light"/>
          <w:noProof/>
          <w:lang w:val="fr-BE" w:eastAsia="fr-BE"/>
        </w:rPr>
      </w:pPr>
    </w:p>
    <w:p w14:paraId="00D283E7" w14:textId="77777777" w:rsidR="009B153C" w:rsidRPr="00DA6BD2" w:rsidRDefault="009B153C" w:rsidP="00E063FD">
      <w:pPr>
        <w:spacing w:before="4"/>
        <w:jc w:val="both"/>
        <w:textAlignment w:val="baseline"/>
        <w:rPr>
          <w:rFonts w:asciiTheme="minorHAnsi" w:hAnsiTheme="minorHAnsi" w:cs="Calibri Light"/>
          <w:noProof/>
          <w:lang w:val="fr-BE" w:eastAsia="fr-BE"/>
        </w:rPr>
      </w:pPr>
    </w:p>
    <w:p w14:paraId="271AEE51" w14:textId="77777777" w:rsidR="009B153C" w:rsidRPr="00DA6BD2" w:rsidRDefault="009B153C" w:rsidP="00E063FD">
      <w:pPr>
        <w:spacing w:before="4"/>
        <w:jc w:val="both"/>
        <w:textAlignment w:val="baseline"/>
        <w:rPr>
          <w:rFonts w:asciiTheme="minorHAnsi" w:hAnsiTheme="minorHAnsi" w:cs="Calibri Light"/>
          <w:noProof/>
          <w:lang w:val="fr-BE" w:eastAsia="fr-BE"/>
        </w:rPr>
      </w:pPr>
    </w:p>
    <w:p w14:paraId="4F355226" w14:textId="77777777" w:rsidR="009B153C" w:rsidRPr="00DA6BD2" w:rsidRDefault="009B153C" w:rsidP="00E063FD">
      <w:pPr>
        <w:spacing w:before="4"/>
        <w:jc w:val="both"/>
        <w:textAlignment w:val="baseline"/>
        <w:rPr>
          <w:rFonts w:asciiTheme="minorHAnsi" w:hAnsiTheme="minorHAnsi" w:cs="Calibri Light"/>
          <w:noProof/>
          <w:lang w:val="fr-BE" w:eastAsia="fr-BE"/>
        </w:rPr>
      </w:pPr>
    </w:p>
    <w:p w14:paraId="4B9D4E0A" w14:textId="1ECBEC29" w:rsidR="009B153C" w:rsidRDefault="009B153C" w:rsidP="00E063FD">
      <w:pPr>
        <w:spacing w:before="4"/>
        <w:jc w:val="both"/>
        <w:textAlignment w:val="baseline"/>
        <w:rPr>
          <w:rFonts w:asciiTheme="minorHAnsi" w:hAnsiTheme="minorHAnsi" w:cs="Calibri Light"/>
          <w:noProof/>
          <w:lang w:val="fr-BE" w:eastAsia="fr-BE"/>
        </w:rPr>
      </w:pPr>
    </w:p>
    <w:p w14:paraId="102FAE00" w14:textId="1032E5F5" w:rsidR="00434194" w:rsidRDefault="00434194" w:rsidP="00E063FD">
      <w:pPr>
        <w:spacing w:before="4"/>
        <w:jc w:val="both"/>
        <w:textAlignment w:val="baseline"/>
        <w:rPr>
          <w:rFonts w:asciiTheme="minorHAnsi" w:hAnsiTheme="minorHAnsi" w:cs="Calibri Light"/>
          <w:noProof/>
          <w:lang w:val="fr-BE" w:eastAsia="fr-BE"/>
        </w:rPr>
      </w:pPr>
    </w:p>
    <w:p w14:paraId="0BACA513" w14:textId="79457ECC" w:rsidR="00434194" w:rsidRDefault="00434194" w:rsidP="00E063FD">
      <w:pPr>
        <w:spacing w:before="4"/>
        <w:jc w:val="both"/>
        <w:textAlignment w:val="baseline"/>
        <w:rPr>
          <w:rFonts w:asciiTheme="minorHAnsi" w:hAnsiTheme="minorHAnsi" w:cs="Calibri Light"/>
          <w:noProof/>
          <w:lang w:val="fr-BE" w:eastAsia="fr-BE"/>
        </w:rPr>
      </w:pPr>
    </w:p>
    <w:p w14:paraId="7A1E6173" w14:textId="7A8D7707" w:rsidR="00434194" w:rsidRDefault="00434194" w:rsidP="00E063FD">
      <w:pPr>
        <w:spacing w:before="4"/>
        <w:jc w:val="both"/>
        <w:textAlignment w:val="baseline"/>
        <w:rPr>
          <w:rFonts w:asciiTheme="minorHAnsi" w:hAnsiTheme="minorHAnsi" w:cs="Calibri Light"/>
          <w:noProof/>
          <w:lang w:val="fr-BE" w:eastAsia="fr-BE"/>
        </w:rPr>
      </w:pPr>
    </w:p>
    <w:p w14:paraId="201C4A4C" w14:textId="77777777" w:rsidR="00434194" w:rsidRPr="00DA6BD2" w:rsidRDefault="00434194" w:rsidP="00E063FD">
      <w:pPr>
        <w:spacing w:before="4"/>
        <w:jc w:val="both"/>
        <w:textAlignment w:val="baseline"/>
        <w:rPr>
          <w:rFonts w:asciiTheme="minorHAnsi" w:hAnsiTheme="minorHAnsi" w:cs="Calibri Light"/>
          <w:noProof/>
          <w:lang w:val="fr-BE" w:eastAsia="fr-BE"/>
        </w:rPr>
      </w:pPr>
    </w:p>
    <w:p w14:paraId="2C9A6988" w14:textId="77777777" w:rsidR="000D4BE7" w:rsidRDefault="000D4BE7" w:rsidP="00E063FD">
      <w:pPr>
        <w:spacing w:before="4"/>
        <w:jc w:val="both"/>
        <w:textAlignment w:val="baseline"/>
        <w:rPr>
          <w:rFonts w:asciiTheme="minorHAnsi" w:hAnsiTheme="minorHAnsi" w:cs="Calibri Light"/>
          <w:noProof/>
          <w:lang w:val="fr-BE" w:eastAsia="fr-BE"/>
        </w:rPr>
      </w:pPr>
    </w:p>
    <w:p w14:paraId="586D0D94" w14:textId="77777777" w:rsidR="00257704" w:rsidRDefault="00257704" w:rsidP="003C0A75">
      <w:pPr>
        <w:spacing w:before="120"/>
        <w:jc w:val="both"/>
        <w:textAlignment w:val="baseline"/>
        <w:rPr>
          <w:rFonts w:cs="Calibri Light"/>
        </w:rPr>
      </w:pPr>
    </w:p>
    <w:p w14:paraId="50222952" w14:textId="77777777" w:rsidR="00257704" w:rsidRDefault="00257704" w:rsidP="003C0A75">
      <w:pPr>
        <w:spacing w:before="120"/>
        <w:jc w:val="both"/>
        <w:textAlignment w:val="baseline"/>
        <w:rPr>
          <w:rFonts w:cs="Calibri Light"/>
        </w:rPr>
      </w:pPr>
    </w:p>
    <w:p w14:paraId="69B50CF7" w14:textId="77777777" w:rsidR="00257704" w:rsidRDefault="00257704" w:rsidP="003C0A75">
      <w:pPr>
        <w:spacing w:before="120"/>
        <w:jc w:val="both"/>
        <w:textAlignment w:val="baseline"/>
        <w:rPr>
          <w:rFonts w:cs="Calibri Light"/>
        </w:rPr>
      </w:pPr>
    </w:p>
    <w:p w14:paraId="0A335F00" w14:textId="06F9B4CB" w:rsidR="003C0A75" w:rsidRPr="008D7EB7" w:rsidRDefault="003C0A75" w:rsidP="003C0A75">
      <w:pPr>
        <w:spacing w:before="120"/>
        <w:jc w:val="both"/>
        <w:textAlignment w:val="baseline"/>
        <w:rPr>
          <w:rFonts w:cs="Calibri Light"/>
        </w:rPr>
      </w:pPr>
      <w:r w:rsidRPr="008D7EB7">
        <w:rPr>
          <w:rFonts w:cs="Calibri Light"/>
        </w:rPr>
        <w:lastRenderedPageBreak/>
        <w:t xml:space="preserve">En vertu de l’article 4 § 3 du Code de l’eau, le Conseil communal est obligatoirement tenu de transmettre sa délibération ainsi que toutes les informations utiles au Comité de contrôle de l’eau de la Région </w:t>
      </w:r>
      <w:r w:rsidR="000D4BE7" w:rsidRPr="008D7EB7">
        <w:rPr>
          <w:rFonts w:cs="Calibri Light"/>
        </w:rPr>
        <w:t>w</w:t>
      </w:r>
      <w:r w:rsidRPr="008D7EB7">
        <w:rPr>
          <w:rFonts w:cs="Calibri Light"/>
        </w:rPr>
        <w:t>allonne. Ce dernier a pour mission de s’assurer que l’évolution du prix de l’eau respecte la politique de l’eau de la Région</w:t>
      </w:r>
      <w:r w:rsidR="00961214">
        <w:rPr>
          <w:rStyle w:val="Appelnotedebasdep"/>
          <w:rFonts w:cs="Calibri Light"/>
        </w:rPr>
        <w:footnoteReference w:id="122"/>
      </w:r>
      <w:r w:rsidRPr="008D7EB7">
        <w:rPr>
          <w:rFonts w:cs="Calibri Light"/>
        </w:rPr>
        <w:t>. Conformément à l’article 4 §3 du Code de l’eau, le Comité dispose d’un délai de 30 jours pour rendre son avis. Si ce dernier n’est pas rendu dans le délai imparti, il est considéré comme favorable.</w:t>
      </w:r>
    </w:p>
    <w:p w14:paraId="6FD0465C" w14:textId="1BE192AF" w:rsidR="003C0A75" w:rsidRPr="008D7EB7" w:rsidRDefault="003C0A75" w:rsidP="003C0A75">
      <w:pPr>
        <w:spacing w:before="120"/>
        <w:jc w:val="both"/>
        <w:textAlignment w:val="baseline"/>
        <w:rPr>
          <w:rFonts w:cs="Calibri Light"/>
        </w:rPr>
      </w:pPr>
      <w:r w:rsidRPr="008D7EB7">
        <w:rPr>
          <w:rFonts w:cs="Calibri Light"/>
        </w:rPr>
        <w:t>Le dossier est ensuite transmis pour instruction à la Direction des Projets thématiques d</w:t>
      </w:r>
      <w:r w:rsidR="000D4BE7" w:rsidRPr="008D7EB7">
        <w:rPr>
          <w:rFonts w:cs="Calibri Light"/>
        </w:rPr>
        <w:t xml:space="preserve">u SPW </w:t>
      </w:r>
      <w:r w:rsidR="000E5811" w:rsidRPr="008D7EB7">
        <w:rPr>
          <w:rFonts w:cs="Calibri Light"/>
        </w:rPr>
        <w:t>Économie</w:t>
      </w:r>
      <w:r w:rsidR="000D4BE7" w:rsidRPr="008D7EB7">
        <w:rPr>
          <w:rFonts w:cs="Calibri Light"/>
        </w:rPr>
        <w:t>, Emploi et Recherche</w:t>
      </w:r>
      <w:r w:rsidRPr="008D7EB7">
        <w:rPr>
          <w:rFonts w:cs="Calibri Light"/>
        </w:rPr>
        <w:t>. Avant de prendre position, l</w:t>
      </w:r>
      <w:r w:rsidR="000D4BE7" w:rsidRPr="008D7EB7">
        <w:rPr>
          <w:rFonts w:cs="Calibri Light"/>
        </w:rPr>
        <w:t xml:space="preserve">e SPW </w:t>
      </w:r>
      <w:r w:rsidR="000E5811" w:rsidRPr="008D7EB7">
        <w:rPr>
          <w:rFonts w:cs="Calibri Light"/>
        </w:rPr>
        <w:t>Économie</w:t>
      </w:r>
      <w:r w:rsidR="000D4BE7" w:rsidRPr="008D7EB7">
        <w:rPr>
          <w:rFonts w:cs="Calibri Light"/>
        </w:rPr>
        <w:t>, Emploi et Recherche</w:t>
      </w:r>
      <w:r w:rsidRPr="008D7EB7">
        <w:rPr>
          <w:rFonts w:cs="Calibri Light"/>
        </w:rPr>
        <w:t xml:space="preserve"> est tenu, afin de respecter le prescrit de l’article 2 de la loi du 22 janvier 1945 sur la réglementation économique des prix</w:t>
      </w:r>
      <w:r w:rsidR="00961214">
        <w:rPr>
          <w:rStyle w:val="Appelnotedebasdep"/>
          <w:rFonts w:cs="Calibri Light"/>
        </w:rPr>
        <w:footnoteReference w:id="123"/>
      </w:r>
      <w:r w:rsidRPr="008D7EB7">
        <w:rPr>
          <w:rFonts w:cs="Calibri Light"/>
        </w:rPr>
        <w:t xml:space="preserve">, de demander l’avis de la Commission pour la Régulation des prix. </w:t>
      </w:r>
    </w:p>
    <w:p w14:paraId="24281C94" w14:textId="183604D7" w:rsidR="003C0A75" w:rsidRPr="00CA03DC" w:rsidRDefault="003C0A75" w:rsidP="003C0A75">
      <w:pPr>
        <w:spacing w:before="120"/>
        <w:jc w:val="both"/>
        <w:textAlignment w:val="baseline"/>
        <w:rPr>
          <w:rFonts w:asciiTheme="minorHAnsi" w:hAnsiTheme="minorHAnsi" w:cs="Calibri Light"/>
          <w:noProof/>
          <w:lang w:val="fr-BE" w:eastAsia="fr-BE"/>
        </w:rPr>
      </w:pPr>
      <w:proofErr w:type="gramStart"/>
      <w:r w:rsidRPr="008D7EB7">
        <w:rPr>
          <w:rFonts w:cs="Calibri Light"/>
        </w:rPr>
        <w:t>Suite à</w:t>
      </w:r>
      <w:proofErr w:type="gramEnd"/>
      <w:r w:rsidRPr="008D7EB7">
        <w:rPr>
          <w:rFonts w:cs="Calibri Light"/>
        </w:rPr>
        <w:t xml:space="preserve"> l’avis rendu par le Comité, l</w:t>
      </w:r>
      <w:r w:rsidR="000D4BE7" w:rsidRPr="008D7EB7">
        <w:rPr>
          <w:rFonts w:cs="Calibri Light"/>
        </w:rPr>
        <w:t>’administration</w:t>
      </w:r>
      <w:r w:rsidRPr="008D7EB7">
        <w:rPr>
          <w:rFonts w:cs="Calibri Light"/>
        </w:rPr>
        <w:t xml:space="preserve"> expose le dossier et propose au Ministre régional de l’Économie d’autoriser ou non l’augmentation du prix. Celui-ci demeure libre de se conformer ou non aux avis du Comité de contrôle et de la Commission de Régulation des prix. En cas de divergence d’appréciation, Monsieur le Ministre est tenu de motiver sa décision. L’examen du dossier ne peut pas dépasser un délai de 60 jours à dater de la complétude du dossier. Si la décision du Ministre n’est pas rendue dans le délai imparti, la société gérant la distribution de l’eau est habilitée à appliquer la hausse de prix demandée.</w:t>
      </w:r>
    </w:p>
    <w:p w14:paraId="7CF6B7E4" w14:textId="77777777" w:rsidR="003C0A75" w:rsidRPr="00DA6BD2" w:rsidRDefault="003C0A75" w:rsidP="00E063FD">
      <w:pPr>
        <w:spacing w:before="4"/>
        <w:jc w:val="both"/>
        <w:textAlignment w:val="baseline"/>
        <w:rPr>
          <w:rFonts w:asciiTheme="minorHAnsi" w:hAnsiTheme="minorHAnsi" w:cs="Calibri Light"/>
          <w:noProof/>
          <w:lang w:val="fr-BE" w:eastAsia="fr-BE"/>
        </w:rPr>
      </w:pPr>
    </w:p>
    <w:p w14:paraId="2125868A" w14:textId="77C87B85" w:rsidR="002F4547" w:rsidRDefault="004672E1" w:rsidP="00256E9F">
      <w:pPr>
        <w:pStyle w:val="Sam3"/>
      </w:pPr>
      <w:bookmarkStart w:id="4706" w:name="_Toc8121802"/>
      <w:bookmarkStart w:id="4707" w:name="_Toc8129743"/>
      <w:bookmarkStart w:id="4708" w:name="_Toc516478942"/>
      <w:bookmarkStart w:id="4709" w:name="_Toc516479405"/>
      <w:bookmarkStart w:id="4710" w:name="_Toc516479722"/>
      <w:bookmarkStart w:id="4711" w:name="_Toc516480044"/>
      <w:bookmarkStart w:id="4712" w:name="_Toc516480358"/>
      <w:bookmarkStart w:id="4713" w:name="_Toc516480672"/>
      <w:bookmarkStart w:id="4714" w:name="_Toc516480986"/>
      <w:bookmarkStart w:id="4715" w:name="_Toc516481300"/>
      <w:bookmarkStart w:id="4716" w:name="_Toc516481614"/>
      <w:bookmarkStart w:id="4717" w:name="_Toc516481928"/>
      <w:bookmarkStart w:id="4718" w:name="_Toc516482242"/>
      <w:bookmarkStart w:id="4719" w:name="_Toc516482556"/>
      <w:bookmarkStart w:id="4720" w:name="_Toc516739724"/>
      <w:bookmarkStart w:id="4721" w:name="_Toc516751637"/>
      <w:bookmarkStart w:id="4722" w:name="_Toc516825725"/>
      <w:bookmarkStart w:id="4723" w:name="_Toc516826283"/>
      <w:bookmarkStart w:id="4724" w:name="_Toc516837603"/>
      <w:bookmarkStart w:id="4725" w:name="_Toc516838162"/>
      <w:bookmarkStart w:id="4726" w:name="_Toc516838721"/>
      <w:bookmarkStart w:id="4727" w:name="_Toc516839281"/>
      <w:bookmarkStart w:id="4728" w:name="_Toc517173377"/>
      <w:bookmarkStart w:id="4729" w:name="_Toc517175051"/>
      <w:bookmarkStart w:id="4730" w:name="_Toc517175638"/>
      <w:bookmarkStart w:id="4731" w:name="_Toc517176226"/>
      <w:bookmarkStart w:id="4732" w:name="_Toc517337551"/>
      <w:bookmarkStart w:id="4733" w:name="_Toc517360347"/>
      <w:bookmarkStart w:id="4734" w:name="_Toc516478943"/>
      <w:bookmarkStart w:id="4735" w:name="_Toc516479406"/>
      <w:bookmarkStart w:id="4736" w:name="_Toc516479723"/>
      <w:bookmarkStart w:id="4737" w:name="_Toc516480045"/>
      <w:bookmarkStart w:id="4738" w:name="_Toc516480359"/>
      <w:bookmarkStart w:id="4739" w:name="_Toc516480673"/>
      <w:bookmarkStart w:id="4740" w:name="_Toc516480987"/>
      <w:bookmarkStart w:id="4741" w:name="_Toc516481301"/>
      <w:bookmarkStart w:id="4742" w:name="_Toc516481615"/>
      <w:bookmarkStart w:id="4743" w:name="_Toc516481929"/>
      <w:bookmarkStart w:id="4744" w:name="_Toc516482243"/>
      <w:bookmarkStart w:id="4745" w:name="_Toc516482557"/>
      <w:bookmarkStart w:id="4746" w:name="_Toc516739725"/>
      <w:bookmarkStart w:id="4747" w:name="_Toc516751638"/>
      <w:bookmarkStart w:id="4748" w:name="_Toc516825726"/>
      <w:bookmarkStart w:id="4749" w:name="_Toc516826284"/>
      <w:bookmarkStart w:id="4750" w:name="_Toc516837604"/>
      <w:bookmarkStart w:id="4751" w:name="_Toc516838163"/>
      <w:bookmarkStart w:id="4752" w:name="_Toc516838722"/>
      <w:bookmarkStart w:id="4753" w:name="_Toc516839282"/>
      <w:bookmarkStart w:id="4754" w:name="_Toc517173378"/>
      <w:bookmarkStart w:id="4755" w:name="_Toc517175052"/>
      <w:bookmarkStart w:id="4756" w:name="_Toc517175639"/>
      <w:bookmarkStart w:id="4757" w:name="_Toc517176227"/>
      <w:bookmarkStart w:id="4758" w:name="_Toc517337552"/>
      <w:bookmarkStart w:id="4759" w:name="_Toc517360348"/>
      <w:bookmarkStart w:id="4760" w:name="_Toc74557714"/>
      <w:bookmarkStart w:id="4761" w:name="_Toc515896779"/>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r>
        <w:t>VI.4.</w:t>
      </w:r>
      <w:r w:rsidR="00A51939">
        <w:t xml:space="preserve">17 </w:t>
      </w:r>
      <w:r w:rsidR="00BD52CB" w:rsidRPr="00E063FD">
        <w:t>C</w:t>
      </w:r>
      <w:r w:rsidR="009B153C" w:rsidRPr="00892FFC">
        <w:t>ontentieux relatif au précompte immobilier</w:t>
      </w:r>
      <w:r w:rsidR="00BD52CB" w:rsidRPr="00E063FD">
        <w:t> : Droit à l’information</w:t>
      </w:r>
      <w:bookmarkEnd w:id="4760"/>
    </w:p>
    <w:p w14:paraId="15969DB7" w14:textId="6DFBA8DD" w:rsidR="003C0A75" w:rsidRPr="00CA03DC" w:rsidRDefault="003C0A75" w:rsidP="008D7EB7">
      <w:pPr>
        <w:jc w:val="both"/>
      </w:pPr>
      <w:r w:rsidRPr="00CA03DC">
        <w:t>L’arrêt n°231.194 du Conseil d'État du 12 mai 2015 mérite une attention particulière car il intéresse</w:t>
      </w:r>
      <w:r w:rsidR="000D4BE7" w:rsidRPr="008D7EB7">
        <w:t xml:space="preserve"> </w:t>
      </w:r>
      <w:r w:rsidRPr="00CA03DC">
        <w:t>spécialement les pouvoirs locaux. La Haute juridiction a répondu favorablement à une demande qu’ils revendiquaient de longue date.</w:t>
      </w:r>
    </w:p>
    <w:p w14:paraId="4E051CFC" w14:textId="77777777" w:rsidR="000D4BE7" w:rsidRPr="008D7EB7" w:rsidRDefault="000D4BE7" w:rsidP="008D7EB7">
      <w:pPr>
        <w:jc w:val="both"/>
      </w:pPr>
    </w:p>
    <w:p w14:paraId="4E2D37B7" w14:textId="6A8A12EE" w:rsidR="003C0A75" w:rsidRPr="00CA03DC" w:rsidRDefault="003C0A75" w:rsidP="008D7EB7">
      <w:pPr>
        <w:jc w:val="both"/>
      </w:pPr>
      <w:r w:rsidRPr="00CA03DC">
        <w:t>Le Conseil d'État a en effet considéré que ce n’est pas parce que l’administration fédérale est légalement chargée de la perception et du recouvrement des centimes additionnels pour le compte des communes que celles-ci ne sont pas en droit de réclamer des informations ou obtenir des explications quant à la manière dont cette mission légale s’exerce.</w:t>
      </w:r>
    </w:p>
    <w:p w14:paraId="6DB7B2E6" w14:textId="77777777" w:rsidR="000D4BE7" w:rsidRPr="008D7EB7" w:rsidRDefault="000D4BE7" w:rsidP="008D7EB7">
      <w:pPr>
        <w:jc w:val="both"/>
      </w:pPr>
    </w:p>
    <w:p w14:paraId="167ADAE3" w14:textId="60838DA0" w:rsidR="000D4BE7" w:rsidRPr="008D7EB7" w:rsidRDefault="003C0A75">
      <w:pPr>
        <w:jc w:val="both"/>
      </w:pPr>
      <w:r w:rsidRPr="00CA03DC">
        <w:t>Ainsi, dans cet arrêt, le Conseil d'État a annulé la décision implicite de l’État belge rejetant la demande de communication d’une copie de l’ensemble des documents administratifs justifiant les attributions de décembre 2012 (date de liquidation 29 janvier 2013) au titre de centimes additionnels communaux au précompte immobilier revenant à la commune de Schaerbeek.</w:t>
      </w:r>
    </w:p>
    <w:p w14:paraId="31DD16DB" w14:textId="09C2A056" w:rsidR="00E241F5" w:rsidRDefault="00E241F5">
      <w:pPr>
        <w:jc w:val="both"/>
        <w:rPr>
          <w:sz w:val="20"/>
          <w:szCs w:val="20"/>
        </w:rPr>
      </w:pPr>
    </w:p>
    <w:p w14:paraId="06D581A5" w14:textId="77777777" w:rsidR="00E241F5" w:rsidRPr="00171967" w:rsidRDefault="00E241F5" w:rsidP="008D7EB7">
      <w:pPr>
        <w:jc w:val="both"/>
        <w:rPr>
          <w:rFonts w:eastAsia="PMingLiU"/>
          <w:lang w:val="fr-BE" w:eastAsia="en-US"/>
        </w:rPr>
      </w:pPr>
      <w:r>
        <w:rPr>
          <w:rFonts w:eastAsia="PMingLiU"/>
          <w:lang w:val="fr-BE" w:eastAsia="en-US"/>
        </w:rPr>
        <w:t xml:space="preserve">Enfin, le conseil d’Etat a précisé que </w:t>
      </w:r>
      <w:r w:rsidRPr="00BA4815">
        <w:rPr>
          <w:rFonts w:eastAsia="PMingLiU"/>
          <w:lang w:val="fr-BE" w:eastAsia="en-US"/>
        </w:rPr>
        <w:t>pour l’application de l’article 6, § 2, 1°, de la loi du 11</w:t>
      </w:r>
      <w:r>
        <w:rPr>
          <w:rFonts w:eastAsia="PMingLiU"/>
          <w:lang w:val="fr-BE" w:eastAsia="en-US"/>
        </w:rPr>
        <w:t xml:space="preserve"> </w:t>
      </w:r>
      <w:r w:rsidRPr="00BA4815">
        <w:rPr>
          <w:rFonts w:eastAsia="PMingLiU"/>
          <w:lang w:val="fr-BE" w:eastAsia="en-US"/>
        </w:rPr>
        <w:t xml:space="preserve">avril 1994 relative à la publicité de l’administration, </w:t>
      </w:r>
      <w:r>
        <w:rPr>
          <w:rFonts w:eastAsia="PMingLiU"/>
          <w:lang w:val="fr-BE" w:eastAsia="en-US"/>
        </w:rPr>
        <w:t>d</w:t>
      </w:r>
      <w:r w:rsidRPr="00BA4815">
        <w:rPr>
          <w:rFonts w:eastAsia="PMingLiU"/>
          <w:lang w:val="fr-BE" w:eastAsia="en-US"/>
        </w:rPr>
        <w:t>ans l’hypothèse où la</w:t>
      </w:r>
      <w:r>
        <w:rPr>
          <w:rFonts w:eastAsia="PMingLiU"/>
          <w:lang w:val="fr-BE" w:eastAsia="en-US"/>
        </w:rPr>
        <w:t xml:space="preserve"> </w:t>
      </w:r>
      <w:r w:rsidRPr="00BA4815">
        <w:rPr>
          <w:rFonts w:eastAsia="PMingLiU"/>
          <w:lang w:val="fr-BE" w:eastAsia="en-US"/>
        </w:rPr>
        <w:t>publication de certaines pièces du dossier porterait atteinte à la vie privée d’un</w:t>
      </w:r>
      <w:r>
        <w:rPr>
          <w:rFonts w:eastAsia="PMingLiU"/>
          <w:lang w:val="fr-BE" w:eastAsia="en-US"/>
        </w:rPr>
        <w:t xml:space="preserve"> </w:t>
      </w:r>
      <w:r w:rsidRPr="00BA4815">
        <w:rPr>
          <w:rFonts w:eastAsia="PMingLiU"/>
          <w:lang w:val="fr-BE" w:eastAsia="en-US"/>
        </w:rPr>
        <w:t>contribuable, ces pièces peuvent être soustraites à la publicité en application du § 4</w:t>
      </w:r>
      <w:r>
        <w:rPr>
          <w:rFonts w:eastAsia="PMingLiU"/>
          <w:lang w:val="fr-BE" w:eastAsia="en-US"/>
        </w:rPr>
        <w:t xml:space="preserve"> </w:t>
      </w:r>
      <w:r w:rsidRPr="00BA4815">
        <w:rPr>
          <w:rFonts w:eastAsia="PMingLiU"/>
          <w:lang w:val="fr-BE" w:eastAsia="en-US"/>
        </w:rPr>
        <w:t>du même article, mais le reste du dossier doit être communiqué</w:t>
      </w:r>
      <w:r>
        <w:rPr>
          <w:rStyle w:val="Appelnotedebasdep"/>
          <w:rFonts w:eastAsia="PMingLiU"/>
          <w:lang w:val="fr-BE" w:eastAsia="en-US"/>
        </w:rPr>
        <w:footnoteReference w:id="124"/>
      </w:r>
      <w:r>
        <w:rPr>
          <w:rFonts w:eastAsia="PMingLiU"/>
          <w:lang w:val="fr-BE" w:eastAsia="en-US"/>
        </w:rPr>
        <w:t>. Comme le souligne, le Conseil d’Etat, il</w:t>
      </w:r>
      <w:r w:rsidRPr="00BA4815">
        <w:rPr>
          <w:rFonts w:eastAsia="PMingLiU"/>
          <w:lang w:val="fr-BE" w:eastAsia="en-US"/>
        </w:rPr>
        <w:t xml:space="preserve"> ne semble pas que ce puisse être le cas à propos d’un dégrèvement de précompte</w:t>
      </w:r>
      <w:r>
        <w:rPr>
          <w:rFonts w:eastAsia="PMingLiU"/>
          <w:lang w:val="fr-BE" w:eastAsia="en-US"/>
        </w:rPr>
        <w:t xml:space="preserve"> </w:t>
      </w:r>
      <w:r w:rsidRPr="00BA4815">
        <w:rPr>
          <w:rFonts w:eastAsia="PMingLiU"/>
          <w:lang w:val="fr-BE" w:eastAsia="en-US"/>
        </w:rPr>
        <w:t>immobilier, mais ce pourrait</w:t>
      </w:r>
      <w:r>
        <w:rPr>
          <w:rFonts w:eastAsia="PMingLiU"/>
          <w:lang w:val="fr-BE" w:eastAsia="en-US"/>
        </w:rPr>
        <w:t xml:space="preserve"> par exemple</w:t>
      </w:r>
      <w:r w:rsidRPr="00BA4815">
        <w:rPr>
          <w:rFonts w:eastAsia="PMingLiU"/>
          <w:lang w:val="fr-BE" w:eastAsia="en-US"/>
        </w:rPr>
        <w:t xml:space="preserve"> l’être à l’occasion d’autres impôts locaux additionnels à des impôts</w:t>
      </w:r>
      <w:r>
        <w:rPr>
          <w:rFonts w:eastAsia="PMingLiU"/>
          <w:lang w:val="fr-BE" w:eastAsia="en-US"/>
        </w:rPr>
        <w:t xml:space="preserve"> </w:t>
      </w:r>
      <w:r w:rsidRPr="00BA4815">
        <w:rPr>
          <w:rFonts w:eastAsia="PMingLiU"/>
          <w:lang w:val="fr-BE" w:eastAsia="en-US"/>
        </w:rPr>
        <w:t>fédéraux ou régionaux évoqués dans l’«observation complémentaire» faite in fine du dernier</w:t>
      </w:r>
      <w:r>
        <w:rPr>
          <w:rFonts w:eastAsia="PMingLiU"/>
          <w:lang w:val="fr-BE" w:eastAsia="en-US"/>
        </w:rPr>
        <w:t xml:space="preserve"> </w:t>
      </w:r>
      <w:r w:rsidRPr="00BA4815">
        <w:rPr>
          <w:rFonts w:eastAsia="PMingLiU"/>
          <w:lang w:val="fr-BE" w:eastAsia="en-US"/>
        </w:rPr>
        <w:t xml:space="preserve">mémoire de la partie </w:t>
      </w:r>
      <w:r w:rsidRPr="00BA4815">
        <w:rPr>
          <w:rFonts w:eastAsia="PMingLiU"/>
          <w:lang w:val="fr-BE" w:eastAsia="en-US"/>
        </w:rPr>
        <w:lastRenderedPageBreak/>
        <w:t>adverse, par exemple l’IPP dont le montant peut être affecté par des éléments</w:t>
      </w:r>
      <w:r>
        <w:rPr>
          <w:rFonts w:eastAsia="PMingLiU"/>
          <w:lang w:val="fr-BE" w:eastAsia="en-US"/>
        </w:rPr>
        <w:t xml:space="preserve"> </w:t>
      </w:r>
      <w:r w:rsidRPr="00BA4815">
        <w:rPr>
          <w:rFonts w:eastAsia="PMingLiU"/>
          <w:lang w:val="fr-BE" w:eastAsia="en-US"/>
        </w:rPr>
        <w:t>qui relèvent manifestement de la vie privée tels que l’identité des bénéficiaires de libéralités</w:t>
      </w:r>
      <w:r>
        <w:rPr>
          <w:rFonts w:eastAsia="PMingLiU"/>
          <w:lang w:val="fr-BE" w:eastAsia="en-US"/>
        </w:rPr>
        <w:t xml:space="preserve"> </w:t>
      </w:r>
      <w:r w:rsidRPr="00BA4815">
        <w:rPr>
          <w:rFonts w:eastAsia="PMingLiU"/>
          <w:lang w:val="fr-BE" w:eastAsia="en-US"/>
        </w:rPr>
        <w:t xml:space="preserve">déductibles. </w:t>
      </w:r>
      <w:r>
        <w:rPr>
          <w:rFonts w:eastAsia="PMingLiU"/>
          <w:lang w:val="fr-BE" w:eastAsia="en-US"/>
        </w:rPr>
        <w:t xml:space="preserve"> </w:t>
      </w:r>
    </w:p>
    <w:p w14:paraId="0A8DAF61" w14:textId="77777777" w:rsidR="00E241F5" w:rsidRPr="008D7EB7" w:rsidRDefault="00E241F5" w:rsidP="008D7EB7">
      <w:pPr>
        <w:jc w:val="both"/>
        <w:rPr>
          <w:sz w:val="20"/>
          <w:szCs w:val="20"/>
          <w:lang w:val="fr-BE"/>
        </w:rPr>
      </w:pPr>
    </w:p>
    <w:p w14:paraId="409E4B65" w14:textId="49C04B77" w:rsidR="009B153C" w:rsidRPr="00DA6BD2" w:rsidRDefault="00A40741" w:rsidP="00581DAD">
      <w:pPr>
        <w:pStyle w:val="Sam1"/>
      </w:pPr>
      <w:bookmarkStart w:id="4762" w:name="_Toc40185467"/>
      <w:bookmarkStart w:id="4763" w:name="_Toc40186202"/>
      <w:bookmarkStart w:id="4764" w:name="_Toc40185468"/>
      <w:bookmarkStart w:id="4765" w:name="_Toc40186203"/>
      <w:bookmarkStart w:id="4766" w:name="_Toc6997753"/>
      <w:bookmarkStart w:id="4767" w:name="_Toc7016529"/>
      <w:bookmarkStart w:id="4768" w:name="_Toc7020697"/>
      <w:bookmarkStart w:id="4769" w:name="_Toc7094769"/>
      <w:bookmarkStart w:id="4770" w:name="_Toc8121804"/>
      <w:bookmarkStart w:id="4771" w:name="_Toc8129745"/>
      <w:bookmarkStart w:id="4772" w:name="_Toc6997754"/>
      <w:bookmarkStart w:id="4773" w:name="_Toc7016530"/>
      <w:bookmarkStart w:id="4774" w:name="_Toc7020698"/>
      <w:bookmarkStart w:id="4775" w:name="_Toc7094770"/>
      <w:bookmarkStart w:id="4776" w:name="_Toc8121805"/>
      <w:bookmarkStart w:id="4777" w:name="_Toc8129746"/>
      <w:bookmarkStart w:id="4778" w:name="_Toc6997755"/>
      <w:bookmarkStart w:id="4779" w:name="_Toc7016531"/>
      <w:bookmarkStart w:id="4780" w:name="_Toc7020699"/>
      <w:bookmarkStart w:id="4781" w:name="_Toc7094771"/>
      <w:bookmarkStart w:id="4782" w:name="_Toc8121806"/>
      <w:bookmarkStart w:id="4783" w:name="_Toc8129747"/>
      <w:bookmarkStart w:id="4784" w:name="_Toc516739728"/>
      <w:bookmarkStart w:id="4785" w:name="_Toc516751640"/>
      <w:bookmarkStart w:id="4786" w:name="_Toc516825728"/>
      <w:bookmarkStart w:id="4787" w:name="_Toc516826286"/>
      <w:bookmarkStart w:id="4788" w:name="_Toc516837606"/>
      <w:bookmarkStart w:id="4789" w:name="_Toc516838165"/>
      <w:bookmarkStart w:id="4790" w:name="_Toc516838724"/>
      <w:bookmarkStart w:id="4791" w:name="_Toc516839284"/>
      <w:bookmarkStart w:id="4792" w:name="_Toc517173380"/>
      <w:bookmarkStart w:id="4793" w:name="_Toc517175054"/>
      <w:bookmarkStart w:id="4794" w:name="_Toc517175641"/>
      <w:bookmarkStart w:id="4795" w:name="_Toc517176229"/>
      <w:bookmarkStart w:id="4796" w:name="_Toc517337554"/>
      <w:bookmarkStart w:id="4797" w:name="_Toc517360350"/>
      <w:bookmarkStart w:id="4798" w:name="_Toc516739729"/>
      <w:bookmarkStart w:id="4799" w:name="_Toc516751641"/>
      <w:bookmarkStart w:id="4800" w:name="_Toc516825729"/>
      <w:bookmarkStart w:id="4801" w:name="_Toc516826287"/>
      <w:bookmarkStart w:id="4802" w:name="_Toc516837607"/>
      <w:bookmarkStart w:id="4803" w:name="_Toc516838166"/>
      <w:bookmarkStart w:id="4804" w:name="_Toc516838725"/>
      <w:bookmarkStart w:id="4805" w:name="_Toc516839285"/>
      <w:bookmarkStart w:id="4806" w:name="_Toc517173381"/>
      <w:bookmarkStart w:id="4807" w:name="_Toc517175055"/>
      <w:bookmarkStart w:id="4808" w:name="_Toc517175642"/>
      <w:bookmarkStart w:id="4809" w:name="_Toc517176230"/>
      <w:bookmarkStart w:id="4810" w:name="_Toc517337555"/>
      <w:bookmarkStart w:id="4811" w:name="_Toc517360351"/>
      <w:bookmarkStart w:id="4812" w:name="_Toc516739730"/>
      <w:bookmarkStart w:id="4813" w:name="_Toc516751642"/>
      <w:bookmarkStart w:id="4814" w:name="_Toc516825730"/>
      <w:bookmarkStart w:id="4815" w:name="_Toc516826288"/>
      <w:bookmarkStart w:id="4816" w:name="_Toc516837608"/>
      <w:bookmarkStart w:id="4817" w:name="_Toc516838167"/>
      <w:bookmarkStart w:id="4818" w:name="_Toc516838726"/>
      <w:bookmarkStart w:id="4819" w:name="_Toc516839286"/>
      <w:bookmarkStart w:id="4820" w:name="_Toc517173382"/>
      <w:bookmarkStart w:id="4821" w:name="_Toc517175056"/>
      <w:bookmarkStart w:id="4822" w:name="_Toc517175643"/>
      <w:bookmarkStart w:id="4823" w:name="_Toc517176231"/>
      <w:bookmarkStart w:id="4824" w:name="_Toc517337556"/>
      <w:bookmarkStart w:id="4825" w:name="_Toc517360352"/>
      <w:bookmarkStart w:id="4826" w:name="_Toc516739731"/>
      <w:bookmarkStart w:id="4827" w:name="_Toc516751643"/>
      <w:bookmarkStart w:id="4828" w:name="_Toc516825731"/>
      <w:bookmarkStart w:id="4829" w:name="_Toc516826289"/>
      <w:bookmarkStart w:id="4830" w:name="_Toc516837609"/>
      <w:bookmarkStart w:id="4831" w:name="_Toc516838168"/>
      <w:bookmarkStart w:id="4832" w:name="_Toc516838727"/>
      <w:bookmarkStart w:id="4833" w:name="_Toc516839287"/>
      <w:bookmarkStart w:id="4834" w:name="_Toc517173383"/>
      <w:bookmarkStart w:id="4835" w:name="_Toc517175057"/>
      <w:bookmarkStart w:id="4836" w:name="_Toc517175644"/>
      <w:bookmarkStart w:id="4837" w:name="_Toc517176232"/>
      <w:bookmarkStart w:id="4838" w:name="_Toc517337557"/>
      <w:bookmarkStart w:id="4839" w:name="_Toc517360353"/>
      <w:bookmarkStart w:id="4840" w:name="_Toc516231751"/>
      <w:bookmarkStart w:id="4841" w:name="_Toc516242846"/>
      <w:bookmarkStart w:id="4842" w:name="_Toc516243149"/>
      <w:bookmarkStart w:id="4843" w:name="_Toc516245081"/>
      <w:bookmarkStart w:id="4844" w:name="_Toc516473652"/>
      <w:bookmarkStart w:id="4845" w:name="_Toc516473962"/>
      <w:bookmarkStart w:id="4846" w:name="_Toc516474272"/>
      <w:bookmarkStart w:id="4847" w:name="_Toc516474580"/>
      <w:bookmarkStart w:id="4848" w:name="_Toc516474912"/>
      <w:bookmarkStart w:id="4849" w:name="_Toc516478945"/>
      <w:bookmarkStart w:id="4850" w:name="_Toc516479408"/>
      <w:bookmarkStart w:id="4851" w:name="_Toc516479725"/>
      <w:bookmarkStart w:id="4852" w:name="_Toc516480047"/>
      <w:bookmarkStart w:id="4853" w:name="_Toc516480361"/>
      <w:bookmarkStart w:id="4854" w:name="_Toc516480675"/>
      <w:bookmarkStart w:id="4855" w:name="_Toc516480989"/>
      <w:bookmarkStart w:id="4856" w:name="_Toc516481303"/>
      <w:bookmarkStart w:id="4857" w:name="_Toc516481617"/>
      <w:bookmarkStart w:id="4858" w:name="_Toc516481931"/>
      <w:bookmarkStart w:id="4859" w:name="_Toc516482245"/>
      <w:bookmarkStart w:id="4860" w:name="_Toc516482559"/>
      <w:bookmarkStart w:id="4861" w:name="_Toc516739732"/>
      <w:bookmarkStart w:id="4862" w:name="_Toc516751644"/>
      <w:bookmarkStart w:id="4863" w:name="_Toc516825732"/>
      <w:bookmarkStart w:id="4864" w:name="_Toc516826290"/>
      <w:bookmarkStart w:id="4865" w:name="_Toc516837610"/>
      <w:bookmarkStart w:id="4866" w:name="_Toc516838169"/>
      <w:bookmarkStart w:id="4867" w:name="_Toc516838728"/>
      <w:bookmarkStart w:id="4868" w:name="_Toc516839288"/>
      <w:bookmarkStart w:id="4869" w:name="_Toc517173384"/>
      <w:bookmarkStart w:id="4870" w:name="_Toc517175058"/>
      <w:bookmarkStart w:id="4871" w:name="_Toc517175645"/>
      <w:bookmarkStart w:id="4872" w:name="_Toc517176233"/>
      <w:bookmarkStart w:id="4873" w:name="_Toc517337558"/>
      <w:bookmarkStart w:id="4874" w:name="_Toc517360354"/>
      <w:bookmarkStart w:id="4875" w:name="_Toc74557715"/>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r>
        <w:t>Nomenclature des taxes communales</w:t>
      </w:r>
      <w:bookmarkEnd w:id="4875"/>
    </w:p>
    <w:p w14:paraId="6BD41C09" w14:textId="34662E31" w:rsidR="000D4BE7" w:rsidRPr="00CA03DC" w:rsidRDefault="009B153C" w:rsidP="00E063FD">
      <w:pPr>
        <w:spacing w:before="120"/>
        <w:jc w:val="both"/>
        <w:textAlignment w:val="baseline"/>
        <w:rPr>
          <w:rFonts w:asciiTheme="minorHAnsi" w:hAnsiTheme="minorHAnsi" w:cs="Calibri Light"/>
        </w:rPr>
      </w:pPr>
      <w:r w:rsidRPr="00CA03DC">
        <w:rPr>
          <w:rFonts w:asciiTheme="minorHAnsi" w:hAnsiTheme="minorHAnsi" w:cs="Calibri Light"/>
        </w:rPr>
        <w:t xml:space="preserve">Des modèles de règlements-taxes sont disponibles sur le site hébergé à l'adresse suivante : </w:t>
      </w:r>
      <w:hyperlink r:id="rId16" w:history="1">
        <w:r w:rsidR="00C820A6" w:rsidRPr="008D7EB7">
          <w:rPr>
            <w:rStyle w:val="Lienhypertexte"/>
            <w:rFonts w:asciiTheme="minorHAnsi" w:hAnsiTheme="minorHAnsi" w:cs="Calibri Light"/>
            <w:color w:val="auto"/>
          </w:rPr>
          <w:t>http://interieur.wallonie.be</w:t>
        </w:r>
      </w:hyperlink>
      <w:r w:rsidR="00C820A6" w:rsidRPr="008D7EB7">
        <w:rPr>
          <w:rFonts w:asciiTheme="minorHAnsi" w:hAnsiTheme="minorHAnsi" w:cstheme="minorHAnsi"/>
        </w:rPr>
        <w:t xml:space="preserve">(Finances &gt; Fiscalité </w:t>
      </w:r>
      <w:r w:rsidR="00C820A6" w:rsidRPr="008D7EB7">
        <w:rPr>
          <w:rStyle w:val="breadcrumb-separator"/>
          <w:rFonts w:asciiTheme="minorHAnsi" w:hAnsiTheme="minorHAnsi" w:cstheme="minorHAnsi"/>
        </w:rPr>
        <w:t xml:space="preserve">&gt; </w:t>
      </w:r>
      <w:r w:rsidR="00C820A6" w:rsidRPr="008D7EB7">
        <w:rPr>
          <w:rFonts w:asciiTheme="minorHAnsi" w:hAnsiTheme="minorHAnsi" w:cstheme="minorHAnsi"/>
        </w:rPr>
        <w:t>Memento fiscal)</w:t>
      </w:r>
      <w:r w:rsidR="00CA03DC" w:rsidRPr="008D7EB7">
        <w:rPr>
          <w:rFonts w:asciiTheme="minorHAnsi" w:hAnsiTheme="minorHAnsi" w:cs="Calibri Light"/>
        </w:rPr>
        <w:t>.</w:t>
      </w:r>
      <w:r w:rsidRPr="00CA03DC">
        <w:rPr>
          <w:rFonts w:asciiTheme="minorHAnsi" w:hAnsiTheme="minorHAnsi" w:cs="Calibri Light"/>
        </w:rPr>
        <w:t xml:space="preserve"> </w:t>
      </w:r>
    </w:p>
    <w:p w14:paraId="362EC24E" w14:textId="77777777" w:rsidR="000D4BE7"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Quand un modèle existe, une mention a été insérée, dans la nomenclature qui suit, à la suite de l'intitulé de la taxe. </w:t>
      </w:r>
    </w:p>
    <w:p w14:paraId="13BF36BD" w14:textId="07412ADA" w:rsidR="009B153C" w:rsidRDefault="000D4BE7" w:rsidP="00E063FD">
      <w:pPr>
        <w:spacing w:before="120"/>
        <w:jc w:val="both"/>
        <w:textAlignment w:val="baseline"/>
        <w:rPr>
          <w:rFonts w:asciiTheme="minorHAnsi" w:hAnsiTheme="minorHAnsi" w:cs="Calibri Light"/>
        </w:rPr>
      </w:pPr>
      <w:r>
        <w:rPr>
          <w:rFonts w:asciiTheme="minorHAnsi" w:hAnsiTheme="minorHAnsi" w:cs="Calibri Light"/>
        </w:rPr>
        <w:t>S</w:t>
      </w:r>
      <w:r w:rsidR="009B153C" w:rsidRPr="00DA6BD2">
        <w:rPr>
          <w:rFonts w:asciiTheme="minorHAnsi" w:hAnsiTheme="minorHAnsi" w:cs="Calibri Light"/>
        </w:rPr>
        <w:t xml:space="preserve">elon l'évolution de la jurisprudence, </w:t>
      </w:r>
      <w:r w:rsidR="009B153C" w:rsidRPr="008D7EB7">
        <w:rPr>
          <w:rFonts w:asciiTheme="minorHAnsi" w:hAnsiTheme="minorHAnsi" w:cs="Calibri Light"/>
          <w:b/>
          <w:bCs/>
        </w:rPr>
        <w:t xml:space="preserve">il </w:t>
      </w:r>
      <w:r w:rsidR="00360EE6" w:rsidRPr="008D7EB7">
        <w:rPr>
          <w:rFonts w:asciiTheme="minorHAnsi" w:hAnsiTheme="minorHAnsi" w:cs="Calibri Light"/>
          <w:b/>
          <w:bCs/>
        </w:rPr>
        <w:t>est impératif</w:t>
      </w:r>
      <w:r w:rsidR="009B153C" w:rsidRPr="00DA6BD2">
        <w:rPr>
          <w:rFonts w:asciiTheme="minorHAnsi" w:hAnsiTheme="minorHAnsi" w:cs="Calibri Light"/>
        </w:rPr>
        <w:t xml:space="preserve"> de soigner la motivation de vos règlements (</w:t>
      </w:r>
      <w:r w:rsidR="00E22EE0">
        <w:rPr>
          <w:rFonts w:asciiTheme="minorHAnsi" w:hAnsiTheme="minorHAnsi" w:cs="Calibri Light"/>
        </w:rPr>
        <w:t xml:space="preserve">surtout </w:t>
      </w:r>
      <w:r w:rsidR="009B153C" w:rsidRPr="00DA6BD2">
        <w:rPr>
          <w:rFonts w:asciiTheme="minorHAnsi" w:hAnsiTheme="minorHAnsi" w:cs="Calibri Light"/>
        </w:rPr>
        <w:t>dans le préambule</w:t>
      </w:r>
      <w:r w:rsidR="00E22EE0">
        <w:rPr>
          <w:rFonts w:asciiTheme="minorHAnsi" w:hAnsiTheme="minorHAnsi" w:cs="Calibri Light"/>
        </w:rPr>
        <w:t xml:space="preserve"> mais également </w:t>
      </w:r>
      <w:r w:rsidR="009B153C" w:rsidRPr="00DA6BD2">
        <w:rPr>
          <w:rFonts w:asciiTheme="minorHAnsi" w:hAnsiTheme="minorHAnsi" w:cs="Calibri Light"/>
        </w:rPr>
        <w:t xml:space="preserve">dans le dossier administratif) et tout particulièrement lorsque vous souhaitez prévoir des </w:t>
      </w:r>
      <w:r w:rsidR="009B153C" w:rsidRPr="004C2BB2">
        <w:rPr>
          <w:rFonts w:asciiTheme="minorHAnsi" w:hAnsiTheme="minorHAnsi" w:cs="Calibri Light"/>
          <w:b/>
          <w:bCs/>
        </w:rPr>
        <w:t>taux préférentiels ou des exonérations</w:t>
      </w:r>
      <w:r w:rsidR="009B153C" w:rsidRPr="00DA6BD2">
        <w:rPr>
          <w:rFonts w:asciiTheme="minorHAnsi" w:hAnsiTheme="minorHAnsi" w:cs="Calibri Light"/>
        </w:rPr>
        <w:t xml:space="preserve"> ainsi que dans l'hypothèse où l'établissement du règlement peut poser un problème de respect du principe constitutionnel d'égalité des citoyens devant l’impôt</w:t>
      </w:r>
      <w:r w:rsidR="00961214">
        <w:rPr>
          <w:rStyle w:val="Appelnotedebasdep"/>
          <w:rFonts w:asciiTheme="minorHAnsi" w:hAnsiTheme="minorHAnsi" w:cs="Calibri Light"/>
        </w:rPr>
        <w:footnoteReference w:id="125"/>
      </w:r>
      <w:r w:rsidR="00961214">
        <w:rPr>
          <w:rFonts w:asciiTheme="minorHAnsi" w:hAnsiTheme="minorHAnsi" w:cs="Calibri Light"/>
        </w:rPr>
        <w:t>.</w:t>
      </w:r>
    </w:p>
    <w:p w14:paraId="6A4A0E28" w14:textId="77777777" w:rsidR="00FA4A3F" w:rsidRDefault="00FA4A3F" w:rsidP="00E063FD">
      <w:pPr>
        <w:spacing w:before="120"/>
        <w:jc w:val="both"/>
        <w:textAlignment w:val="baseline"/>
        <w:rPr>
          <w:rFonts w:asciiTheme="minorHAnsi" w:hAnsiTheme="minorHAnsi" w:cs="Calibri Light"/>
        </w:rPr>
      </w:pPr>
    </w:p>
    <w:p w14:paraId="3538C6C4" w14:textId="05A6A1FD" w:rsidR="00360EE6" w:rsidRPr="00256E9F" w:rsidRDefault="00360EE6" w:rsidP="00E063FD">
      <w:pPr>
        <w:spacing w:before="120"/>
        <w:jc w:val="both"/>
        <w:textAlignment w:val="baseline"/>
        <w:rPr>
          <w:rFonts w:asciiTheme="minorHAnsi" w:hAnsiTheme="minorHAnsi" w:cs="Calibri Light"/>
          <w:b/>
          <w:bCs/>
          <w:sz w:val="26"/>
          <w:szCs w:val="26"/>
          <w:u w:val="single"/>
        </w:rPr>
      </w:pPr>
      <w:r w:rsidRPr="00256E9F">
        <w:rPr>
          <w:rFonts w:asciiTheme="minorHAnsi" w:hAnsiTheme="minorHAnsi" w:cs="Calibri Light"/>
          <w:b/>
          <w:bCs/>
          <w:sz w:val="26"/>
          <w:szCs w:val="26"/>
          <w:u w:val="single"/>
        </w:rPr>
        <w:t>L’indexation</w:t>
      </w:r>
      <w:r w:rsidRPr="00256E9F">
        <w:rPr>
          <w:rFonts w:asciiTheme="minorHAnsi" w:hAnsiTheme="minorHAnsi" w:cs="Calibri Light"/>
          <w:b/>
          <w:bCs/>
          <w:sz w:val="26"/>
          <w:szCs w:val="26"/>
        </w:rPr>
        <w:t> :</w:t>
      </w:r>
    </w:p>
    <w:p w14:paraId="3624E9BF" w14:textId="77777777" w:rsidR="00961214" w:rsidRPr="00961214" w:rsidRDefault="00961214" w:rsidP="00961214">
      <w:pPr>
        <w:spacing w:before="120"/>
        <w:jc w:val="both"/>
        <w:textAlignment w:val="baseline"/>
        <w:rPr>
          <w:rFonts w:asciiTheme="minorHAnsi" w:hAnsiTheme="minorHAnsi" w:cs="Calibri Light"/>
        </w:rPr>
      </w:pPr>
      <w:r w:rsidRPr="00961214">
        <w:rPr>
          <w:rFonts w:asciiTheme="minorHAnsi" w:hAnsiTheme="minorHAnsi" w:cs="Calibri Light"/>
        </w:rPr>
        <w:t xml:space="preserve">Les taux maxima de base recommandés repris ci-dessous </w:t>
      </w:r>
      <w:r w:rsidRPr="00A65F14">
        <w:rPr>
          <w:rFonts w:asciiTheme="minorHAnsi" w:hAnsiTheme="minorHAnsi" w:cs="Calibri Light"/>
          <w:b/>
          <w:bCs/>
        </w:rPr>
        <w:t>tiennent compte de l'indice des prix à la consommation du mois de janvier 2020</w:t>
      </w:r>
      <w:r w:rsidRPr="00961214">
        <w:rPr>
          <w:rFonts w:asciiTheme="minorHAnsi" w:hAnsiTheme="minorHAnsi" w:cs="Calibri Light"/>
        </w:rPr>
        <w:t>.</w:t>
      </w:r>
    </w:p>
    <w:p w14:paraId="0717D130" w14:textId="26BF85C7" w:rsidR="00BD2CC8" w:rsidRDefault="00BD2CC8" w:rsidP="00961214">
      <w:pPr>
        <w:spacing w:before="120"/>
        <w:jc w:val="both"/>
        <w:textAlignment w:val="baseline"/>
        <w:rPr>
          <w:rFonts w:asciiTheme="minorHAnsi" w:hAnsiTheme="minorHAnsi" w:cs="Calibri Light"/>
        </w:rPr>
      </w:pPr>
      <w:r>
        <w:rPr>
          <w:rFonts w:asciiTheme="minorHAnsi" w:hAnsiTheme="minorHAnsi" w:cs="Calibri Light"/>
        </w:rPr>
        <w:t>Pour rappel, la dernière révision des taux avait été faite dans la circulaire pour l’exercice 2013. Les taux ici recommandés tiennent donc compte de l’évolution de l’indexation jusqu’au 1</w:t>
      </w:r>
      <w:r w:rsidRPr="00900C39">
        <w:rPr>
          <w:rFonts w:asciiTheme="minorHAnsi" w:hAnsiTheme="minorHAnsi" w:cs="Calibri Light"/>
          <w:vertAlign w:val="superscript"/>
        </w:rPr>
        <w:t>er</w:t>
      </w:r>
      <w:r>
        <w:rPr>
          <w:rFonts w:asciiTheme="minorHAnsi" w:hAnsiTheme="minorHAnsi" w:cs="Calibri Light"/>
        </w:rPr>
        <w:t xml:space="preserve"> janvier 2020. </w:t>
      </w:r>
    </w:p>
    <w:p w14:paraId="774F60DF" w14:textId="3EC4D56A" w:rsidR="000C7152" w:rsidRDefault="000C7152" w:rsidP="00961214">
      <w:pPr>
        <w:spacing w:before="120"/>
        <w:jc w:val="both"/>
        <w:textAlignment w:val="baseline"/>
        <w:rPr>
          <w:rFonts w:asciiTheme="minorHAnsi" w:hAnsiTheme="minorHAnsi" w:cs="Calibri Light"/>
        </w:rPr>
      </w:pPr>
      <w:bookmarkStart w:id="4876" w:name="_Hlk67568052"/>
      <w:r w:rsidRPr="000C7152">
        <w:rPr>
          <w:rFonts w:asciiTheme="minorHAnsi" w:hAnsiTheme="minorHAnsi" w:cs="Calibri Light"/>
        </w:rPr>
        <w:t>Ces maximas peuvent être indexés selon le rapport entre l'indice des prix à la consommation du mois de janvier 20</w:t>
      </w:r>
      <w:r>
        <w:rPr>
          <w:rFonts w:asciiTheme="minorHAnsi" w:hAnsiTheme="minorHAnsi" w:cs="Calibri Light"/>
        </w:rPr>
        <w:t>20</w:t>
      </w:r>
      <w:r w:rsidRPr="000C7152">
        <w:rPr>
          <w:rFonts w:asciiTheme="minorHAnsi" w:hAnsiTheme="minorHAnsi" w:cs="Calibri Light"/>
        </w:rPr>
        <w:t xml:space="preserve"> (</w:t>
      </w:r>
      <w:r w:rsidR="0095611A">
        <w:rPr>
          <w:rFonts w:asciiTheme="minorHAnsi" w:hAnsiTheme="minorHAnsi" w:cs="Calibri Light"/>
        </w:rPr>
        <w:t>109,72</w:t>
      </w:r>
      <w:r w:rsidRPr="000C7152">
        <w:rPr>
          <w:rFonts w:asciiTheme="minorHAnsi" w:hAnsiTheme="minorHAnsi" w:cs="Calibri Light"/>
        </w:rPr>
        <w:t xml:space="preserve"> sur base de l'indice 2013) et celui du mois de janvier </w:t>
      </w:r>
      <w:r>
        <w:rPr>
          <w:rFonts w:asciiTheme="minorHAnsi" w:hAnsiTheme="minorHAnsi" w:cs="Calibri Light"/>
        </w:rPr>
        <w:t>202</w:t>
      </w:r>
      <w:r w:rsidR="00B112B2">
        <w:rPr>
          <w:rFonts w:asciiTheme="minorHAnsi" w:hAnsiTheme="minorHAnsi" w:cs="Calibri Light"/>
        </w:rPr>
        <w:t>2</w:t>
      </w:r>
      <w:r w:rsidRPr="000C7152">
        <w:rPr>
          <w:rFonts w:asciiTheme="minorHAnsi" w:hAnsiTheme="minorHAnsi" w:cs="Calibri Light"/>
        </w:rPr>
        <w:t xml:space="preserve"> (</w:t>
      </w:r>
      <w:r w:rsidR="00B112B2">
        <w:rPr>
          <w:rFonts w:asciiTheme="minorHAnsi" w:hAnsiTheme="minorHAnsi" w:cs="Calibri Light"/>
        </w:rPr>
        <w:t>118</w:t>
      </w:r>
      <w:r w:rsidR="004B67CF">
        <w:rPr>
          <w:rFonts w:asciiTheme="minorHAnsi" w:hAnsiTheme="minorHAnsi" w:cs="Calibri Light"/>
        </w:rPr>
        <w:t>,</w:t>
      </w:r>
      <w:r w:rsidR="00B112B2">
        <w:rPr>
          <w:rFonts w:asciiTheme="minorHAnsi" w:hAnsiTheme="minorHAnsi" w:cs="Calibri Light"/>
        </w:rPr>
        <w:t>32</w:t>
      </w:r>
      <w:r w:rsidRPr="000C7152">
        <w:rPr>
          <w:rFonts w:asciiTheme="minorHAnsi" w:hAnsiTheme="minorHAnsi" w:cs="Calibri Light"/>
        </w:rPr>
        <w:t xml:space="preserve"> sur base de l'indice 2013), soit pour l'exercice 202</w:t>
      </w:r>
      <w:r w:rsidR="00B112B2">
        <w:rPr>
          <w:rFonts w:asciiTheme="minorHAnsi" w:hAnsiTheme="minorHAnsi" w:cs="Calibri Light"/>
        </w:rPr>
        <w:t>3</w:t>
      </w:r>
      <w:r w:rsidRPr="000C7152">
        <w:rPr>
          <w:rFonts w:asciiTheme="minorHAnsi" w:hAnsiTheme="minorHAnsi" w:cs="Calibri Light"/>
        </w:rPr>
        <w:t xml:space="preserve">, une indexation de </w:t>
      </w:r>
      <w:r w:rsidR="00B112B2" w:rsidRPr="00256E9F">
        <w:rPr>
          <w:rFonts w:asciiTheme="minorHAnsi" w:hAnsiTheme="minorHAnsi" w:cs="Calibri Light"/>
          <w:b/>
          <w:bCs/>
        </w:rPr>
        <w:t>7,</w:t>
      </w:r>
      <w:r w:rsidR="00243D96" w:rsidRPr="00256E9F">
        <w:rPr>
          <w:rFonts w:asciiTheme="minorHAnsi" w:hAnsiTheme="minorHAnsi" w:cs="Calibri Light"/>
          <w:b/>
          <w:bCs/>
        </w:rPr>
        <w:t>87</w:t>
      </w:r>
      <w:r w:rsidRPr="000C7152">
        <w:rPr>
          <w:rFonts w:asciiTheme="minorHAnsi" w:hAnsiTheme="minorHAnsi" w:cs="Calibri Light"/>
        </w:rPr>
        <w:t>%.</w:t>
      </w:r>
    </w:p>
    <w:p w14:paraId="0C6068AD" w14:textId="203C0FDD" w:rsidR="00413885" w:rsidRDefault="00413885" w:rsidP="00961214">
      <w:pPr>
        <w:spacing w:before="120"/>
        <w:jc w:val="both"/>
        <w:textAlignment w:val="baseline"/>
        <w:rPr>
          <w:rFonts w:asciiTheme="minorHAnsi" w:hAnsiTheme="minorHAnsi" w:cs="Calibri Light"/>
        </w:rPr>
      </w:pPr>
      <w:bookmarkStart w:id="4877" w:name="_Hlk72996055"/>
      <w:r>
        <w:rPr>
          <w:rFonts w:asciiTheme="minorHAnsi" w:hAnsiTheme="minorHAnsi" w:cs="Calibri Light"/>
        </w:rPr>
        <w:t xml:space="preserve">Compte tenu des conséquences socio-économiques de la pandémie sur nombre de citoyens et de secteurs économiques, je vous invite toutefois à </w:t>
      </w:r>
      <w:r w:rsidR="008144FA">
        <w:rPr>
          <w:rFonts w:asciiTheme="minorHAnsi" w:hAnsiTheme="minorHAnsi" w:cs="Calibri Light"/>
        </w:rPr>
        <w:t>user de cette faculté d’indexation</w:t>
      </w:r>
      <w:r w:rsidR="00FA4A3F">
        <w:rPr>
          <w:rFonts w:asciiTheme="minorHAnsi" w:hAnsiTheme="minorHAnsi" w:cs="Calibri Light"/>
        </w:rPr>
        <w:t xml:space="preserve"> avec modération</w:t>
      </w:r>
      <w:r>
        <w:rPr>
          <w:rFonts w:asciiTheme="minorHAnsi" w:hAnsiTheme="minorHAnsi" w:cs="Calibri Light"/>
        </w:rPr>
        <w:t xml:space="preserve">. </w:t>
      </w:r>
    </w:p>
    <w:p w14:paraId="02C70E38" w14:textId="6A1AECEE" w:rsidR="00413885" w:rsidRDefault="00413885" w:rsidP="00961214">
      <w:pPr>
        <w:spacing w:before="120"/>
        <w:jc w:val="both"/>
        <w:textAlignment w:val="baseline"/>
        <w:rPr>
          <w:rFonts w:asciiTheme="minorHAnsi" w:hAnsiTheme="minorHAnsi" w:cs="Calibri Light"/>
        </w:rPr>
      </w:pPr>
      <w:bookmarkStart w:id="4878" w:name="_Hlk72996127"/>
      <w:r>
        <w:rPr>
          <w:rFonts w:asciiTheme="minorHAnsi" w:hAnsiTheme="minorHAnsi" w:cs="Calibri Light"/>
        </w:rPr>
        <w:t>Je rappelle également que, pour une plus grande lisibilité, nombre de taux 2021 ont été arrondis.</w:t>
      </w:r>
    </w:p>
    <w:bookmarkEnd w:id="4876"/>
    <w:bookmarkEnd w:id="4877"/>
    <w:bookmarkEnd w:id="4878"/>
    <w:p w14:paraId="06CB39A8" w14:textId="0598FDDE" w:rsidR="009B153C" w:rsidRPr="00DA6BD2" w:rsidRDefault="000D4BE7" w:rsidP="00E063FD">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orsqu'ils établissent le montant des redevances, les Conseils communaux établissent le montant en fonction du coût du service rendu, lequel est estimé sur</w:t>
      </w:r>
      <w:r>
        <w:rPr>
          <w:rFonts w:asciiTheme="minorHAnsi" w:hAnsiTheme="minorHAnsi" w:cs="Calibri Light"/>
        </w:rPr>
        <w:t xml:space="preserve"> la</w:t>
      </w:r>
      <w:r w:rsidR="009B153C" w:rsidRPr="00DA6BD2">
        <w:rPr>
          <w:rFonts w:asciiTheme="minorHAnsi" w:hAnsiTheme="minorHAnsi" w:cs="Calibri Light"/>
        </w:rPr>
        <w:t xml:space="preserve"> base des prix pratiqués au moment de l'adoption du règlement. La détermination de ce montant doit apparaître dans le dossier administratif dudit règlement.</w:t>
      </w:r>
    </w:p>
    <w:p w14:paraId="3D6F9848" w14:textId="594FE325" w:rsidR="009B153C" w:rsidRDefault="009B153C" w:rsidP="00E063FD">
      <w:pPr>
        <w:spacing w:before="120"/>
        <w:jc w:val="both"/>
        <w:textAlignment w:val="baseline"/>
        <w:rPr>
          <w:rFonts w:asciiTheme="minorHAnsi" w:hAnsiTheme="minorHAnsi" w:cs="Calibri Light"/>
        </w:rPr>
      </w:pPr>
      <w:bookmarkStart w:id="4879" w:name="_Hlk38966150"/>
      <w:r w:rsidRPr="00DA6BD2">
        <w:rPr>
          <w:rFonts w:asciiTheme="minorHAnsi" w:hAnsiTheme="minorHAnsi" w:cs="Calibri Light"/>
        </w:rPr>
        <w:t xml:space="preserve">Ils ont en outre la possibilité de prévoir que ce taux évoluera en fonction de l'indice des prix à la consommation. En agissant de la sorte, ils s'assurent de l'adéquation continuelle </w:t>
      </w:r>
      <w:r w:rsidR="00C3410B" w:rsidRPr="00CA03DC">
        <w:rPr>
          <w:rFonts w:asciiTheme="minorHAnsi" w:hAnsiTheme="minorHAnsi" w:cs="Calibri Light"/>
        </w:rPr>
        <w:t>du</w:t>
      </w:r>
      <w:r w:rsidR="00C3410B">
        <w:rPr>
          <w:rFonts w:asciiTheme="minorHAnsi" w:hAnsiTheme="minorHAnsi" w:cs="Calibri Light"/>
        </w:rPr>
        <w:t xml:space="preserve"> </w:t>
      </w:r>
      <w:r w:rsidRPr="00DA6BD2">
        <w:rPr>
          <w:rFonts w:asciiTheme="minorHAnsi" w:hAnsiTheme="minorHAnsi" w:cs="Calibri Light"/>
        </w:rPr>
        <w:t>montant</w:t>
      </w:r>
      <w:r w:rsidR="00C3410B">
        <w:rPr>
          <w:rFonts w:asciiTheme="minorHAnsi" w:hAnsiTheme="minorHAnsi" w:cs="Calibri Light"/>
        </w:rPr>
        <w:t xml:space="preserve"> </w:t>
      </w:r>
      <w:r w:rsidR="00C3410B" w:rsidRPr="00CA03DC">
        <w:rPr>
          <w:rFonts w:asciiTheme="minorHAnsi" w:hAnsiTheme="minorHAnsi" w:cs="Calibri Light"/>
        </w:rPr>
        <w:t>de la redevance</w:t>
      </w:r>
      <w:r w:rsidRPr="00DA6BD2">
        <w:rPr>
          <w:rFonts w:asciiTheme="minorHAnsi" w:hAnsiTheme="minorHAnsi" w:cs="Calibri Light"/>
        </w:rPr>
        <w:t xml:space="preserve"> avec le coût de la vie</w:t>
      </w:r>
      <w:bookmarkEnd w:id="4879"/>
      <w:r w:rsidRPr="00DA6BD2">
        <w:rPr>
          <w:rFonts w:asciiTheme="minorHAnsi" w:hAnsiTheme="minorHAnsi" w:cs="Calibri Light"/>
        </w:rPr>
        <w:t>.</w:t>
      </w:r>
    </w:p>
    <w:p w14:paraId="5588E880" w14:textId="62B5F072" w:rsidR="006D7820" w:rsidRPr="008D7EB7" w:rsidRDefault="006D7820" w:rsidP="00E063FD">
      <w:pPr>
        <w:spacing w:before="120"/>
        <w:jc w:val="both"/>
        <w:textAlignment w:val="baseline"/>
        <w:rPr>
          <w:rFonts w:asciiTheme="minorHAnsi" w:hAnsiTheme="minorHAnsi" w:cs="Calibri Light"/>
          <w:b/>
          <w:bCs/>
        </w:rPr>
      </w:pPr>
      <w:r w:rsidRPr="008D7EB7">
        <w:rPr>
          <w:rFonts w:asciiTheme="minorHAnsi" w:hAnsiTheme="minorHAnsi" w:cs="Calibri Light"/>
          <w:b/>
          <w:bCs/>
        </w:rPr>
        <w:t>Le cas échéant, il est fortement conseillé de renseigner sur le site communal les montants indexés, afin de rendre ces redevances transparentes pour le redevable.</w:t>
      </w:r>
    </w:p>
    <w:p w14:paraId="7D31C91C" w14:textId="36020452"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b/>
        </w:rPr>
        <w:t>Dans le cadre de la paix fiscale</w:t>
      </w:r>
      <w:r w:rsidRPr="00DA6BD2">
        <w:rPr>
          <w:rFonts w:asciiTheme="minorHAnsi" w:hAnsiTheme="minorHAnsi" w:cs="Calibri Light"/>
        </w:rPr>
        <w:t>, sauf cas spécifiques approuvés par le Gouvernement wallon</w:t>
      </w:r>
      <w:r w:rsidR="007C16C9">
        <w:rPr>
          <w:rFonts w:asciiTheme="minorHAnsi" w:hAnsiTheme="minorHAnsi" w:cs="Calibri Light"/>
        </w:rPr>
        <w:t xml:space="preserve"> </w:t>
      </w:r>
      <w:r w:rsidR="00FA4A3F" w:rsidRPr="00FA4A3F">
        <w:rPr>
          <w:rFonts w:asciiTheme="minorHAnsi" w:hAnsiTheme="minorHAnsi" w:cs="Calibri Light"/>
        </w:rPr>
        <w:t xml:space="preserve">ou spécialement motivés par une situation particulière rencontrée par la commune, et dans </w:t>
      </w:r>
      <w:r w:rsidR="00FA4A3F" w:rsidRPr="00FA4A3F">
        <w:rPr>
          <w:rFonts w:asciiTheme="minorHAnsi" w:hAnsiTheme="minorHAnsi" w:cs="Calibri Light"/>
        </w:rPr>
        <w:lastRenderedPageBreak/>
        <w:t>une logique de nuisances de natures diverses, sonores, environnementales/écologiques, économiques, urbanistiques, à l’encontre du bien-être animal, du respect la vie privée, etc… telles que reprises au point VII</w:t>
      </w:r>
      <w:proofErr w:type="gramStart"/>
      <w:r w:rsidR="00FA4A3F" w:rsidRPr="00FA4A3F">
        <w:rPr>
          <w:rFonts w:asciiTheme="minorHAnsi" w:hAnsiTheme="minorHAnsi" w:cs="Calibri Light"/>
        </w:rPr>
        <w:t>.</w:t>
      </w:r>
      <w:r w:rsidR="007C16C9">
        <w:rPr>
          <w:rFonts w:asciiTheme="minorHAnsi" w:hAnsiTheme="minorHAnsi" w:cs="Calibri Light"/>
        </w:rPr>
        <w:t>:</w:t>
      </w:r>
      <w:proofErr w:type="gramEnd"/>
    </w:p>
    <w:p w14:paraId="094534F5" w14:textId="77777777" w:rsidR="00CA03DC" w:rsidRPr="00A65F14" w:rsidRDefault="00CA03DC" w:rsidP="00E063FD">
      <w:pPr>
        <w:spacing w:before="120"/>
        <w:jc w:val="both"/>
        <w:textAlignment w:val="baseline"/>
        <w:rPr>
          <w:rFonts w:asciiTheme="minorHAnsi" w:hAnsiTheme="minorHAnsi" w:cs="Calibri Light"/>
          <w:sz w:val="4"/>
          <w:szCs w:val="4"/>
        </w:rPr>
      </w:pPr>
    </w:p>
    <w:p w14:paraId="79FD37E5" w14:textId="1B97D48A" w:rsidR="009B153C" w:rsidRPr="00CA03DC" w:rsidRDefault="009B153C" w:rsidP="008D7EB7">
      <w:pPr>
        <w:pStyle w:val="Paragraphedeliste"/>
        <w:numPr>
          <w:ilvl w:val="0"/>
          <w:numId w:val="104"/>
        </w:numPr>
        <w:tabs>
          <w:tab w:val="left" w:pos="-148"/>
        </w:tabs>
        <w:spacing w:before="5"/>
        <w:jc w:val="both"/>
        <w:textAlignment w:val="baseline"/>
        <w:rPr>
          <w:rFonts w:asciiTheme="minorHAnsi" w:hAnsiTheme="minorHAnsi" w:cs="Calibri Light"/>
        </w:rPr>
      </w:pPr>
      <w:proofErr w:type="gramStart"/>
      <w:r w:rsidRPr="00CA03DC">
        <w:rPr>
          <w:rFonts w:asciiTheme="minorHAnsi" w:hAnsiTheme="minorHAnsi" w:cs="Calibri Light"/>
        </w:rPr>
        <w:t>les</w:t>
      </w:r>
      <w:proofErr w:type="gramEnd"/>
      <w:r w:rsidRPr="00CA03DC">
        <w:rPr>
          <w:rFonts w:asciiTheme="minorHAnsi" w:hAnsiTheme="minorHAnsi" w:cs="Calibri Light"/>
        </w:rPr>
        <w:t xml:space="preserve"> taxes non reprises dans la nomenclature ne peuvent </w:t>
      </w:r>
      <w:r w:rsidR="0068263C" w:rsidRPr="00CA03DC">
        <w:rPr>
          <w:rFonts w:asciiTheme="minorHAnsi" w:hAnsiTheme="minorHAnsi" w:cs="Calibri Light"/>
        </w:rPr>
        <w:t xml:space="preserve">en principe pas </w:t>
      </w:r>
      <w:r w:rsidRPr="00CA03DC">
        <w:rPr>
          <w:rFonts w:asciiTheme="minorHAnsi" w:hAnsiTheme="minorHAnsi" w:cs="Calibri Light"/>
        </w:rPr>
        <w:t>être instaurées</w:t>
      </w:r>
      <w:r w:rsidR="00A04573" w:rsidRPr="00CA03DC">
        <w:rPr>
          <w:rFonts w:asciiTheme="minorHAnsi" w:hAnsiTheme="minorHAnsi" w:cs="Calibri Light"/>
        </w:rPr>
        <w:t> ;</w:t>
      </w:r>
    </w:p>
    <w:p w14:paraId="02564ECC" w14:textId="57DFA94B" w:rsidR="009B153C" w:rsidRPr="00CA03DC" w:rsidRDefault="009B153C" w:rsidP="008D7EB7">
      <w:pPr>
        <w:pStyle w:val="Paragraphedeliste"/>
        <w:numPr>
          <w:ilvl w:val="0"/>
          <w:numId w:val="104"/>
        </w:numPr>
        <w:tabs>
          <w:tab w:val="left" w:pos="-148"/>
        </w:tabs>
        <w:jc w:val="both"/>
        <w:textAlignment w:val="baseline"/>
        <w:rPr>
          <w:rFonts w:asciiTheme="minorHAnsi" w:hAnsiTheme="minorHAnsi" w:cs="Calibri Light"/>
        </w:rPr>
      </w:pPr>
      <w:proofErr w:type="gramStart"/>
      <w:r w:rsidRPr="00CA03DC">
        <w:rPr>
          <w:rFonts w:asciiTheme="minorHAnsi" w:hAnsiTheme="minorHAnsi" w:cs="Calibri Light"/>
        </w:rPr>
        <w:t>les</w:t>
      </w:r>
      <w:proofErr w:type="gramEnd"/>
      <w:r w:rsidRPr="00CA03DC">
        <w:rPr>
          <w:rFonts w:asciiTheme="minorHAnsi" w:hAnsiTheme="minorHAnsi" w:cs="Calibri Light"/>
        </w:rPr>
        <w:t xml:space="preserve"> taxes en vigueur au 1</w:t>
      </w:r>
      <w:r w:rsidRPr="00CA03DC">
        <w:rPr>
          <w:rFonts w:asciiTheme="minorHAnsi" w:hAnsiTheme="minorHAnsi" w:cs="Calibri Light"/>
          <w:vertAlign w:val="superscript"/>
        </w:rPr>
        <w:t>er</w:t>
      </w:r>
      <w:r w:rsidRPr="00CA03DC">
        <w:rPr>
          <w:rFonts w:asciiTheme="minorHAnsi" w:hAnsiTheme="minorHAnsi" w:cs="Calibri Light"/>
        </w:rPr>
        <w:t xml:space="preserve"> janvier 1998 </w:t>
      </w:r>
      <w:r w:rsidRPr="00CA03DC">
        <w:rPr>
          <w:rFonts w:asciiTheme="minorHAnsi" w:hAnsiTheme="minorHAnsi" w:cs="Calibri Light"/>
          <w:u w:val="single"/>
        </w:rPr>
        <w:t>non reprises</w:t>
      </w:r>
      <w:r w:rsidRPr="00CA03DC">
        <w:rPr>
          <w:rFonts w:asciiTheme="minorHAnsi" w:hAnsiTheme="minorHAnsi" w:cs="Calibri Light"/>
        </w:rPr>
        <w:t xml:space="preserve"> dans la nomenclature peuvent être reconduites. Leurs taux ne peuvent cependant pas faire l'objet d'une quelconque majoration ou indexation</w:t>
      </w:r>
      <w:r w:rsidR="00A04573" w:rsidRPr="00CA03DC">
        <w:rPr>
          <w:rFonts w:asciiTheme="minorHAnsi" w:hAnsiTheme="minorHAnsi" w:cs="Calibri Light"/>
        </w:rPr>
        <w:t> </w:t>
      </w:r>
      <w:r w:rsidR="0068263C" w:rsidRPr="00CA03DC">
        <w:rPr>
          <w:rFonts w:asciiTheme="minorHAnsi" w:hAnsiTheme="minorHAnsi" w:cs="Calibri Light"/>
        </w:rPr>
        <w:t xml:space="preserve">sauf motivation </w:t>
      </w:r>
      <w:r w:rsidR="006A6899" w:rsidRPr="00CA03DC">
        <w:rPr>
          <w:rFonts w:asciiTheme="minorHAnsi" w:hAnsiTheme="minorHAnsi" w:cs="Calibri Light"/>
        </w:rPr>
        <w:t>dûment justifiée</w:t>
      </w:r>
      <w:r w:rsidR="0068263C" w:rsidRPr="00CA03DC">
        <w:rPr>
          <w:rFonts w:asciiTheme="minorHAnsi" w:hAnsiTheme="minorHAnsi" w:cs="Calibri Light"/>
        </w:rPr>
        <w:t xml:space="preserve"> </w:t>
      </w:r>
      <w:r w:rsidR="00A04573" w:rsidRPr="00CA03DC">
        <w:rPr>
          <w:rFonts w:asciiTheme="minorHAnsi" w:hAnsiTheme="minorHAnsi" w:cs="Calibri Light"/>
        </w:rPr>
        <w:t>;</w:t>
      </w:r>
    </w:p>
    <w:p w14:paraId="44198C4D" w14:textId="3B33AE52" w:rsidR="009B153C" w:rsidRPr="008D7EB7" w:rsidRDefault="009B153C" w:rsidP="008D7EB7">
      <w:pPr>
        <w:pStyle w:val="Paragraphedeliste"/>
        <w:numPr>
          <w:ilvl w:val="0"/>
          <w:numId w:val="104"/>
        </w:numPr>
        <w:tabs>
          <w:tab w:val="left" w:pos="-148"/>
        </w:tabs>
        <w:spacing w:before="12" w:after="259"/>
        <w:jc w:val="both"/>
        <w:textAlignment w:val="baseline"/>
        <w:rPr>
          <w:rFonts w:asciiTheme="minorHAnsi" w:hAnsiTheme="minorHAnsi" w:cs="Calibri Light"/>
          <w:spacing w:val="-1"/>
        </w:rPr>
      </w:pPr>
      <w:proofErr w:type="gramStart"/>
      <w:r w:rsidRPr="00CA03DC">
        <w:rPr>
          <w:rFonts w:asciiTheme="minorHAnsi" w:hAnsiTheme="minorHAnsi" w:cs="Calibri Light"/>
          <w:spacing w:val="-1"/>
        </w:rPr>
        <w:t>les</w:t>
      </w:r>
      <w:proofErr w:type="gramEnd"/>
      <w:r w:rsidRPr="00CA03DC">
        <w:rPr>
          <w:rFonts w:asciiTheme="minorHAnsi" w:hAnsiTheme="minorHAnsi" w:cs="Calibri Light"/>
          <w:spacing w:val="-1"/>
        </w:rPr>
        <w:t xml:space="preserve"> taux en vigueur au 1</w:t>
      </w:r>
      <w:r w:rsidRPr="00CA03DC">
        <w:rPr>
          <w:rFonts w:asciiTheme="minorHAnsi" w:hAnsiTheme="minorHAnsi" w:cs="Calibri Light"/>
          <w:spacing w:val="-1"/>
          <w:vertAlign w:val="superscript"/>
        </w:rPr>
        <w:t>er</w:t>
      </w:r>
      <w:r w:rsidRPr="00CA03DC">
        <w:rPr>
          <w:rFonts w:asciiTheme="minorHAnsi" w:hAnsiTheme="minorHAnsi" w:cs="Calibri Light"/>
          <w:spacing w:val="-1"/>
        </w:rPr>
        <w:t xml:space="preserve"> janvier 1998 supérieurs aux maxima recommandés repris dans la nomenclature ne peuvent faire l'objet d'une quelconque majoration ou indexation.</w:t>
      </w:r>
    </w:p>
    <w:p w14:paraId="2328358D" w14:textId="77777777" w:rsidR="009B153C" w:rsidRPr="00DA6BD2" w:rsidRDefault="009B153C" w:rsidP="00581DAD">
      <w:pPr>
        <w:pStyle w:val="Sam2"/>
      </w:pPr>
      <w:bookmarkStart w:id="4880" w:name="_Toc40185470"/>
      <w:bookmarkStart w:id="4881" w:name="_Toc40186205"/>
      <w:bookmarkStart w:id="4882" w:name="_Toc40185471"/>
      <w:bookmarkStart w:id="4883" w:name="_Toc40186206"/>
      <w:bookmarkStart w:id="4884" w:name="_Toc516229688"/>
      <w:bookmarkStart w:id="4885" w:name="_Toc516229983"/>
      <w:bookmarkStart w:id="4886" w:name="_Toc516230278"/>
      <w:bookmarkStart w:id="4887" w:name="_Toc516230572"/>
      <w:bookmarkStart w:id="4888" w:name="_Toc516230866"/>
      <w:bookmarkStart w:id="4889" w:name="_Toc516231161"/>
      <w:bookmarkStart w:id="4890" w:name="_Toc516231456"/>
      <w:bookmarkStart w:id="4891" w:name="_Toc516231753"/>
      <w:bookmarkStart w:id="4892" w:name="_Toc516242848"/>
      <w:bookmarkStart w:id="4893" w:name="_Toc516243151"/>
      <w:bookmarkStart w:id="4894" w:name="_Toc516245083"/>
      <w:bookmarkStart w:id="4895" w:name="_Toc516473654"/>
      <w:bookmarkStart w:id="4896" w:name="_Toc516473964"/>
      <w:bookmarkStart w:id="4897" w:name="_Toc516474274"/>
      <w:bookmarkStart w:id="4898" w:name="_Toc516474582"/>
      <w:bookmarkStart w:id="4899" w:name="_Toc516474914"/>
      <w:bookmarkStart w:id="4900" w:name="_Toc516478947"/>
      <w:bookmarkStart w:id="4901" w:name="_Toc516479410"/>
      <w:bookmarkStart w:id="4902" w:name="_Toc516479727"/>
      <w:bookmarkStart w:id="4903" w:name="_Toc516480049"/>
      <w:bookmarkStart w:id="4904" w:name="_Toc516480363"/>
      <w:bookmarkStart w:id="4905" w:name="_Toc516480677"/>
      <w:bookmarkStart w:id="4906" w:name="_Toc516480991"/>
      <w:bookmarkStart w:id="4907" w:name="_Toc516481305"/>
      <w:bookmarkStart w:id="4908" w:name="_Toc516481619"/>
      <w:bookmarkStart w:id="4909" w:name="_Toc516481933"/>
      <w:bookmarkStart w:id="4910" w:name="_Toc516482247"/>
      <w:bookmarkStart w:id="4911" w:name="_Toc516482561"/>
      <w:bookmarkStart w:id="4912" w:name="_Toc516739734"/>
      <w:bookmarkStart w:id="4913" w:name="_Toc516751646"/>
      <w:bookmarkStart w:id="4914" w:name="_Toc516825734"/>
      <w:bookmarkStart w:id="4915" w:name="_Toc516826292"/>
      <w:bookmarkStart w:id="4916" w:name="_Toc516837612"/>
      <w:bookmarkStart w:id="4917" w:name="_Toc516838171"/>
      <w:bookmarkStart w:id="4918" w:name="_Toc516838730"/>
      <w:bookmarkStart w:id="4919" w:name="_Toc516839290"/>
      <w:bookmarkStart w:id="4920" w:name="_Toc517173386"/>
      <w:bookmarkStart w:id="4921" w:name="_Toc517175060"/>
      <w:bookmarkStart w:id="4922" w:name="_Toc517175647"/>
      <w:bookmarkStart w:id="4923" w:name="_Toc517176235"/>
      <w:bookmarkStart w:id="4924" w:name="_Toc517337560"/>
      <w:bookmarkStart w:id="4925" w:name="_Toc517360356"/>
      <w:bookmarkStart w:id="4926" w:name="_Toc512523778"/>
      <w:bookmarkStart w:id="4927" w:name="_Toc512525468"/>
      <w:bookmarkStart w:id="4928" w:name="_Toc515896781"/>
      <w:bookmarkStart w:id="4929" w:name="_Toc74557716"/>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r w:rsidRPr="00DA6BD2">
        <w:t>Prestations administratives</w:t>
      </w:r>
      <w:bookmarkEnd w:id="4926"/>
      <w:bookmarkEnd w:id="4927"/>
      <w:bookmarkEnd w:id="4928"/>
      <w:bookmarkEnd w:id="4929"/>
    </w:p>
    <w:p w14:paraId="589B28F4"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certaines prestations administratives, il est possible d'adopter soit un règlement-taxe soit un règlement-redevance</w:t>
      </w:r>
      <w:r w:rsidR="00A04573">
        <w:rPr>
          <w:rFonts w:asciiTheme="minorHAnsi" w:hAnsiTheme="minorHAnsi" w:cs="Calibri Light"/>
        </w:rPr>
        <w:t>.</w:t>
      </w:r>
      <w:r w:rsidRPr="00DA6BD2">
        <w:rPr>
          <w:rFonts w:asciiTheme="minorHAnsi" w:hAnsiTheme="minorHAnsi" w:cs="Calibri Light"/>
        </w:rPr>
        <w:t xml:space="preserve"> Les communes doivent cependant rester attentives aux conséquences du choix qu'elles feront.</w:t>
      </w:r>
    </w:p>
    <w:p w14:paraId="537F0476" w14:textId="77777777" w:rsidR="009B153C" w:rsidRPr="00DA6BD2" w:rsidRDefault="009B153C" w:rsidP="00E063FD">
      <w:pPr>
        <w:spacing w:before="120"/>
        <w:jc w:val="both"/>
        <w:textAlignment w:val="baseline"/>
        <w:rPr>
          <w:rFonts w:asciiTheme="minorHAnsi" w:hAnsiTheme="minorHAnsi" w:cs="Calibri Light"/>
          <w:spacing w:val="4"/>
        </w:rPr>
      </w:pPr>
      <w:r w:rsidRPr="00DA6BD2">
        <w:rPr>
          <w:rFonts w:asciiTheme="minorHAnsi" w:hAnsiTheme="minorHAnsi" w:cs="Calibri Light"/>
          <w:spacing w:val="4"/>
        </w:rPr>
        <w:t>Ainsi, si le choix de la taxe offre un avantage certain au niveau du recouvrement, celle-ci ne permet pas de tenir compte du coût réel de l'instruction d'un dossier. On est donc limité par les taux maxima recommandés ci-dessous</w:t>
      </w:r>
      <w:r w:rsidR="00A04573">
        <w:rPr>
          <w:rFonts w:asciiTheme="minorHAnsi" w:hAnsiTheme="minorHAnsi" w:cs="Calibri Light"/>
          <w:spacing w:val="4"/>
        </w:rPr>
        <w:t>.</w:t>
      </w:r>
    </w:p>
    <w:p w14:paraId="4ADB0B51" w14:textId="77777777" w:rsidR="009B153C" w:rsidRPr="00DA6BD2" w:rsidRDefault="009B153C" w:rsidP="00E063FD">
      <w:pPr>
        <w:spacing w:before="120"/>
        <w:jc w:val="both"/>
        <w:textAlignment w:val="baseline"/>
        <w:rPr>
          <w:rFonts w:asciiTheme="minorHAnsi" w:hAnsiTheme="minorHAnsi" w:cs="Calibri Light"/>
          <w:spacing w:val="5"/>
        </w:rPr>
      </w:pPr>
      <w:proofErr w:type="gramStart"/>
      <w:r w:rsidRPr="00DA6BD2">
        <w:rPr>
          <w:rFonts w:asciiTheme="minorHAnsi" w:hAnsiTheme="minorHAnsi" w:cs="Calibri Light"/>
          <w:spacing w:val="5"/>
        </w:rPr>
        <w:t>Par contre</w:t>
      </w:r>
      <w:proofErr w:type="gramEnd"/>
      <w:r w:rsidRPr="00DA6BD2">
        <w:rPr>
          <w:rFonts w:asciiTheme="minorHAnsi" w:hAnsiTheme="minorHAnsi" w:cs="Calibri Light"/>
          <w:spacing w:val="5"/>
        </w:rPr>
        <w:t>, le choix de la redevance permet une certaine souplesse dans la fixation du montant réclamé.</w:t>
      </w:r>
    </w:p>
    <w:p w14:paraId="4487A9D5" w14:textId="1B7CA73E" w:rsidR="007C16C9" w:rsidRDefault="009B153C" w:rsidP="00E063FD">
      <w:pPr>
        <w:spacing w:before="120"/>
        <w:jc w:val="both"/>
        <w:textAlignment w:val="baseline"/>
        <w:rPr>
          <w:rFonts w:asciiTheme="minorHAnsi" w:hAnsiTheme="minorHAnsi" w:cs="Calibri Light"/>
          <w:spacing w:val="5"/>
        </w:rPr>
      </w:pPr>
      <w:r w:rsidRPr="00CA03DC">
        <w:rPr>
          <w:rFonts w:asciiTheme="minorHAnsi" w:hAnsiTheme="minorHAnsi" w:cs="Calibri Light"/>
          <w:spacing w:val="5"/>
        </w:rPr>
        <w:t>C'est ainsi que le règlement</w:t>
      </w:r>
      <w:r w:rsidR="00E02FCE" w:rsidRPr="00CA03DC">
        <w:rPr>
          <w:rFonts w:asciiTheme="minorHAnsi" w:hAnsiTheme="minorHAnsi" w:cs="Calibri Light"/>
          <w:spacing w:val="5"/>
        </w:rPr>
        <w:t>-redevance</w:t>
      </w:r>
      <w:r w:rsidRPr="00CA03DC">
        <w:rPr>
          <w:rFonts w:asciiTheme="minorHAnsi" w:hAnsiTheme="minorHAnsi" w:cs="Calibri Light"/>
          <w:spacing w:val="5"/>
        </w:rPr>
        <w:t xml:space="preserve"> peut soit fixer le montant en fonction du coût réel encouru par la commune</w:t>
      </w:r>
      <w:r w:rsidR="00A04573" w:rsidRPr="00CA03DC">
        <w:rPr>
          <w:rFonts w:asciiTheme="minorHAnsi" w:hAnsiTheme="minorHAnsi" w:cs="Calibri Light"/>
          <w:spacing w:val="5"/>
        </w:rPr>
        <w:t>,</w:t>
      </w:r>
      <w:r w:rsidRPr="00CA03DC">
        <w:rPr>
          <w:rFonts w:asciiTheme="minorHAnsi" w:hAnsiTheme="minorHAnsi" w:cs="Calibri Light"/>
          <w:spacing w:val="5"/>
        </w:rPr>
        <w:t xml:space="preserve"> soit faire référence aux taux maxima recommandés ci-dessous. Dans cette dernière hypothèse, il y a même la possibilité de prévoir dans le règlement que si l'instruction d'un dossier entraîne une dépense supérieure au taux forfaitaire prévu pour la catégorie de dossiers concerné</w:t>
      </w:r>
      <w:r w:rsidR="007C16C9" w:rsidRPr="00CA03DC">
        <w:rPr>
          <w:rFonts w:asciiTheme="minorHAnsi" w:hAnsiTheme="minorHAnsi" w:cs="Calibri Light"/>
          <w:spacing w:val="5"/>
        </w:rPr>
        <w:t>s</w:t>
      </w:r>
      <w:r w:rsidRPr="00DA6BD2">
        <w:rPr>
          <w:rFonts w:asciiTheme="minorHAnsi" w:hAnsiTheme="minorHAnsi" w:cs="Calibri Light"/>
          <w:spacing w:val="5"/>
        </w:rPr>
        <w:t xml:space="preserve">, le montant facturé sera calculé sur </w:t>
      </w:r>
      <w:r w:rsidR="007C16C9">
        <w:rPr>
          <w:rFonts w:asciiTheme="minorHAnsi" w:hAnsiTheme="minorHAnsi" w:cs="Calibri Light"/>
          <w:spacing w:val="5"/>
        </w:rPr>
        <w:t xml:space="preserve">la </w:t>
      </w:r>
      <w:r w:rsidRPr="00DA6BD2">
        <w:rPr>
          <w:rFonts w:asciiTheme="minorHAnsi" w:hAnsiTheme="minorHAnsi" w:cs="Calibri Light"/>
          <w:spacing w:val="5"/>
        </w:rPr>
        <w:t xml:space="preserve">base d'un décompte des frais réels. </w:t>
      </w:r>
    </w:p>
    <w:p w14:paraId="504E0435" w14:textId="200FB89E" w:rsidR="009B153C" w:rsidRDefault="009B153C" w:rsidP="00E063FD">
      <w:pPr>
        <w:spacing w:before="120"/>
        <w:jc w:val="both"/>
        <w:textAlignment w:val="baseline"/>
        <w:rPr>
          <w:rFonts w:asciiTheme="minorHAnsi" w:hAnsiTheme="minorHAnsi" w:cs="Calibri Light"/>
          <w:spacing w:val="5"/>
        </w:rPr>
      </w:pPr>
      <w:r w:rsidRPr="00DA6BD2">
        <w:rPr>
          <w:rFonts w:asciiTheme="minorHAnsi" w:hAnsiTheme="minorHAnsi" w:cs="Calibri Light"/>
          <w:spacing w:val="5"/>
        </w:rPr>
        <w:t xml:space="preserve">Relevons aussi, qu'à défaut de prévoir une disposition en ce sens, la commune sera dans l'impossibilité de se rémunérer correctement s’il s’avérait que les coûts de l'instruction dépassaient le montant forfaitaire repris dans le règlement-redevance. </w:t>
      </w:r>
    </w:p>
    <w:p w14:paraId="5FDCF1CD" w14:textId="77777777" w:rsidR="00CA03DC" w:rsidRDefault="00CA03DC" w:rsidP="00256E9F">
      <w:pPr>
        <w:pStyle w:val="Sam3"/>
      </w:pPr>
      <w:bookmarkStart w:id="4930" w:name="_Toc512525469"/>
      <w:bookmarkStart w:id="4931" w:name="_Toc515896782"/>
    </w:p>
    <w:p w14:paraId="5C0440AA" w14:textId="75E563C9" w:rsidR="00925E8F" w:rsidRDefault="004672E1" w:rsidP="00256E9F">
      <w:pPr>
        <w:pStyle w:val="Sam3"/>
      </w:pPr>
      <w:bookmarkStart w:id="4932" w:name="_Toc74557717"/>
      <w:bookmarkStart w:id="4933" w:name="_Hlk67663205"/>
      <w:r>
        <w:t xml:space="preserve">VII.7.1 </w:t>
      </w:r>
      <w:r w:rsidR="009B153C" w:rsidRPr="009B1A3B">
        <w:t xml:space="preserve">040/361-01 : Conservation des véhicules </w:t>
      </w:r>
      <w:r w:rsidR="00C82157">
        <w:t>(</w:t>
      </w:r>
      <w:r w:rsidR="009B153C" w:rsidRPr="009B1A3B">
        <w:t xml:space="preserve">saisis </w:t>
      </w:r>
      <w:r w:rsidR="00C82157">
        <w:t xml:space="preserve">ou déplacés </w:t>
      </w:r>
      <w:r w:rsidR="009B153C" w:rsidRPr="009B1A3B">
        <w:t>par la police</w:t>
      </w:r>
      <w:r w:rsidR="00C82157">
        <w:t>)</w:t>
      </w:r>
      <w:bookmarkEnd w:id="4932"/>
    </w:p>
    <w:bookmarkEnd w:id="4933"/>
    <w:p w14:paraId="2A31AAAD" w14:textId="5F9ADF9C" w:rsidR="009B153C" w:rsidRPr="003F0B7B" w:rsidRDefault="00925E8F" w:rsidP="00E063FD">
      <w:r w:rsidRPr="00925E8F">
        <w:t>R</w:t>
      </w:r>
      <w:r w:rsidR="009B153C" w:rsidRPr="00A03E6A">
        <w:t>edevance</w:t>
      </w:r>
      <w:r w:rsidRPr="00E063FD">
        <w:rPr>
          <w:b/>
        </w:rPr>
        <w:t>.</w:t>
      </w:r>
      <w:bookmarkEnd w:id="4930"/>
      <w:bookmarkEnd w:id="4931"/>
    </w:p>
    <w:p w14:paraId="4E6D7E6C" w14:textId="00D8E419" w:rsidR="009B153C" w:rsidRPr="00DA6BD2"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Taux maxima recommandés :</w:t>
      </w:r>
    </w:p>
    <w:p w14:paraId="1D7FED81" w14:textId="079D5E6B" w:rsidR="003130F5" w:rsidRPr="003130F5" w:rsidRDefault="003130F5" w:rsidP="003130F5">
      <w:pPr>
        <w:tabs>
          <w:tab w:val="left" w:pos="360"/>
          <w:tab w:val="left" w:pos="504"/>
        </w:tabs>
        <w:jc w:val="both"/>
        <w:textAlignment w:val="baseline"/>
        <w:rPr>
          <w:rFonts w:asciiTheme="minorHAnsi" w:hAnsiTheme="minorHAnsi" w:cs="Calibri Light"/>
          <w:spacing w:val="-6"/>
        </w:rPr>
      </w:pPr>
    </w:p>
    <w:tbl>
      <w:tblPr>
        <w:tblW w:w="0" w:type="auto"/>
        <w:jc w:val="center"/>
        <w:tblCellMar>
          <w:left w:w="0" w:type="dxa"/>
          <w:right w:w="0" w:type="dxa"/>
        </w:tblCellMar>
        <w:tblLook w:val="04A0" w:firstRow="1" w:lastRow="0" w:firstColumn="1" w:lastColumn="0" w:noHBand="0" w:noVBand="1"/>
      </w:tblPr>
      <w:tblGrid>
        <w:gridCol w:w="4244"/>
        <w:gridCol w:w="2401"/>
      </w:tblGrid>
      <w:tr w:rsidR="00CA03DC" w:rsidRPr="003130F5" w14:paraId="5DE7A68A" w14:textId="77777777" w:rsidTr="008D7EB7">
        <w:trPr>
          <w:jc w:val="center"/>
        </w:trPr>
        <w:tc>
          <w:tcPr>
            <w:tcW w:w="4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73D83" w14:textId="77777777" w:rsidR="00CA03DC" w:rsidRPr="003130F5" w:rsidRDefault="00CA03DC" w:rsidP="003130F5">
            <w:pPr>
              <w:tabs>
                <w:tab w:val="left" w:pos="360"/>
                <w:tab w:val="left" w:pos="504"/>
              </w:tabs>
              <w:jc w:val="both"/>
              <w:textAlignment w:val="baseline"/>
              <w:rPr>
                <w:rFonts w:asciiTheme="minorHAnsi" w:hAnsiTheme="minorHAnsi" w:cs="Calibri Light"/>
                <w:spacing w:val="-6"/>
              </w:rPr>
            </w:pPr>
          </w:p>
        </w:tc>
        <w:tc>
          <w:tcPr>
            <w:tcW w:w="24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7C13" w14:textId="4FDE67A8" w:rsidR="00CA03DC" w:rsidRPr="008D7EB7" w:rsidRDefault="00CA03DC" w:rsidP="008D7EB7">
            <w:pPr>
              <w:tabs>
                <w:tab w:val="left" w:pos="360"/>
                <w:tab w:val="left" w:pos="504"/>
              </w:tabs>
              <w:jc w:val="center"/>
              <w:textAlignment w:val="baseline"/>
              <w:rPr>
                <w:rFonts w:asciiTheme="minorHAnsi" w:hAnsiTheme="minorHAnsi" w:cs="Calibri Light"/>
                <w:b/>
                <w:bCs/>
                <w:spacing w:val="-6"/>
              </w:rPr>
            </w:pPr>
            <w:r w:rsidRPr="008D7EB7">
              <w:rPr>
                <w:rFonts w:asciiTheme="minorHAnsi" w:hAnsiTheme="minorHAnsi" w:cs="Calibri Light"/>
                <w:b/>
                <w:bCs/>
                <w:spacing w:val="-6"/>
              </w:rPr>
              <w:t>Montant</w:t>
            </w:r>
          </w:p>
        </w:tc>
      </w:tr>
      <w:tr w:rsidR="00CA03DC" w:rsidRPr="003130F5" w14:paraId="3215BDA1" w14:textId="77777777" w:rsidTr="008D7EB7">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CDA78" w14:textId="77777777" w:rsidR="00CA03DC" w:rsidRPr="003130F5" w:rsidRDefault="00CA03DC" w:rsidP="003130F5">
            <w:pPr>
              <w:tabs>
                <w:tab w:val="left" w:pos="360"/>
                <w:tab w:val="left" w:pos="504"/>
              </w:tabs>
              <w:jc w:val="both"/>
              <w:textAlignment w:val="baseline"/>
              <w:rPr>
                <w:rFonts w:asciiTheme="minorHAnsi" w:hAnsiTheme="minorHAnsi" w:cs="Calibri Light"/>
                <w:spacing w:val="-6"/>
              </w:rPr>
            </w:pPr>
            <w:r w:rsidRPr="003130F5">
              <w:rPr>
                <w:rFonts w:asciiTheme="minorHAnsi" w:hAnsiTheme="minorHAnsi" w:cs="Calibri Light"/>
                <w:spacing w:val="-6"/>
              </w:rPr>
              <w:t>Enlèvement du véhicule</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933D2" w14:textId="3B3BDD07" w:rsidR="00CA03DC" w:rsidRPr="008D7EB7" w:rsidRDefault="00CA03DC" w:rsidP="008D7EB7">
            <w:pPr>
              <w:tabs>
                <w:tab w:val="left" w:pos="360"/>
                <w:tab w:val="left" w:pos="504"/>
              </w:tabs>
              <w:jc w:val="right"/>
              <w:textAlignment w:val="baseline"/>
              <w:rPr>
                <w:rFonts w:asciiTheme="minorHAnsi" w:hAnsiTheme="minorHAnsi" w:cs="Calibri Light"/>
                <w:spacing w:val="-6"/>
              </w:rPr>
            </w:pPr>
            <w:r w:rsidRPr="008D7EB7">
              <w:rPr>
                <w:rFonts w:asciiTheme="minorHAnsi" w:hAnsiTheme="minorHAnsi" w:cs="Calibri Light"/>
                <w:spacing w:val="-6"/>
              </w:rPr>
              <w:t>151</w:t>
            </w:r>
            <w:r>
              <w:rPr>
                <w:rFonts w:asciiTheme="minorHAnsi" w:hAnsiTheme="minorHAnsi" w:cs="Calibri Light"/>
                <w:spacing w:val="-6"/>
              </w:rPr>
              <w:t xml:space="preserve">,00 </w:t>
            </w:r>
            <w:r w:rsidR="009A56F6">
              <w:rPr>
                <w:rFonts w:asciiTheme="minorHAnsi" w:hAnsiTheme="minorHAnsi" w:cs="Calibri Light"/>
                <w:spacing w:val="-6"/>
              </w:rPr>
              <w:t>euros</w:t>
            </w:r>
          </w:p>
        </w:tc>
      </w:tr>
      <w:tr w:rsidR="00CA03DC" w:rsidRPr="003130F5" w14:paraId="1A921938" w14:textId="77777777" w:rsidTr="008D7EB7">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8A820" w14:textId="77777777" w:rsidR="00CA03DC" w:rsidRPr="003130F5" w:rsidRDefault="00CA03DC" w:rsidP="003130F5">
            <w:pPr>
              <w:tabs>
                <w:tab w:val="left" w:pos="360"/>
                <w:tab w:val="left" w:pos="504"/>
              </w:tabs>
              <w:jc w:val="both"/>
              <w:textAlignment w:val="baseline"/>
              <w:rPr>
                <w:rFonts w:asciiTheme="minorHAnsi" w:hAnsiTheme="minorHAnsi" w:cs="Calibri Light"/>
                <w:spacing w:val="-6"/>
              </w:rPr>
            </w:pPr>
            <w:r w:rsidRPr="003130F5">
              <w:rPr>
                <w:rFonts w:asciiTheme="minorHAnsi" w:hAnsiTheme="minorHAnsi" w:cs="Calibri Light"/>
                <w:spacing w:val="-6"/>
              </w:rPr>
              <w:t>Frais de garde</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846D5" w14:textId="77777777" w:rsidR="00CA03DC" w:rsidRPr="008D7EB7" w:rsidRDefault="00CA03DC" w:rsidP="008D7EB7">
            <w:pPr>
              <w:tabs>
                <w:tab w:val="left" w:pos="360"/>
                <w:tab w:val="left" w:pos="504"/>
              </w:tabs>
              <w:jc w:val="right"/>
              <w:textAlignment w:val="baseline"/>
              <w:rPr>
                <w:rFonts w:asciiTheme="minorHAnsi" w:hAnsiTheme="minorHAnsi" w:cs="Calibri Light"/>
                <w:spacing w:val="-6"/>
              </w:rPr>
            </w:pPr>
          </w:p>
        </w:tc>
      </w:tr>
      <w:tr w:rsidR="00CA03DC" w:rsidRPr="003130F5" w14:paraId="6B4D7A30" w14:textId="77777777" w:rsidTr="008D7EB7">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E49E4" w14:textId="77777777" w:rsidR="00CA03DC" w:rsidRPr="003130F5" w:rsidRDefault="00CA03DC" w:rsidP="003130F5">
            <w:pPr>
              <w:numPr>
                <w:ilvl w:val="0"/>
                <w:numId w:val="106"/>
              </w:numPr>
              <w:tabs>
                <w:tab w:val="left" w:pos="360"/>
                <w:tab w:val="left" w:pos="504"/>
              </w:tabs>
              <w:jc w:val="both"/>
              <w:textAlignment w:val="baseline"/>
              <w:rPr>
                <w:rFonts w:asciiTheme="minorHAnsi" w:hAnsiTheme="minorHAnsi" w:cs="Calibri Light"/>
                <w:spacing w:val="-6"/>
              </w:rPr>
            </w:pPr>
            <w:r w:rsidRPr="003130F5">
              <w:rPr>
                <w:rFonts w:asciiTheme="minorHAnsi" w:hAnsiTheme="minorHAnsi" w:cs="Calibri Light"/>
                <w:spacing w:val="-6"/>
              </w:rPr>
              <w:t>Cyclomoteur</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3457B" w14:textId="029B2B31" w:rsidR="00CA03DC" w:rsidRPr="008D7EB7" w:rsidRDefault="00CA03DC" w:rsidP="008D7EB7">
            <w:pPr>
              <w:tabs>
                <w:tab w:val="left" w:pos="360"/>
                <w:tab w:val="left" w:pos="504"/>
              </w:tabs>
              <w:jc w:val="right"/>
              <w:textAlignment w:val="baseline"/>
              <w:rPr>
                <w:rFonts w:asciiTheme="minorHAnsi" w:hAnsiTheme="minorHAnsi" w:cs="Calibri Light"/>
                <w:spacing w:val="-6"/>
              </w:rPr>
            </w:pPr>
            <w:r w:rsidRPr="008D7EB7">
              <w:rPr>
                <w:rFonts w:asciiTheme="minorHAnsi" w:hAnsiTheme="minorHAnsi" w:cs="Calibri Light"/>
                <w:spacing w:val="-6"/>
              </w:rPr>
              <w:t xml:space="preserve">3,50 </w:t>
            </w:r>
            <w:r w:rsidR="009A56F6">
              <w:rPr>
                <w:rFonts w:asciiTheme="minorHAnsi" w:hAnsiTheme="minorHAnsi" w:cs="Calibri Light"/>
                <w:spacing w:val="-6"/>
              </w:rPr>
              <w:t>euros</w:t>
            </w:r>
            <w:r w:rsidRPr="008D7EB7">
              <w:rPr>
                <w:rFonts w:asciiTheme="minorHAnsi" w:hAnsiTheme="minorHAnsi" w:cs="Calibri Light"/>
                <w:spacing w:val="-6"/>
              </w:rPr>
              <w:t xml:space="preserve"> par jour</w:t>
            </w:r>
          </w:p>
        </w:tc>
      </w:tr>
      <w:tr w:rsidR="00CA03DC" w:rsidRPr="003130F5" w14:paraId="18C0D613" w14:textId="77777777" w:rsidTr="008D7EB7">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5830B" w14:textId="77777777" w:rsidR="00CA03DC" w:rsidRPr="003130F5" w:rsidRDefault="00CA03DC" w:rsidP="003130F5">
            <w:pPr>
              <w:numPr>
                <w:ilvl w:val="0"/>
                <w:numId w:val="106"/>
              </w:numPr>
              <w:tabs>
                <w:tab w:val="left" w:pos="360"/>
                <w:tab w:val="left" w:pos="504"/>
              </w:tabs>
              <w:jc w:val="both"/>
              <w:textAlignment w:val="baseline"/>
              <w:rPr>
                <w:rFonts w:asciiTheme="minorHAnsi" w:hAnsiTheme="minorHAnsi" w:cs="Calibri Light"/>
                <w:spacing w:val="-6"/>
              </w:rPr>
            </w:pPr>
            <w:r w:rsidRPr="003130F5">
              <w:rPr>
                <w:rFonts w:asciiTheme="minorHAnsi" w:hAnsiTheme="minorHAnsi" w:cs="Calibri Light"/>
                <w:spacing w:val="-6"/>
              </w:rPr>
              <w:t>Motocyclette</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48D62" w14:textId="15D49B85" w:rsidR="00CA03DC" w:rsidRPr="008D7EB7" w:rsidRDefault="00CA03DC" w:rsidP="008D7EB7">
            <w:pPr>
              <w:tabs>
                <w:tab w:val="left" w:pos="360"/>
                <w:tab w:val="left" w:pos="504"/>
              </w:tabs>
              <w:jc w:val="right"/>
              <w:textAlignment w:val="baseline"/>
              <w:rPr>
                <w:rFonts w:asciiTheme="minorHAnsi" w:hAnsiTheme="minorHAnsi" w:cs="Calibri Light"/>
                <w:spacing w:val="-6"/>
              </w:rPr>
            </w:pPr>
            <w:r w:rsidRPr="008D7EB7">
              <w:rPr>
                <w:rFonts w:asciiTheme="minorHAnsi" w:hAnsiTheme="minorHAnsi" w:cs="Calibri Light"/>
                <w:spacing w:val="-6"/>
              </w:rPr>
              <w:t xml:space="preserve">3,50 </w:t>
            </w:r>
            <w:r w:rsidR="009A56F6">
              <w:rPr>
                <w:rFonts w:asciiTheme="minorHAnsi" w:hAnsiTheme="minorHAnsi" w:cs="Calibri Light"/>
                <w:spacing w:val="-6"/>
              </w:rPr>
              <w:t>euros</w:t>
            </w:r>
            <w:r w:rsidRPr="008D7EB7">
              <w:rPr>
                <w:rFonts w:asciiTheme="minorHAnsi" w:hAnsiTheme="minorHAnsi" w:cs="Calibri Light"/>
                <w:spacing w:val="-6"/>
              </w:rPr>
              <w:t xml:space="preserve"> par jour</w:t>
            </w:r>
          </w:p>
        </w:tc>
      </w:tr>
      <w:tr w:rsidR="00CA03DC" w:rsidRPr="003130F5" w14:paraId="4E773ED5" w14:textId="77777777" w:rsidTr="008D7EB7">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158EA" w14:textId="77777777" w:rsidR="00CA03DC" w:rsidRPr="003130F5" w:rsidRDefault="00CA03DC" w:rsidP="003130F5">
            <w:pPr>
              <w:numPr>
                <w:ilvl w:val="0"/>
                <w:numId w:val="106"/>
              </w:numPr>
              <w:tabs>
                <w:tab w:val="left" w:pos="360"/>
                <w:tab w:val="left" w:pos="504"/>
              </w:tabs>
              <w:jc w:val="both"/>
              <w:textAlignment w:val="baseline"/>
              <w:rPr>
                <w:rFonts w:asciiTheme="minorHAnsi" w:hAnsiTheme="minorHAnsi" w:cs="Calibri Light"/>
                <w:spacing w:val="-6"/>
              </w:rPr>
            </w:pPr>
            <w:r w:rsidRPr="003130F5">
              <w:rPr>
                <w:rFonts w:asciiTheme="minorHAnsi" w:hAnsiTheme="minorHAnsi" w:cs="Calibri Light"/>
                <w:spacing w:val="-6"/>
              </w:rPr>
              <w:t>Voiture, voitures mixtes et minibus y compris les fausses camionnettes</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CCED3" w14:textId="185EF0F2" w:rsidR="00CA03DC" w:rsidRPr="008D7EB7" w:rsidRDefault="00CA03DC" w:rsidP="008D7EB7">
            <w:pPr>
              <w:tabs>
                <w:tab w:val="left" w:pos="360"/>
                <w:tab w:val="left" w:pos="504"/>
              </w:tabs>
              <w:jc w:val="right"/>
              <w:textAlignment w:val="baseline"/>
              <w:rPr>
                <w:rFonts w:asciiTheme="minorHAnsi" w:hAnsiTheme="minorHAnsi" w:cs="Calibri Light"/>
                <w:spacing w:val="-6"/>
              </w:rPr>
            </w:pPr>
            <w:r w:rsidRPr="008D7EB7">
              <w:rPr>
                <w:rFonts w:asciiTheme="minorHAnsi" w:hAnsiTheme="minorHAnsi" w:cs="Calibri Light"/>
                <w:spacing w:val="-6"/>
              </w:rPr>
              <w:t>7</w:t>
            </w:r>
            <w:r>
              <w:rPr>
                <w:rFonts w:asciiTheme="minorHAnsi" w:hAnsiTheme="minorHAnsi" w:cs="Calibri Light"/>
                <w:spacing w:val="-6"/>
              </w:rPr>
              <w:t>,00</w:t>
            </w:r>
            <w:r w:rsidRPr="008D7EB7">
              <w:rPr>
                <w:rFonts w:asciiTheme="minorHAnsi" w:hAnsiTheme="minorHAnsi" w:cs="Calibri Light"/>
                <w:spacing w:val="-6"/>
              </w:rPr>
              <w:t xml:space="preserve"> </w:t>
            </w:r>
            <w:r w:rsidR="009A56F6">
              <w:rPr>
                <w:rFonts w:asciiTheme="minorHAnsi" w:hAnsiTheme="minorHAnsi" w:cs="Calibri Light"/>
                <w:spacing w:val="-6"/>
              </w:rPr>
              <w:t>euros</w:t>
            </w:r>
            <w:r w:rsidRPr="008D7EB7">
              <w:rPr>
                <w:rFonts w:asciiTheme="minorHAnsi" w:hAnsiTheme="minorHAnsi" w:cs="Calibri Light"/>
                <w:spacing w:val="-6"/>
              </w:rPr>
              <w:t xml:space="preserve"> par jour</w:t>
            </w:r>
          </w:p>
        </w:tc>
      </w:tr>
      <w:tr w:rsidR="00CA03DC" w:rsidRPr="003130F5" w14:paraId="25C04172" w14:textId="77777777" w:rsidTr="008D7EB7">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479" w14:textId="77777777" w:rsidR="00CA03DC" w:rsidRPr="003130F5" w:rsidRDefault="00CA03DC" w:rsidP="003130F5">
            <w:pPr>
              <w:numPr>
                <w:ilvl w:val="0"/>
                <w:numId w:val="106"/>
              </w:numPr>
              <w:tabs>
                <w:tab w:val="left" w:pos="360"/>
                <w:tab w:val="left" w:pos="504"/>
              </w:tabs>
              <w:jc w:val="both"/>
              <w:textAlignment w:val="baseline"/>
              <w:rPr>
                <w:rFonts w:asciiTheme="minorHAnsi" w:hAnsiTheme="minorHAnsi" w:cs="Calibri Light"/>
                <w:spacing w:val="-6"/>
              </w:rPr>
            </w:pPr>
            <w:r w:rsidRPr="003130F5">
              <w:rPr>
                <w:rFonts w:asciiTheme="minorHAnsi" w:hAnsiTheme="minorHAnsi" w:cs="Calibri Light"/>
                <w:spacing w:val="-6"/>
              </w:rPr>
              <w:t>Camion et autres types de véhicules (Mobil-Home, remorque, camionnette)</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0B9AE" w14:textId="0D4E442A" w:rsidR="00CA03DC" w:rsidRPr="008D7EB7" w:rsidRDefault="00CA03DC" w:rsidP="008D7EB7">
            <w:pPr>
              <w:tabs>
                <w:tab w:val="left" w:pos="360"/>
                <w:tab w:val="left" w:pos="504"/>
              </w:tabs>
              <w:jc w:val="right"/>
              <w:textAlignment w:val="baseline"/>
              <w:rPr>
                <w:rFonts w:asciiTheme="minorHAnsi" w:hAnsiTheme="minorHAnsi" w:cs="Calibri Light"/>
                <w:spacing w:val="-6"/>
              </w:rPr>
            </w:pPr>
            <w:r w:rsidRPr="008D7EB7">
              <w:rPr>
                <w:rFonts w:asciiTheme="minorHAnsi" w:hAnsiTheme="minorHAnsi" w:cs="Calibri Light"/>
                <w:spacing w:val="-6"/>
              </w:rPr>
              <w:t>14</w:t>
            </w:r>
            <w:r>
              <w:rPr>
                <w:rFonts w:asciiTheme="minorHAnsi" w:hAnsiTheme="minorHAnsi" w:cs="Calibri Light"/>
                <w:spacing w:val="-6"/>
              </w:rPr>
              <w:t>,00</w:t>
            </w:r>
            <w:r w:rsidRPr="008D7EB7">
              <w:rPr>
                <w:rFonts w:asciiTheme="minorHAnsi" w:hAnsiTheme="minorHAnsi" w:cs="Calibri Light"/>
                <w:spacing w:val="-6"/>
              </w:rPr>
              <w:t xml:space="preserve"> </w:t>
            </w:r>
            <w:r w:rsidR="009A56F6">
              <w:rPr>
                <w:rFonts w:asciiTheme="minorHAnsi" w:hAnsiTheme="minorHAnsi" w:cs="Calibri Light"/>
                <w:spacing w:val="-6"/>
              </w:rPr>
              <w:t>euros</w:t>
            </w:r>
            <w:r w:rsidRPr="008D7EB7">
              <w:rPr>
                <w:rFonts w:asciiTheme="minorHAnsi" w:hAnsiTheme="minorHAnsi" w:cs="Calibri Light"/>
                <w:spacing w:val="-6"/>
              </w:rPr>
              <w:t xml:space="preserve"> par jour</w:t>
            </w:r>
          </w:p>
        </w:tc>
      </w:tr>
    </w:tbl>
    <w:p w14:paraId="24F0F1CB" w14:textId="50092BDA" w:rsidR="00C22961" w:rsidRDefault="00C22961" w:rsidP="00E063FD">
      <w:pPr>
        <w:spacing w:before="120"/>
        <w:jc w:val="both"/>
        <w:textAlignment w:val="baseline"/>
        <w:rPr>
          <w:rFonts w:asciiTheme="minorHAnsi" w:hAnsiTheme="minorHAnsi" w:cs="Calibri Light"/>
        </w:rPr>
      </w:pPr>
      <w:bookmarkStart w:id="4934" w:name="_Hlk67663164"/>
      <w:r w:rsidRPr="00C22961">
        <w:rPr>
          <w:rFonts w:asciiTheme="minorHAnsi" w:hAnsiTheme="minorHAnsi" w:cs="Calibri Light"/>
        </w:rPr>
        <w:lastRenderedPageBreak/>
        <w:t>Cette redevance ne s’applique qu’aux véhicules se trouvant sur la voie publique.</w:t>
      </w:r>
    </w:p>
    <w:bookmarkEnd w:id="4934"/>
    <w:p w14:paraId="7B68D33E" w14:textId="60EDFC32" w:rsidR="003130F5"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Dans l'hypothèse où le coût-réel de l'enlèvement ressortant d'un marché conclu avec une société privée est supérieur au taux de </w:t>
      </w:r>
      <w:r w:rsidR="002B5C7C" w:rsidRPr="008D7EB7">
        <w:rPr>
          <w:rFonts w:asciiTheme="minorHAnsi" w:hAnsiTheme="minorHAnsi" w:cs="Calibri Light"/>
        </w:rPr>
        <w:t>151</w:t>
      </w:r>
      <w:r w:rsidR="00CA03DC">
        <w:rPr>
          <w:rFonts w:asciiTheme="minorHAnsi" w:hAnsiTheme="minorHAnsi" w:cs="Calibri Light"/>
        </w:rPr>
        <w:t xml:space="preserve">,00 </w:t>
      </w:r>
      <w:r w:rsidRPr="00DA6BD2">
        <w:rPr>
          <w:rFonts w:asciiTheme="minorHAnsi" w:hAnsiTheme="minorHAnsi" w:cs="Calibri Light"/>
        </w:rPr>
        <w:t xml:space="preserve">euros, le montant retenu sera celui prévu dans le contrat. </w:t>
      </w:r>
    </w:p>
    <w:p w14:paraId="789FAF50" w14:textId="77777777" w:rsidR="003130F5"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Ce montant pourra être majoré de 10% pour tenir compte des prestations administratives qui en découlent. </w:t>
      </w:r>
    </w:p>
    <w:p w14:paraId="72B72960" w14:textId="2115852D"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Si la commune opte pour cette solution, il lui est recommandé d'annexer le contrat conclu avec la société privée au règlement redevance.</w:t>
      </w:r>
    </w:p>
    <w:p w14:paraId="598BEF97" w14:textId="77777777" w:rsidR="003130F5" w:rsidRPr="003130F5" w:rsidRDefault="003130F5" w:rsidP="003130F5">
      <w:pPr>
        <w:spacing w:before="120"/>
        <w:jc w:val="both"/>
        <w:textAlignment w:val="baseline"/>
        <w:rPr>
          <w:rFonts w:eastAsia="Calibri" w:cs="Calibri"/>
        </w:rPr>
      </w:pPr>
      <w:r w:rsidRPr="003130F5">
        <w:rPr>
          <w:rFonts w:eastAsia="Calibri" w:cs="Calibri"/>
        </w:rPr>
        <w:t>Pour rappel, à défaut de paiement, le recouvrement des redevances s’effectue, en principe, conformément aux dispositions reprises à l’article L1124-40, §1</w:t>
      </w:r>
      <w:r w:rsidRPr="003130F5">
        <w:rPr>
          <w:rFonts w:eastAsia="Calibri" w:cs="Calibri"/>
          <w:vertAlign w:val="superscript"/>
        </w:rPr>
        <w:t>er</w:t>
      </w:r>
      <w:r w:rsidRPr="003130F5">
        <w:rPr>
          <w:rFonts w:eastAsia="Calibri" w:cs="Calibri"/>
        </w:rPr>
        <w:t xml:space="preserve"> du CDLD. </w:t>
      </w:r>
    </w:p>
    <w:p w14:paraId="43FD9711" w14:textId="77777777" w:rsidR="003130F5" w:rsidRPr="00DA6BD2" w:rsidRDefault="003130F5" w:rsidP="00E063FD">
      <w:pPr>
        <w:spacing w:before="120"/>
        <w:jc w:val="both"/>
        <w:textAlignment w:val="baseline"/>
        <w:rPr>
          <w:rFonts w:asciiTheme="minorHAnsi" w:hAnsiTheme="minorHAnsi" w:cs="Calibri Light"/>
        </w:rPr>
      </w:pPr>
    </w:p>
    <w:p w14:paraId="77BB40CE" w14:textId="4C504FD6" w:rsidR="00925E8F" w:rsidRDefault="004672E1" w:rsidP="00256E9F">
      <w:pPr>
        <w:pStyle w:val="Sam3"/>
      </w:pPr>
      <w:bookmarkStart w:id="4935" w:name="_Toc74557718"/>
      <w:bookmarkStart w:id="4936" w:name="_Toc512525470"/>
      <w:bookmarkStart w:id="4937" w:name="_Toc515896783"/>
      <w:bookmarkStart w:id="4938" w:name="_Hlk39068723"/>
      <w:r>
        <w:t xml:space="preserve">VII.1.2 </w:t>
      </w:r>
      <w:r w:rsidR="009B153C" w:rsidRPr="001B3082">
        <w:t>040/361-02 : Demande d'autorisation d'activités</w:t>
      </w:r>
      <w:r w:rsidR="00C82157">
        <w:t xml:space="preserve"> (</w:t>
      </w:r>
      <w:r w:rsidR="009B153C" w:rsidRPr="001B3082">
        <w:t>décret</w:t>
      </w:r>
      <w:r w:rsidR="00C82157">
        <w:t>s</w:t>
      </w:r>
      <w:r w:rsidR="009B153C" w:rsidRPr="001B3082">
        <w:t xml:space="preserve"> du 11/03/1999 </w:t>
      </w:r>
      <w:r w:rsidR="00EB535D">
        <w:t xml:space="preserve">relatif au permis d’environnement </w:t>
      </w:r>
      <w:r w:rsidR="009B153C" w:rsidRPr="001B3082">
        <w:t>ou du 5/02/2015</w:t>
      </w:r>
      <w:r w:rsidR="00EB535D">
        <w:t xml:space="preserve"> relatif aux implantations commerciales</w:t>
      </w:r>
      <w:r w:rsidR="00C82157">
        <w:t>)</w:t>
      </w:r>
      <w:bookmarkEnd w:id="4935"/>
    </w:p>
    <w:p w14:paraId="65B225A1" w14:textId="0E4F952F" w:rsidR="009B153C" w:rsidRPr="00717113" w:rsidRDefault="004845EF" w:rsidP="00E063FD">
      <w:r>
        <w:t>R</w:t>
      </w:r>
      <w:r w:rsidR="009B153C" w:rsidRPr="003F0B7B">
        <w:t>edevance</w:t>
      </w:r>
      <w:bookmarkEnd w:id="4936"/>
      <w:bookmarkEnd w:id="4937"/>
      <w:r w:rsidR="00925E8F" w:rsidRPr="00E9189F">
        <w:t>.</w:t>
      </w:r>
    </w:p>
    <w:p w14:paraId="7E82E8AF" w14:textId="77777777" w:rsidR="004845EF" w:rsidRDefault="004845EF" w:rsidP="004845EF">
      <w:pPr>
        <w:spacing w:before="120"/>
        <w:jc w:val="both"/>
        <w:textAlignment w:val="baseline"/>
        <w:rPr>
          <w:rFonts w:asciiTheme="minorHAnsi" w:hAnsiTheme="minorHAnsi" w:cs="Calibri Light"/>
        </w:rPr>
      </w:pPr>
      <w:r>
        <w:rPr>
          <w:rFonts w:asciiTheme="minorHAnsi" w:hAnsiTheme="minorHAnsi" w:cs="Calibri Light"/>
        </w:rPr>
        <w:t>Outre une taxe ou une redevance pour la délivrance d'un document administratif sans caractère répétitif (28,00 euros), la commune peut prévoir une redevance pour récupérer le coût réel des travaux administratifs effectués pour l’instruction du dossier (notamment les frais relatifs à</w:t>
      </w:r>
      <w:r>
        <w:t xml:space="preserve"> </w:t>
      </w:r>
      <w:r>
        <w:rPr>
          <w:rFonts w:asciiTheme="minorHAnsi" w:hAnsiTheme="minorHAnsi" w:cs="Calibri Light"/>
        </w:rPr>
        <w:t>l'affichage, la publication et l'envoi).</w:t>
      </w:r>
    </w:p>
    <w:p w14:paraId="7F25867E" w14:textId="5FFE5DB4" w:rsidR="004845EF" w:rsidRDefault="004845EF" w:rsidP="004845EF">
      <w:pPr>
        <w:spacing w:before="120"/>
        <w:jc w:val="both"/>
        <w:textAlignment w:val="baseline"/>
        <w:rPr>
          <w:rFonts w:asciiTheme="minorHAnsi" w:hAnsiTheme="minorHAnsi" w:cs="Calibri Light"/>
        </w:rPr>
      </w:pPr>
    </w:p>
    <w:p w14:paraId="5DA598F7" w14:textId="1E1AD211" w:rsidR="004845EF" w:rsidRDefault="004845EF" w:rsidP="004845EF">
      <w:pPr>
        <w:tabs>
          <w:tab w:val="left" w:pos="360"/>
          <w:tab w:val="left" w:pos="567"/>
        </w:tabs>
        <w:jc w:val="both"/>
        <w:textAlignment w:val="baseline"/>
        <w:rPr>
          <w:rFonts w:asciiTheme="minorHAnsi" w:hAnsiTheme="minorHAnsi" w:cs="Calibri Light"/>
          <w:spacing w:val="1"/>
        </w:rPr>
      </w:pPr>
      <w:r w:rsidRPr="006B47EE">
        <w:rPr>
          <w:rFonts w:asciiTheme="minorHAnsi" w:hAnsiTheme="minorHAnsi" w:cs="Calibri Light"/>
          <w:spacing w:val="1"/>
        </w:rPr>
        <w:t xml:space="preserve">Lorsque la commune établit une redevance pour l’instruction du dossier en fixant un taux forfaitaire en lieu et place d’un décompte sur base des frais réels, le taux </w:t>
      </w:r>
      <w:r>
        <w:rPr>
          <w:rFonts w:asciiTheme="minorHAnsi" w:hAnsiTheme="minorHAnsi" w:cs="Calibri Light"/>
          <w:spacing w:val="1"/>
        </w:rPr>
        <w:t>maximum recommandé est :</w:t>
      </w:r>
    </w:p>
    <w:p w14:paraId="3DE0659D" w14:textId="77777777" w:rsidR="009C270E" w:rsidRDefault="009C270E" w:rsidP="009C270E">
      <w:pPr>
        <w:spacing w:before="120"/>
        <w:jc w:val="both"/>
        <w:textAlignment w:val="baseline"/>
      </w:pPr>
    </w:p>
    <w:bookmarkEnd w:id="4938"/>
    <w:tbl>
      <w:tblPr>
        <w:tblW w:w="0" w:type="auto"/>
        <w:jc w:val="center"/>
        <w:tblCellMar>
          <w:left w:w="0" w:type="dxa"/>
          <w:right w:w="0" w:type="dxa"/>
        </w:tblCellMar>
        <w:tblLook w:val="04A0" w:firstRow="1" w:lastRow="0" w:firstColumn="1" w:lastColumn="0" w:noHBand="0" w:noVBand="1"/>
      </w:tblPr>
      <w:tblGrid>
        <w:gridCol w:w="3819"/>
        <w:gridCol w:w="2685"/>
      </w:tblGrid>
      <w:tr w:rsidR="00CA03DC" w:rsidRPr="00CE39D1" w14:paraId="2C4167A2" w14:textId="77777777" w:rsidTr="004936B8">
        <w:trPr>
          <w:jc w:val="center"/>
        </w:trPr>
        <w:tc>
          <w:tcPr>
            <w:tcW w:w="3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A70117" w14:textId="77777777" w:rsidR="00CA03DC" w:rsidRPr="00256E9F" w:rsidRDefault="00CA03DC">
            <w:pPr>
              <w:spacing w:before="120"/>
              <w:jc w:val="both"/>
              <w:textAlignment w:val="baseline"/>
              <w:rPr>
                <w:rFonts w:asciiTheme="minorHAnsi" w:hAnsiTheme="minorHAnsi" w:cstheme="minorHAnsi"/>
                <w:spacing w:val="-2"/>
                <w:sz w:val="22"/>
                <w:szCs w:val="22"/>
              </w:rPr>
            </w:pPr>
          </w:p>
        </w:tc>
        <w:tc>
          <w:tcPr>
            <w:tcW w:w="2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B74E3D" w14:textId="60EB8C41" w:rsidR="00CA03DC" w:rsidRPr="00256E9F" w:rsidRDefault="00CA03DC">
            <w:pPr>
              <w:spacing w:before="120"/>
              <w:jc w:val="center"/>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 xml:space="preserve">Montant </w:t>
            </w:r>
            <w:r w:rsidR="000C7152" w:rsidRPr="00256E9F">
              <w:rPr>
                <w:rFonts w:asciiTheme="minorHAnsi" w:hAnsiTheme="minorHAnsi" w:cstheme="minorHAnsi"/>
                <w:spacing w:val="-2"/>
                <w:sz w:val="22"/>
                <w:szCs w:val="22"/>
              </w:rPr>
              <w:t xml:space="preserve">non </w:t>
            </w:r>
            <w:r w:rsidRPr="00256E9F">
              <w:rPr>
                <w:rFonts w:asciiTheme="minorHAnsi" w:hAnsiTheme="minorHAnsi" w:cstheme="minorHAnsi"/>
                <w:spacing w:val="-2"/>
                <w:sz w:val="22"/>
                <w:szCs w:val="22"/>
              </w:rPr>
              <w:t xml:space="preserve">indexé (Année </w:t>
            </w:r>
            <w:r w:rsidR="000C7152" w:rsidRPr="00256E9F">
              <w:rPr>
                <w:rFonts w:asciiTheme="minorHAnsi" w:hAnsiTheme="minorHAnsi" w:cstheme="minorHAnsi"/>
                <w:spacing w:val="-2"/>
                <w:sz w:val="22"/>
                <w:szCs w:val="22"/>
              </w:rPr>
              <w:t>2022</w:t>
            </w:r>
            <w:r w:rsidRPr="00256E9F">
              <w:rPr>
                <w:rFonts w:asciiTheme="minorHAnsi" w:hAnsiTheme="minorHAnsi" w:cstheme="minorHAnsi"/>
                <w:spacing w:val="-2"/>
                <w:sz w:val="22"/>
                <w:szCs w:val="22"/>
              </w:rPr>
              <w:t>)</w:t>
            </w:r>
          </w:p>
        </w:tc>
      </w:tr>
      <w:tr w:rsidR="00CA03DC" w:rsidRPr="00CE39D1" w14:paraId="565E9D94" w14:textId="77777777" w:rsidTr="004936B8">
        <w:trPr>
          <w:jc w:val="center"/>
        </w:trPr>
        <w:tc>
          <w:tcPr>
            <w:tcW w:w="3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173DD" w14:textId="4508B563" w:rsidR="00CA03DC" w:rsidRPr="00256E9F" w:rsidRDefault="00CA03DC">
            <w:pPr>
              <w:spacing w:before="120"/>
              <w:jc w:val="both"/>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Permis environnement pour un établissement de 1</w:t>
            </w:r>
            <w:r w:rsidR="001044C0" w:rsidRPr="00256E9F">
              <w:rPr>
                <w:rFonts w:asciiTheme="minorHAnsi" w:hAnsiTheme="minorHAnsi" w:cstheme="minorHAnsi"/>
                <w:spacing w:val="-2"/>
                <w:sz w:val="22"/>
                <w:szCs w:val="22"/>
                <w:vertAlign w:val="superscript"/>
              </w:rPr>
              <w:t>ère</w:t>
            </w:r>
            <w:r w:rsidR="001044C0" w:rsidRPr="00256E9F">
              <w:rPr>
                <w:rFonts w:asciiTheme="minorHAnsi" w:hAnsiTheme="minorHAnsi" w:cstheme="minorHAnsi"/>
                <w:spacing w:val="-2"/>
                <w:sz w:val="22"/>
                <w:szCs w:val="22"/>
              </w:rPr>
              <w:t> classe</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5E9E" w14:textId="1212A6B5" w:rsidR="00CA03DC" w:rsidRPr="00256E9F" w:rsidRDefault="00CA03DC">
            <w:pPr>
              <w:spacing w:before="120"/>
              <w:jc w:val="right"/>
              <w:textAlignment w:val="baseline"/>
              <w:rPr>
                <w:rFonts w:asciiTheme="minorHAnsi" w:hAnsiTheme="minorHAnsi" w:cstheme="minorHAnsi"/>
                <w:strike/>
                <w:spacing w:val="-2"/>
                <w:sz w:val="22"/>
                <w:szCs w:val="22"/>
              </w:rPr>
            </w:pPr>
            <w:r w:rsidRPr="00256E9F">
              <w:rPr>
                <w:rFonts w:asciiTheme="minorHAnsi" w:hAnsiTheme="minorHAnsi" w:cstheme="minorHAnsi"/>
                <w:spacing w:val="-2"/>
                <w:sz w:val="22"/>
                <w:szCs w:val="22"/>
              </w:rPr>
              <w:t xml:space="preserve">1.110,00 </w:t>
            </w:r>
            <w:r w:rsidR="009A56F6" w:rsidRPr="00256E9F">
              <w:rPr>
                <w:rFonts w:asciiTheme="minorHAnsi" w:hAnsiTheme="minorHAnsi" w:cstheme="minorHAnsi"/>
                <w:spacing w:val="-2"/>
                <w:sz w:val="22"/>
                <w:szCs w:val="22"/>
              </w:rPr>
              <w:t>euros</w:t>
            </w:r>
          </w:p>
        </w:tc>
      </w:tr>
      <w:tr w:rsidR="00CA03DC" w:rsidRPr="00CE39D1" w14:paraId="50237474" w14:textId="77777777" w:rsidTr="004936B8">
        <w:trPr>
          <w:jc w:val="center"/>
        </w:trPr>
        <w:tc>
          <w:tcPr>
            <w:tcW w:w="3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09DD" w14:textId="2F7C5857" w:rsidR="00CA03DC" w:rsidRPr="00256E9F" w:rsidRDefault="00CA03DC">
            <w:pPr>
              <w:spacing w:before="120"/>
              <w:jc w:val="both"/>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Permis environnement pour un établissement de 2</w:t>
            </w:r>
            <w:r w:rsidR="001044C0" w:rsidRPr="00256E9F">
              <w:rPr>
                <w:rFonts w:asciiTheme="minorHAnsi" w:hAnsiTheme="minorHAnsi" w:cstheme="minorHAnsi"/>
                <w:spacing w:val="-2"/>
                <w:sz w:val="22"/>
                <w:szCs w:val="22"/>
                <w:vertAlign w:val="superscript"/>
              </w:rPr>
              <w:t>ème</w:t>
            </w:r>
            <w:r w:rsidR="001044C0" w:rsidRPr="00256E9F">
              <w:rPr>
                <w:rFonts w:asciiTheme="minorHAnsi" w:hAnsiTheme="minorHAnsi" w:cstheme="minorHAnsi"/>
                <w:spacing w:val="-2"/>
                <w:sz w:val="22"/>
                <w:szCs w:val="22"/>
              </w:rPr>
              <w:t> classe</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7CB69" w14:textId="0999AD09" w:rsidR="00CA03DC" w:rsidRPr="00256E9F" w:rsidRDefault="00CA03DC">
            <w:pPr>
              <w:spacing w:before="120"/>
              <w:jc w:val="right"/>
              <w:textAlignment w:val="baseline"/>
              <w:rPr>
                <w:rFonts w:asciiTheme="minorHAnsi" w:hAnsiTheme="minorHAnsi" w:cstheme="minorHAnsi"/>
                <w:strike/>
                <w:spacing w:val="-2"/>
                <w:sz w:val="22"/>
                <w:szCs w:val="22"/>
              </w:rPr>
            </w:pPr>
            <w:r w:rsidRPr="00256E9F">
              <w:rPr>
                <w:rFonts w:asciiTheme="minorHAnsi" w:hAnsiTheme="minorHAnsi" w:cstheme="minorHAnsi"/>
                <w:spacing w:val="-2"/>
                <w:sz w:val="22"/>
                <w:szCs w:val="22"/>
              </w:rPr>
              <w:t xml:space="preserve">125,00 </w:t>
            </w:r>
            <w:r w:rsidR="009A56F6" w:rsidRPr="00256E9F">
              <w:rPr>
                <w:rFonts w:asciiTheme="minorHAnsi" w:hAnsiTheme="minorHAnsi" w:cstheme="minorHAnsi"/>
                <w:spacing w:val="-2"/>
                <w:sz w:val="22"/>
                <w:szCs w:val="22"/>
              </w:rPr>
              <w:t>euros</w:t>
            </w:r>
          </w:p>
        </w:tc>
      </w:tr>
      <w:tr w:rsidR="00CA03DC" w:rsidRPr="00CE39D1" w14:paraId="65117B5A" w14:textId="77777777" w:rsidTr="004936B8">
        <w:trPr>
          <w:jc w:val="center"/>
        </w:trPr>
        <w:tc>
          <w:tcPr>
            <w:tcW w:w="3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762F9" w14:textId="77777777" w:rsidR="00CA03DC" w:rsidRPr="00256E9F" w:rsidRDefault="00CA03DC">
            <w:pPr>
              <w:spacing w:before="120"/>
              <w:jc w:val="both"/>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Permis unique pour un établissement de 1</w:t>
            </w:r>
            <w:r w:rsidRPr="00256E9F">
              <w:rPr>
                <w:rFonts w:asciiTheme="minorHAnsi" w:hAnsiTheme="minorHAnsi" w:cstheme="minorHAnsi"/>
                <w:spacing w:val="-2"/>
                <w:sz w:val="22"/>
                <w:szCs w:val="22"/>
                <w:vertAlign w:val="superscript"/>
              </w:rPr>
              <w:t>ère</w:t>
            </w:r>
            <w:r w:rsidRPr="00256E9F">
              <w:rPr>
                <w:rFonts w:asciiTheme="minorHAnsi" w:hAnsiTheme="minorHAnsi" w:cstheme="minorHAnsi"/>
                <w:spacing w:val="-2"/>
                <w:sz w:val="22"/>
                <w:szCs w:val="22"/>
              </w:rPr>
              <w:t xml:space="preserve"> classe</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0C3BA" w14:textId="68F23898" w:rsidR="00CA03DC" w:rsidRPr="00256E9F" w:rsidRDefault="00CA03DC">
            <w:pPr>
              <w:spacing w:before="120"/>
              <w:jc w:val="right"/>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 xml:space="preserve">4.500,00 </w:t>
            </w:r>
            <w:r w:rsidR="009A56F6" w:rsidRPr="00256E9F">
              <w:rPr>
                <w:rFonts w:asciiTheme="minorHAnsi" w:hAnsiTheme="minorHAnsi" w:cstheme="minorHAnsi"/>
                <w:spacing w:val="-2"/>
                <w:sz w:val="22"/>
                <w:szCs w:val="22"/>
              </w:rPr>
              <w:t>euros</w:t>
            </w:r>
          </w:p>
        </w:tc>
      </w:tr>
      <w:tr w:rsidR="00CA03DC" w:rsidRPr="00CE39D1" w14:paraId="07D90CBD" w14:textId="77777777" w:rsidTr="004936B8">
        <w:trPr>
          <w:jc w:val="center"/>
        </w:trPr>
        <w:tc>
          <w:tcPr>
            <w:tcW w:w="3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62228" w14:textId="77777777" w:rsidR="00CA03DC" w:rsidRPr="00256E9F" w:rsidRDefault="00CA03DC">
            <w:pPr>
              <w:spacing w:before="120"/>
              <w:jc w:val="both"/>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Permis unique pour un établissement de 2</w:t>
            </w:r>
            <w:r w:rsidRPr="00256E9F">
              <w:rPr>
                <w:rFonts w:asciiTheme="minorHAnsi" w:hAnsiTheme="minorHAnsi" w:cstheme="minorHAnsi"/>
                <w:spacing w:val="-2"/>
                <w:sz w:val="22"/>
                <w:szCs w:val="22"/>
                <w:vertAlign w:val="superscript"/>
              </w:rPr>
              <w:t>ème</w:t>
            </w:r>
            <w:r w:rsidRPr="00256E9F">
              <w:rPr>
                <w:rFonts w:asciiTheme="minorHAnsi" w:hAnsiTheme="minorHAnsi" w:cstheme="minorHAnsi"/>
                <w:spacing w:val="-2"/>
                <w:sz w:val="22"/>
                <w:szCs w:val="22"/>
              </w:rPr>
              <w:t xml:space="preserve"> classe</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E0CAC" w14:textId="70FCA45F" w:rsidR="00CA03DC" w:rsidRPr="00256E9F" w:rsidRDefault="00CA03DC">
            <w:pPr>
              <w:spacing w:before="120"/>
              <w:jc w:val="right"/>
              <w:textAlignment w:val="baseline"/>
              <w:rPr>
                <w:rFonts w:asciiTheme="minorHAnsi" w:hAnsiTheme="minorHAnsi" w:cstheme="minorHAnsi"/>
                <w:strike/>
                <w:spacing w:val="-2"/>
                <w:sz w:val="22"/>
                <w:szCs w:val="22"/>
              </w:rPr>
            </w:pPr>
            <w:r w:rsidRPr="00256E9F">
              <w:rPr>
                <w:rFonts w:asciiTheme="minorHAnsi" w:hAnsiTheme="minorHAnsi" w:cstheme="minorHAnsi"/>
                <w:spacing w:val="-2"/>
                <w:sz w:val="22"/>
                <w:szCs w:val="22"/>
              </w:rPr>
              <w:t xml:space="preserve">200,00 </w:t>
            </w:r>
            <w:r w:rsidR="009A56F6" w:rsidRPr="00256E9F">
              <w:rPr>
                <w:rFonts w:asciiTheme="minorHAnsi" w:hAnsiTheme="minorHAnsi" w:cstheme="minorHAnsi"/>
                <w:spacing w:val="-2"/>
                <w:sz w:val="22"/>
                <w:szCs w:val="22"/>
              </w:rPr>
              <w:t>euros</w:t>
            </w:r>
          </w:p>
        </w:tc>
      </w:tr>
      <w:tr w:rsidR="00CA03DC" w:rsidRPr="00CE39D1" w14:paraId="7D77F144" w14:textId="77777777" w:rsidTr="004936B8">
        <w:trPr>
          <w:jc w:val="center"/>
        </w:trPr>
        <w:tc>
          <w:tcPr>
            <w:tcW w:w="3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A5181" w14:textId="77777777" w:rsidR="00CA03DC" w:rsidRPr="00256E9F" w:rsidRDefault="00CA03DC">
            <w:pPr>
              <w:spacing w:before="120"/>
              <w:jc w:val="both"/>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Déclaration pour un établissement de 3</w:t>
            </w:r>
            <w:r w:rsidRPr="00256E9F">
              <w:rPr>
                <w:rFonts w:asciiTheme="minorHAnsi" w:hAnsiTheme="minorHAnsi" w:cstheme="minorHAnsi"/>
                <w:spacing w:val="-2"/>
                <w:sz w:val="22"/>
                <w:szCs w:val="22"/>
                <w:vertAlign w:val="superscript"/>
              </w:rPr>
              <w:t>ème</w:t>
            </w:r>
            <w:r w:rsidRPr="00256E9F">
              <w:rPr>
                <w:rFonts w:asciiTheme="minorHAnsi" w:hAnsiTheme="minorHAnsi" w:cstheme="minorHAnsi"/>
                <w:spacing w:val="-2"/>
                <w:sz w:val="22"/>
                <w:szCs w:val="22"/>
              </w:rPr>
              <w:t xml:space="preserve"> classe</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C9DA1" w14:textId="15D614B2" w:rsidR="00CA03DC" w:rsidRPr="00256E9F" w:rsidRDefault="00CA03DC">
            <w:pPr>
              <w:spacing w:before="120"/>
              <w:jc w:val="right"/>
              <w:textAlignment w:val="baseline"/>
              <w:rPr>
                <w:rFonts w:asciiTheme="minorHAnsi" w:hAnsiTheme="minorHAnsi" w:cstheme="minorHAnsi"/>
                <w:strike/>
                <w:spacing w:val="-2"/>
                <w:sz w:val="22"/>
                <w:szCs w:val="22"/>
              </w:rPr>
            </w:pPr>
            <w:r w:rsidRPr="00256E9F">
              <w:rPr>
                <w:rFonts w:asciiTheme="minorHAnsi" w:hAnsiTheme="minorHAnsi" w:cstheme="minorHAnsi"/>
                <w:spacing w:val="-2"/>
                <w:sz w:val="22"/>
                <w:szCs w:val="22"/>
              </w:rPr>
              <w:t xml:space="preserve">30,00 </w:t>
            </w:r>
            <w:r w:rsidR="009A56F6" w:rsidRPr="00256E9F">
              <w:rPr>
                <w:rFonts w:asciiTheme="minorHAnsi" w:hAnsiTheme="minorHAnsi" w:cstheme="minorHAnsi"/>
                <w:spacing w:val="-2"/>
                <w:sz w:val="22"/>
                <w:szCs w:val="22"/>
              </w:rPr>
              <w:t>euros</w:t>
            </w:r>
          </w:p>
        </w:tc>
      </w:tr>
      <w:tr w:rsidR="00CA03DC" w:rsidRPr="00CE39D1" w14:paraId="7E045C1B" w14:textId="77777777" w:rsidTr="004936B8">
        <w:trPr>
          <w:jc w:val="center"/>
        </w:trPr>
        <w:tc>
          <w:tcPr>
            <w:tcW w:w="3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FBE5A" w14:textId="77777777" w:rsidR="00CA03DC" w:rsidRPr="00256E9F" w:rsidRDefault="00CA03DC">
            <w:pPr>
              <w:spacing w:before="120"/>
              <w:jc w:val="both"/>
              <w:textAlignment w:val="baseline"/>
              <w:rPr>
                <w:rFonts w:asciiTheme="minorHAnsi" w:hAnsiTheme="minorHAnsi" w:cstheme="minorHAnsi"/>
                <w:spacing w:val="-2"/>
                <w:sz w:val="22"/>
                <w:szCs w:val="22"/>
              </w:rPr>
            </w:pPr>
            <w:r w:rsidRPr="00256E9F">
              <w:rPr>
                <w:rFonts w:asciiTheme="minorHAnsi" w:hAnsiTheme="minorHAnsi" w:cstheme="minorHAnsi"/>
                <w:spacing w:val="-2"/>
                <w:sz w:val="22"/>
                <w:szCs w:val="22"/>
              </w:rPr>
              <w:t>Permis intégré</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64B52" w14:textId="50E4B8E5" w:rsidR="00CA03DC" w:rsidRPr="00256E9F" w:rsidRDefault="00CA03DC">
            <w:pPr>
              <w:spacing w:before="120"/>
              <w:jc w:val="right"/>
              <w:textAlignment w:val="baseline"/>
              <w:rPr>
                <w:rFonts w:asciiTheme="minorHAnsi" w:hAnsiTheme="minorHAnsi" w:cstheme="minorHAnsi"/>
                <w:strike/>
                <w:spacing w:val="-2"/>
                <w:sz w:val="22"/>
                <w:szCs w:val="22"/>
              </w:rPr>
            </w:pPr>
            <w:r w:rsidRPr="00256E9F">
              <w:rPr>
                <w:rFonts w:asciiTheme="minorHAnsi" w:hAnsiTheme="minorHAnsi" w:cstheme="minorHAnsi"/>
                <w:spacing w:val="-2"/>
                <w:sz w:val="22"/>
                <w:szCs w:val="22"/>
              </w:rPr>
              <w:t xml:space="preserve">4.500,00 </w:t>
            </w:r>
            <w:r w:rsidR="009A56F6" w:rsidRPr="00256E9F">
              <w:rPr>
                <w:rFonts w:asciiTheme="minorHAnsi" w:hAnsiTheme="minorHAnsi" w:cstheme="minorHAnsi"/>
                <w:spacing w:val="-2"/>
                <w:sz w:val="22"/>
                <w:szCs w:val="22"/>
              </w:rPr>
              <w:t>euros</w:t>
            </w:r>
          </w:p>
        </w:tc>
      </w:tr>
    </w:tbl>
    <w:p w14:paraId="6D3DB64C" w14:textId="77777777" w:rsidR="004845EF" w:rsidRDefault="004845EF" w:rsidP="004845EF">
      <w:pPr>
        <w:tabs>
          <w:tab w:val="right" w:pos="8352"/>
        </w:tabs>
        <w:spacing w:before="120"/>
        <w:jc w:val="both"/>
        <w:textAlignment w:val="baseline"/>
        <w:rPr>
          <w:rFonts w:asciiTheme="minorHAnsi" w:hAnsiTheme="minorHAnsi" w:cs="Calibri Light"/>
        </w:rPr>
      </w:pPr>
      <w:bookmarkStart w:id="4939" w:name="_Hlk39227347"/>
      <w:r>
        <w:rPr>
          <w:rFonts w:asciiTheme="minorHAnsi" w:hAnsiTheme="minorHAnsi" w:cs="Calibri Light"/>
        </w:rPr>
        <w:t>Il est possible de prévoir que les forfaits ci-dessus comprennent tant l’instruction que la délivrance du document.</w:t>
      </w:r>
    </w:p>
    <w:p w14:paraId="71DA0B97" w14:textId="77777777" w:rsidR="004845EF" w:rsidRDefault="004845EF" w:rsidP="00256E9F">
      <w:pPr>
        <w:tabs>
          <w:tab w:val="right" w:pos="8352"/>
        </w:tabs>
        <w:jc w:val="both"/>
        <w:textAlignment w:val="baseline"/>
        <w:rPr>
          <w:rFonts w:asciiTheme="minorHAnsi" w:hAnsiTheme="minorHAnsi" w:cs="Calibri Light"/>
        </w:rPr>
      </w:pPr>
    </w:p>
    <w:p w14:paraId="1D3C36C2" w14:textId="3C5DB448" w:rsidR="009C270E" w:rsidRDefault="004936B8" w:rsidP="00256E9F">
      <w:pPr>
        <w:tabs>
          <w:tab w:val="right" w:pos="8352"/>
        </w:tabs>
        <w:jc w:val="both"/>
        <w:textAlignment w:val="baseline"/>
        <w:rPr>
          <w:rFonts w:asciiTheme="minorHAnsi" w:hAnsiTheme="minorHAnsi" w:cs="Calibri Light"/>
        </w:rPr>
      </w:pPr>
      <w:r w:rsidRPr="008D7EB7">
        <w:rPr>
          <w:rFonts w:asciiTheme="minorHAnsi" w:hAnsiTheme="minorHAnsi" w:cs="Calibri Light"/>
        </w:rPr>
        <w:t xml:space="preserve">Dans l’hypothèse où le règlement-redevance prévoit des forfaits, on peut toujours y prévoir une disposition qui précise que si le traitement du dossier entraîne une dépense supérieure </w:t>
      </w:r>
      <w:r w:rsidRPr="008D7EB7">
        <w:rPr>
          <w:rFonts w:asciiTheme="minorHAnsi" w:hAnsiTheme="minorHAnsi" w:cs="Calibri Light"/>
        </w:rPr>
        <w:lastRenderedPageBreak/>
        <w:t xml:space="preserve">au taux forfaitaire prévu pour la catégorie concernée, le coût sera facturé sur base d'un décompte des frais réels. </w:t>
      </w:r>
      <w:r w:rsidR="00BD2CC8" w:rsidRPr="008D7EB7">
        <w:rPr>
          <w:rFonts w:asciiTheme="minorHAnsi" w:hAnsiTheme="minorHAnsi" w:cs="Calibri Light"/>
        </w:rPr>
        <w:t>À</w:t>
      </w:r>
      <w:r w:rsidRPr="008D7EB7">
        <w:rPr>
          <w:rFonts w:asciiTheme="minorHAnsi" w:hAnsiTheme="minorHAnsi" w:cs="Calibri Light"/>
        </w:rPr>
        <w:t xml:space="preserve"> défaut de prévoir une disposition en ce sens, la commune serait dans l'impossibilité de se rémunérer correctement et de récupérer la différence entre le coût réel et le forfait établi.</w:t>
      </w:r>
    </w:p>
    <w:p w14:paraId="30D9100C" w14:textId="77777777" w:rsidR="00DE5C49" w:rsidRPr="00954869" w:rsidRDefault="00DE5C49" w:rsidP="00E063FD">
      <w:pPr>
        <w:tabs>
          <w:tab w:val="right" w:pos="8352"/>
        </w:tabs>
        <w:spacing w:before="120"/>
        <w:jc w:val="both"/>
        <w:textAlignment w:val="baseline"/>
        <w:rPr>
          <w:rFonts w:asciiTheme="minorHAnsi" w:hAnsiTheme="minorHAnsi" w:cs="Calibri Light"/>
          <w:sz w:val="2"/>
          <w:szCs w:val="2"/>
        </w:rPr>
      </w:pPr>
    </w:p>
    <w:bookmarkEnd w:id="4939"/>
    <w:p w14:paraId="0527971A" w14:textId="115039D1" w:rsidR="004D122A" w:rsidRPr="008D7EB7" w:rsidRDefault="004D122A" w:rsidP="00E063FD">
      <w:pPr>
        <w:tabs>
          <w:tab w:val="right" w:pos="8352"/>
        </w:tabs>
        <w:spacing w:before="120"/>
        <w:jc w:val="both"/>
        <w:textAlignment w:val="baseline"/>
        <w:rPr>
          <w:rFonts w:asciiTheme="minorHAnsi" w:hAnsiTheme="minorHAnsi" w:cs="Calibri Light"/>
          <w:u w:val="single"/>
        </w:rPr>
      </w:pPr>
      <w:r>
        <w:rPr>
          <w:b/>
          <w:bCs/>
          <w:u w:val="single"/>
        </w:rPr>
        <w:t>D</w:t>
      </w:r>
      <w:r w:rsidRPr="008D7EB7">
        <w:rPr>
          <w:b/>
          <w:bCs/>
          <w:u w:val="single"/>
        </w:rPr>
        <w:t>élivrance d’une information environnementale</w:t>
      </w:r>
    </w:p>
    <w:p w14:paraId="6F540CF2" w14:textId="4188A424" w:rsidR="00763EDF" w:rsidRDefault="007C16C9" w:rsidP="00E063FD">
      <w:pPr>
        <w:tabs>
          <w:tab w:val="right" w:pos="8352"/>
        </w:tabs>
        <w:spacing w:before="120"/>
        <w:jc w:val="both"/>
        <w:textAlignment w:val="baseline"/>
        <w:rPr>
          <w:rFonts w:asciiTheme="minorHAnsi" w:hAnsiTheme="minorHAnsi" w:cs="Calibri Light"/>
        </w:rPr>
      </w:pPr>
      <w:r>
        <w:rPr>
          <w:rFonts w:asciiTheme="minorHAnsi" w:hAnsiTheme="minorHAnsi" w:cs="Calibri Light"/>
        </w:rPr>
        <w:t>E</w:t>
      </w:r>
      <w:r w:rsidR="009B153C" w:rsidRPr="00DA6BD2">
        <w:rPr>
          <w:rFonts w:asciiTheme="minorHAnsi" w:hAnsiTheme="minorHAnsi" w:cs="Calibri Light"/>
        </w:rPr>
        <w:t xml:space="preserve">n ce qui concerne la </w:t>
      </w:r>
      <w:r w:rsidR="009B153C" w:rsidRPr="00DA6BD2">
        <w:rPr>
          <w:rFonts w:asciiTheme="minorHAnsi" w:hAnsiTheme="minorHAnsi" w:cs="Calibri Light"/>
          <w:b/>
        </w:rPr>
        <w:t>délivrance d’une information environnementale</w:t>
      </w:r>
      <w:r w:rsidR="009B153C" w:rsidRPr="00DA6BD2">
        <w:rPr>
          <w:rFonts w:asciiTheme="minorHAnsi" w:hAnsiTheme="minorHAnsi" w:cs="Calibri Light"/>
        </w:rPr>
        <w:t xml:space="preserve"> (</w:t>
      </w:r>
      <w:r w:rsidR="0008287A">
        <w:rPr>
          <w:rFonts w:asciiTheme="minorHAnsi" w:hAnsiTheme="minorHAnsi" w:cs="Calibri Light"/>
        </w:rPr>
        <w:t xml:space="preserve">par exemple </w:t>
      </w:r>
      <w:r w:rsidR="009B153C" w:rsidRPr="00DA6BD2">
        <w:rPr>
          <w:rFonts w:asciiTheme="minorHAnsi" w:hAnsiTheme="minorHAnsi" w:cs="Calibri Light"/>
        </w:rPr>
        <w:t>: une copie de document), l’article D.13, alinéa 3 du Livre 1</w:t>
      </w:r>
      <w:r w:rsidR="009B153C" w:rsidRPr="00DA6BD2">
        <w:rPr>
          <w:rFonts w:asciiTheme="minorHAnsi" w:hAnsiTheme="minorHAnsi" w:cs="Calibri Light"/>
          <w:vertAlign w:val="superscript"/>
        </w:rPr>
        <w:t>er</w:t>
      </w:r>
      <w:r w:rsidR="009B153C" w:rsidRPr="00DA6BD2">
        <w:rPr>
          <w:rFonts w:asciiTheme="minorHAnsi" w:hAnsiTheme="minorHAnsi" w:cs="Calibri Light"/>
        </w:rPr>
        <w:t xml:space="preserve"> du Code de l’Environnement prévoit que « </w:t>
      </w:r>
      <w:r w:rsidR="009B153C" w:rsidRPr="00E063FD">
        <w:rPr>
          <w:rFonts w:asciiTheme="minorHAnsi" w:hAnsiTheme="minorHAnsi" w:cs="Calibri Light"/>
          <w:i/>
        </w:rPr>
        <w:t>le prix éventuellement réclamé pour la délivrance de l'information ne peut dépasser le coût du support de l'information et de sa communication</w:t>
      </w:r>
      <w:r w:rsidR="009B153C" w:rsidRPr="000E1CF9">
        <w:rPr>
          <w:rFonts w:asciiTheme="minorHAnsi" w:hAnsiTheme="minorHAnsi" w:cs="Calibri Light"/>
        </w:rPr>
        <w:t xml:space="preserve"> </w:t>
      </w:r>
      <w:r w:rsidR="00763EDF">
        <w:rPr>
          <w:rFonts w:asciiTheme="minorHAnsi" w:hAnsiTheme="minorHAnsi" w:cs="Calibri Light"/>
        </w:rPr>
        <w:t xml:space="preserve">et doit être communiqué au demandeur au moment de sa </w:t>
      </w:r>
      <w:r w:rsidR="001044C0">
        <w:rPr>
          <w:rFonts w:asciiTheme="minorHAnsi" w:hAnsiTheme="minorHAnsi" w:cs="Calibri Light"/>
        </w:rPr>
        <w:t>demande</w:t>
      </w:r>
      <w:r w:rsidR="001044C0" w:rsidRPr="000E1CF9">
        <w:rPr>
          <w:rFonts w:asciiTheme="minorHAnsi" w:hAnsiTheme="minorHAnsi" w:cs="Calibri Light"/>
        </w:rPr>
        <w:t xml:space="preserve"> »</w:t>
      </w:r>
      <w:r w:rsidR="009B153C" w:rsidRPr="000E1CF9">
        <w:rPr>
          <w:rFonts w:asciiTheme="minorHAnsi" w:hAnsiTheme="minorHAnsi" w:cs="Calibri Light"/>
        </w:rPr>
        <w:t>.</w:t>
      </w:r>
    </w:p>
    <w:p w14:paraId="529D8579" w14:textId="2B689298" w:rsidR="009B153C" w:rsidRPr="000E1CF9" w:rsidRDefault="00763EDF" w:rsidP="00E063FD">
      <w:pPr>
        <w:tabs>
          <w:tab w:val="right" w:pos="8352"/>
        </w:tabs>
        <w:spacing w:before="120"/>
        <w:jc w:val="both"/>
        <w:textAlignment w:val="baseline"/>
        <w:rPr>
          <w:rFonts w:asciiTheme="minorHAnsi" w:hAnsiTheme="minorHAnsi" w:cs="Calibri Light"/>
        </w:rPr>
      </w:pPr>
      <w:r>
        <w:rPr>
          <w:rFonts w:asciiTheme="minorHAnsi" w:hAnsiTheme="minorHAnsi" w:cs="Calibri Light"/>
        </w:rPr>
        <w:t>Pour rappel, la consultation sur place est gratuite.</w:t>
      </w:r>
      <w:r w:rsidR="009B153C" w:rsidRPr="000E1CF9">
        <w:rPr>
          <w:rFonts w:asciiTheme="minorHAnsi" w:hAnsiTheme="minorHAnsi" w:cs="Calibri Light"/>
        </w:rPr>
        <w:t xml:space="preserve"> </w:t>
      </w:r>
    </w:p>
    <w:p w14:paraId="00165977" w14:textId="65CC91BB" w:rsidR="009B153C" w:rsidRDefault="009B153C" w:rsidP="00E063FD">
      <w:pPr>
        <w:tabs>
          <w:tab w:val="right" w:pos="8352"/>
        </w:tabs>
        <w:spacing w:before="120"/>
        <w:jc w:val="both"/>
        <w:textAlignment w:val="baseline"/>
        <w:rPr>
          <w:rFonts w:asciiTheme="minorHAnsi" w:hAnsiTheme="minorHAnsi" w:cs="Calibri Light"/>
        </w:rPr>
      </w:pPr>
      <w:r w:rsidRPr="000E1CF9">
        <w:rPr>
          <w:rFonts w:asciiTheme="minorHAnsi" w:hAnsiTheme="minorHAnsi" w:cs="Calibri Light"/>
        </w:rPr>
        <w:t>Selon la Commission fédérale de recours pour le droit d’accès à l’information en matière d’environnement</w:t>
      </w:r>
      <w:r w:rsidR="005E3BE0">
        <w:rPr>
          <w:rFonts w:asciiTheme="minorHAnsi" w:hAnsiTheme="minorHAnsi" w:cs="Calibri Light"/>
        </w:rPr>
        <w:t>,</w:t>
      </w:r>
      <w:r w:rsidRPr="000E1CF9">
        <w:rPr>
          <w:rFonts w:asciiTheme="minorHAnsi" w:hAnsiTheme="minorHAnsi" w:cs="Calibri Light"/>
        </w:rPr>
        <w:t xml:space="preserve"> ce coût comprend le prix de revient de la copie, à savoir le coût du papier, l'amortissement et l'entretien de la machine et, le cas échéant, les frais d'envoi, </w:t>
      </w:r>
      <w:r w:rsidRPr="000E1CF9">
        <w:rPr>
          <w:rFonts w:asciiTheme="minorHAnsi" w:hAnsiTheme="minorHAnsi" w:cs="Calibri Light"/>
          <w:b/>
        </w:rPr>
        <w:t>mais ne comprend ni</w:t>
      </w:r>
      <w:r w:rsidRPr="000E1CF9">
        <w:rPr>
          <w:rFonts w:asciiTheme="minorHAnsi" w:hAnsiTheme="minorHAnsi" w:cs="Calibri Light"/>
        </w:rPr>
        <w:t xml:space="preserve"> les frais de personnel, </w:t>
      </w:r>
      <w:r w:rsidRPr="000E1CF9">
        <w:rPr>
          <w:rFonts w:asciiTheme="minorHAnsi" w:hAnsiTheme="minorHAnsi" w:cs="Calibri Light"/>
          <w:b/>
        </w:rPr>
        <w:t>ni</w:t>
      </w:r>
      <w:r w:rsidRPr="000E1CF9">
        <w:rPr>
          <w:rFonts w:asciiTheme="minorHAnsi" w:hAnsiTheme="minorHAnsi" w:cs="Calibri Light"/>
        </w:rPr>
        <w:t xml:space="preserve"> les frais de recherche des documents, </w:t>
      </w:r>
      <w:r w:rsidRPr="00E063FD">
        <w:rPr>
          <w:rFonts w:asciiTheme="minorHAnsi" w:hAnsiTheme="minorHAnsi" w:cs="Calibri Light"/>
          <w:b/>
        </w:rPr>
        <w:t>ni</w:t>
      </w:r>
      <w:r w:rsidRPr="00E063FD">
        <w:rPr>
          <w:rFonts w:asciiTheme="minorHAnsi" w:hAnsiTheme="minorHAnsi" w:cs="Calibri Light"/>
        </w:rPr>
        <w:t xml:space="preserve"> les frais engendrés pour la tenue de la base de données, ces frais étant inhérents au fonctionnement du service public. Ainsi, il n’est pas possible de réclamer le paiement d'une redevance couvrant les heures de prestations de travail d'un agent communal</w:t>
      </w:r>
      <w:r w:rsidRPr="00DA6BD2">
        <w:rPr>
          <w:rFonts w:asciiTheme="minorHAnsi" w:hAnsiTheme="minorHAnsi" w:cs="Calibri Light"/>
        </w:rPr>
        <w:t>, sans méconnaître la disposition citée du livre 1</w:t>
      </w:r>
      <w:r w:rsidRPr="00DA6BD2">
        <w:rPr>
          <w:rFonts w:asciiTheme="minorHAnsi" w:hAnsiTheme="minorHAnsi" w:cs="Calibri Light"/>
          <w:vertAlign w:val="superscript"/>
        </w:rPr>
        <w:t>er</w:t>
      </w:r>
      <w:r w:rsidRPr="00DA6BD2">
        <w:rPr>
          <w:rFonts w:asciiTheme="minorHAnsi" w:hAnsiTheme="minorHAnsi" w:cs="Calibri Light"/>
        </w:rPr>
        <w:t xml:space="preserve"> du </w:t>
      </w:r>
      <w:r w:rsidR="00A04573">
        <w:rPr>
          <w:rFonts w:asciiTheme="minorHAnsi" w:hAnsiTheme="minorHAnsi" w:cs="Calibri Light"/>
        </w:rPr>
        <w:t>C</w:t>
      </w:r>
      <w:r w:rsidRPr="00DA6BD2">
        <w:rPr>
          <w:rFonts w:asciiTheme="minorHAnsi" w:hAnsiTheme="minorHAnsi" w:cs="Calibri Light"/>
        </w:rPr>
        <w:t>ode de l'Environnement.</w:t>
      </w:r>
    </w:p>
    <w:p w14:paraId="3BF62EBE" w14:textId="320DD4A4" w:rsidR="00763EDF" w:rsidRDefault="00763EDF" w:rsidP="00763EDF">
      <w:pPr>
        <w:spacing w:before="120"/>
        <w:jc w:val="both"/>
        <w:textAlignment w:val="baseline"/>
      </w:pPr>
      <w:r>
        <w:t>De même, comme le souligne le Conseil d’Etat</w:t>
      </w:r>
      <w:r w:rsidR="0008287A">
        <w:rPr>
          <w:rStyle w:val="Appelnotedebasdep"/>
        </w:rPr>
        <w:footnoteReference w:id="126"/>
      </w:r>
      <w:r>
        <w:t>, le montant de la rétribution doit ainsi correspondre à celui qui est réellement pris en charge par la commune et plus particulièrement au prix coûtant de la copie, en sorte qu’il est exclu de faire supporter par les citoyens qui demandent des copies, des frais que la commune aurait dû supporter même en l’absence de toute demande de copie, tels que les traitements du personnel communal ou des coûts liés aux bâtiments.</w:t>
      </w:r>
    </w:p>
    <w:p w14:paraId="28BAE057" w14:textId="57A37011" w:rsidR="00763EDF" w:rsidRDefault="005E3BE0" w:rsidP="00E063FD">
      <w:pPr>
        <w:tabs>
          <w:tab w:val="right" w:pos="8352"/>
        </w:tabs>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 xml:space="preserve">e point de référence pour apprécier le prix coûtant de la copie est le montant de la rétribution qui peut être réclamée en vertu de l'article 3, 1° à </w:t>
      </w:r>
      <w:r w:rsidR="00763EDF">
        <w:rPr>
          <w:rFonts w:asciiTheme="minorHAnsi" w:hAnsiTheme="minorHAnsi" w:cs="Calibri Light"/>
        </w:rPr>
        <w:t>6</w:t>
      </w:r>
      <w:r w:rsidR="009B153C" w:rsidRPr="00DA6BD2">
        <w:rPr>
          <w:rFonts w:asciiTheme="minorHAnsi" w:hAnsiTheme="minorHAnsi" w:cs="Calibri Light"/>
        </w:rPr>
        <w:t>°, de l'arrêté du gouvernement wallon du 9 juillet 1998 fixant les modèles de documents à utiliser et le montant de la rétribution à réclamer</w:t>
      </w:r>
      <w:r>
        <w:rPr>
          <w:rStyle w:val="Appelnotedebasdep"/>
          <w:rFonts w:asciiTheme="minorHAnsi" w:hAnsiTheme="minorHAnsi" w:cs="Calibri Light"/>
        </w:rPr>
        <w:footnoteReference w:id="127"/>
      </w:r>
      <w:r w:rsidR="00A04573">
        <w:rPr>
          <w:rFonts w:asciiTheme="minorHAnsi" w:hAnsiTheme="minorHAnsi" w:cs="Calibri Light"/>
        </w:rPr>
        <w:t>.</w:t>
      </w:r>
      <w:r w:rsidR="009B153C" w:rsidRPr="00DA6BD2">
        <w:rPr>
          <w:rFonts w:asciiTheme="minorHAnsi" w:hAnsiTheme="minorHAnsi" w:cs="Calibri Light"/>
        </w:rPr>
        <w:t xml:space="preserve"> </w:t>
      </w:r>
    </w:p>
    <w:tbl>
      <w:tblPr>
        <w:tblpPr w:leftFromText="141" w:rightFromText="141" w:vertAnchor="text" w:horzAnchor="margin" w:tblpY="93"/>
        <w:tblW w:w="0" w:type="auto"/>
        <w:tblCellMar>
          <w:left w:w="0" w:type="dxa"/>
          <w:right w:w="0" w:type="dxa"/>
        </w:tblCellMar>
        <w:tblLook w:val="04A0" w:firstRow="1" w:lastRow="0" w:firstColumn="1" w:lastColumn="0" w:noHBand="0" w:noVBand="1"/>
      </w:tblPr>
      <w:tblGrid>
        <w:gridCol w:w="6086"/>
        <w:gridCol w:w="2966"/>
      </w:tblGrid>
      <w:tr w:rsidR="00BD2CC8" w:rsidRPr="00453CB4" w14:paraId="6E42C8EB" w14:textId="77777777" w:rsidTr="00453CB4">
        <w:trPr>
          <w:trHeight w:val="298"/>
        </w:trPr>
        <w:tc>
          <w:tcPr>
            <w:tcW w:w="6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49682B" w14:textId="6C2A29A4" w:rsidR="00BD2CC8" w:rsidRPr="00453CB4" w:rsidRDefault="009B153C" w:rsidP="00BD2CC8">
            <w:pPr>
              <w:spacing w:before="120"/>
              <w:jc w:val="both"/>
              <w:textAlignment w:val="baseline"/>
              <w:rPr>
                <w:sz w:val="20"/>
                <w:szCs w:val="20"/>
              </w:rPr>
            </w:pPr>
            <w:r w:rsidRPr="00453CB4">
              <w:rPr>
                <w:rFonts w:asciiTheme="minorHAnsi" w:hAnsiTheme="minorHAnsi" w:cs="Calibri Light"/>
                <w:sz w:val="20"/>
                <w:szCs w:val="20"/>
              </w:rPr>
              <w:t xml:space="preserve">Ainsi, le </w:t>
            </w:r>
            <w:r w:rsidR="00763EDF" w:rsidRPr="00453CB4">
              <w:rPr>
                <w:rFonts w:asciiTheme="minorHAnsi" w:hAnsiTheme="minorHAnsi" w:cs="Calibri Light"/>
                <w:sz w:val="20"/>
                <w:szCs w:val="20"/>
              </w:rPr>
              <w:t xml:space="preserve">montant de la rétribution </w:t>
            </w:r>
            <w:r w:rsidRPr="00453CB4">
              <w:rPr>
                <w:rFonts w:asciiTheme="minorHAnsi" w:hAnsiTheme="minorHAnsi" w:cs="Calibri Light"/>
                <w:sz w:val="20"/>
                <w:szCs w:val="20"/>
              </w:rPr>
              <w:t xml:space="preserve">de la photocopie </w:t>
            </w:r>
            <w:r w:rsidR="00763EDF" w:rsidRPr="00453CB4">
              <w:rPr>
                <w:rFonts w:asciiTheme="minorHAnsi" w:hAnsiTheme="minorHAnsi" w:cs="Calibri Light"/>
                <w:sz w:val="20"/>
                <w:szCs w:val="20"/>
              </w:rPr>
              <w:t>par page est le suivant</w:t>
            </w:r>
            <w:r w:rsidRPr="00453CB4">
              <w:rPr>
                <w:rFonts w:asciiTheme="minorHAnsi" w:hAnsiTheme="minorHAnsi" w:cs="Calibri Light"/>
                <w:sz w:val="20"/>
                <w:szCs w:val="20"/>
              </w:rPr>
              <w:t xml:space="preserve"> :</w:t>
            </w:r>
          </w:p>
        </w:tc>
        <w:tc>
          <w:tcPr>
            <w:tcW w:w="2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E45D1" w14:textId="77777777" w:rsidR="00BD2CC8" w:rsidRPr="00453CB4" w:rsidRDefault="00BD2CC8" w:rsidP="00BD2CC8">
            <w:pPr>
              <w:spacing w:before="120"/>
              <w:jc w:val="center"/>
              <w:textAlignment w:val="baseline"/>
              <w:rPr>
                <w:sz w:val="20"/>
                <w:szCs w:val="20"/>
              </w:rPr>
            </w:pPr>
            <w:r w:rsidRPr="00453CB4">
              <w:rPr>
                <w:sz w:val="20"/>
                <w:szCs w:val="20"/>
              </w:rPr>
              <w:t>Prix de la photocopie par page</w:t>
            </w:r>
          </w:p>
        </w:tc>
      </w:tr>
      <w:tr w:rsidR="00BD2CC8" w:rsidRPr="00453CB4" w14:paraId="7C2E83C3" w14:textId="77777777" w:rsidTr="00B05546">
        <w:trPr>
          <w:trHeight w:hRule="exact" w:val="284"/>
        </w:trPr>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2BF35" w14:textId="77777777" w:rsidR="00BD2CC8" w:rsidRPr="00453CB4" w:rsidRDefault="00BD2CC8" w:rsidP="00B05546">
            <w:pPr>
              <w:pStyle w:val="Paragraphedeliste"/>
              <w:numPr>
                <w:ilvl w:val="0"/>
                <w:numId w:val="107"/>
              </w:numPr>
              <w:jc w:val="both"/>
              <w:textAlignment w:val="baseline"/>
              <w:rPr>
                <w:sz w:val="20"/>
                <w:szCs w:val="20"/>
              </w:rPr>
            </w:pPr>
            <w:proofErr w:type="gramStart"/>
            <w:r w:rsidRPr="00453CB4">
              <w:rPr>
                <w:sz w:val="20"/>
                <w:szCs w:val="20"/>
              </w:rPr>
              <w:t>du</w:t>
            </w:r>
            <w:proofErr w:type="gramEnd"/>
            <w:r w:rsidRPr="00453CB4">
              <w:rPr>
                <w:sz w:val="20"/>
                <w:szCs w:val="20"/>
              </w:rPr>
              <w:t xml:space="preserve"> papier blanc et impression noire format A4 :</w:t>
            </w:r>
          </w:p>
        </w:tc>
        <w:tc>
          <w:tcPr>
            <w:tcW w:w="2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E1405" w14:textId="77777777" w:rsidR="00BD2CC8" w:rsidRPr="00453CB4" w:rsidRDefault="00BD2CC8" w:rsidP="00B05546">
            <w:pPr>
              <w:jc w:val="right"/>
              <w:textAlignment w:val="baseline"/>
              <w:rPr>
                <w:sz w:val="20"/>
                <w:szCs w:val="20"/>
              </w:rPr>
            </w:pPr>
            <w:r w:rsidRPr="00453CB4">
              <w:rPr>
                <w:sz w:val="20"/>
                <w:szCs w:val="20"/>
              </w:rPr>
              <w:t>0,15 euros</w:t>
            </w:r>
          </w:p>
        </w:tc>
      </w:tr>
      <w:tr w:rsidR="00BD2CC8" w:rsidRPr="00453CB4" w14:paraId="40A34DC8" w14:textId="77777777" w:rsidTr="00B05546">
        <w:trPr>
          <w:trHeight w:hRule="exact" w:val="284"/>
        </w:trPr>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1DB82" w14:textId="77777777" w:rsidR="00BD2CC8" w:rsidRPr="00453CB4" w:rsidRDefault="00BD2CC8" w:rsidP="00B05546">
            <w:pPr>
              <w:pStyle w:val="Paragraphedeliste"/>
              <w:numPr>
                <w:ilvl w:val="0"/>
                <w:numId w:val="107"/>
              </w:numPr>
              <w:jc w:val="both"/>
              <w:textAlignment w:val="baseline"/>
              <w:rPr>
                <w:sz w:val="20"/>
                <w:szCs w:val="20"/>
              </w:rPr>
            </w:pPr>
            <w:proofErr w:type="gramStart"/>
            <w:r w:rsidRPr="00453CB4">
              <w:rPr>
                <w:sz w:val="20"/>
                <w:szCs w:val="20"/>
              </w:rPr>
              <w:t>du</w:t>
            </w:r>
            <w:proofErr w:type="gramEnd"/>
            <w:r w:rsidRPr="00453CB4">
              <w:rPr>
                <w:sz w:val="20"/>
                <w:szCs w:val="20"/>
              </w:rPr>
              <w:t xml:space="preserve"> papier blanc et impression noire format A3 :</w:t>
            </w:r>
          </w:p>
        </w:tc>
        <w:tc>
          <w:tcPr>
            <w:tcW w:w="2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ED3E1" w14:textId="77777777" w:rsidR="00BD2CC8" w:rsidRPr="00453CB4" w:rsidRDefault="00BD2CC8" w:rsidP="00B05546">
            <w:pPr>
              <w:jc w:val="right"/>
              <w:textAlignment w:val="baseline"/>
              <w:rPr>
                <w:sz w:val="20"/>
                <w:szCs w:val="20"/>
              </w:rPr>
            </w:pPr>
            <w:r w:rsidRPr="00453CB4">
              <w:rPr>
                <w:sz w:val="20"/>
                <w:szCs w:val="20"/>
              </w:rPr>
              <w:t>0,17 euros</w:t>
            </w:r>
          </w:p>
        </w:tc>
      </w:tr>
      <w:tr w:rsidR="00BD2CC8" w:rsidRPr="00453CB4" w14:paraId="54E99FDF" w14:textId="77777777" w:rsidTr="00453CB4">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BD2D6" w14:textId="77777777" w:rsidR="00BD2CC8" w:rsidRPr="00453CB4" w:rsidRDefault="00BD2CC8" w:rsidP="00B05546">
            <w:pPr>
              <w:pStyle w:val="Paragraphedeliste"/>
              <w:numPr>
                <w:ilvl w:val="0"/>
                <w:numId w:val="107"/>
              </w:numPr>
              <w:jc w:val="both"/>
              <w:textAlignment w:val="baseline"/>
              <w:rPr>
                <w:sz w:val="20"/>
                <w:szCs w:val="20"/>
              </w:rPr>
            </w:pPr>
            <w:proofErr w:type="gramStart"/>
            <w:r w:rsidRPr="00453CB4">
              <w:rPr>
                <w:sz w:val="20"/>
                <w:szCs w:val="20"/>
              </w:rPr>
              <w:t>du</w:t>
            </w:r>
            <w:proofErr w:type="gramEnd"/>
            <w:r w:rsidRPr="00453CB4">
              <w:rPr>
                <w:sz w:val="20"/>
                <w:szCs w:val="20"/>
              </w:rPr>
              <w:t xml:space="preserve"> papier blanc et impression en couleur format A4 :</w:t>
            </w:r>
          </w:p>
        </w:tc>
        <w:tc>
          <w:tcPr>
            <w:tcW w:w="2966" w:type="dxa"/>
            <w:tcBorders>
              <w:top w:val="nil"/>
              <w:left w:val="nil"/>
              <w:bottom w:val="single" w:sz="8" w:space="0" w:color="auto"/>
              <w:right w:val="single" w:sz="8" w:space="0" w:color="auto"/>
            </w:tcBorders>
            <w:tcMar>
              <w:top w:w="0" w:type="dxa"/>
              <w:left w:w="108" w:type="dxa"/>
              <w:bottom w:w="0" w:type="dxa"/>
              <w:right w:w="108" w:type="dxa"/>
            </w:tcMar>
            <w:hideMark/>
          </w:tcPr>
          <w:p w14:paraId="19044C23" w14:textId="77777777" w:rsidR="00BD2CC8" w:rsidRPr="00453CB4" w:rsidRDefault="00BD2CC8" w:rsidP="00B05546">
            <w:pPr>
              <w:jc w:val="right"/>
              <w:textAlignment w:val="baseline"/>
              <w:rPr>
                <w:sz w:val="20"/>
                <w:szCs w:val="20"/>
              </w:rPr>
            </w:pPr>
            <w:r w:rsidRPr="00453CB4">
              <w:rPr>
                <w:sz w:val="20"/>
                <w:szCs w:val="20"/>
              </w:rPr>
              <w:t>0,62 euros</w:t>
            </w:r>
          </w:p>
        </w:tc>
      </w:tr>
      <w:tr w:rsidR="00BD2CC8" w:rsidRPr="00453CB4" w14:paraId="7E903A68" w14:textId="77777777" w:rsidTr="00453CB4">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720F4" w14:textId="77777777" w:rsidR="00BD2CC8" w:rsidRPr="00453CB4" w:rsidRDefault="00BD2CC8" w:rsidP="00B05546">
            <w:pPr>
              <w:pStyle w:val="Paragraphedeliste"/>
              <w:numPr>
                <w:ilvl w:val="0"/>
                <w:numId w:val="107"/>
              </w:numPr>
              <w:jc w:val="both"/>
              <w:textAlignment w:val="baseline"/>
              <w:rPr>
                <w:sz w:val="20"/>
                <w:szCs w:val="20"/>
              </w:rPr>
            </w:pPr>
            <w:proofErr w:type="gramStart"/>
            <w:r w:rsidRPr="00453CB4">
              <w:rPr>
                <w:sz w:val="20"/>
                <w:szCs w:val="20"/>
              </w:rPr>
              <w:t>du</w:t>
            </w:r>
            <w:proofErr w:type="gramEnd"/>
            <w:r w:rsidRPr="00453CB4">
              <w:rPr>
                <w:sz w:val="20"/>
                <w:szCs w:val="20"/>
              </w:rPr>
              <w:t xml:space="preserve"> papier blanc et impression en couleur format A3 :</w:t>
            </w:r>
          </w:p>
        </w:tc>
        <w:tc>
          <w:tcPr>
            <w:tcW w:w="2966" w:type="dxa"/>
            <w:tcBorders>
              <w:top w:val="nil"/>
              <w:left w:val="nil"/>
              <w:bottom w:val="single" w:sz="8" w:space="0" w:color="auto"/>
              <w:right w:val="single" w:sz="8" w:space="0" w:color="auto"/>
            </w:tcBorders>
            <w:tcMar>
              <w:top w:w="0" w:type="dxa"/>
              <w:left w:w="108" w:type="dxa"/>
              <w:bottom w:w="0" w:type="dxa"/>
              <w:right w:w="108" w:type="dxa"/>
            </w:tcMar>
            <w:hideMark/>
          </w:tcPr>
          <w:p w14:paraId="23A7FC8C" w14:textId="77777777" w:rsidR="00BD2CC8" w:rsidRPr="00453CB4" w:rsidRDefault="00BD2CC8" w:rsidP="00B05546">
            <w:pPr>
              <w:jc w:val="right"/>
              <w:textAlignment w:val="baseline"/>
              <w:rPr>
                <w:sz w:val="20"/>
                <w:szCs w:val="20"/>
              </w:rPr>
            </w:pPr>
            <w:r w:rsidRPr="00453CB4">
              <w:rPr>
                <w:sz w:val="20"/>
                <w:szCs w:val="20"/>
              </w:rPr>
              <w:t>1,04 euros</w:t>
            </w:r>
          </w:p>
        </w:tc>
      </w:tr>
      <w:tr w:rsidR="00BD2CC8" w:rsidRPr="00453CB4" w14:paraId="1CC2BF6E" w14:textId="77777777" w:rsidTr="00453CB4">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DA6C8" w14:textId="77777777" w:rsidR="00BD2CC8" w:rsidRPr="00453CB4" w:rsidRDefault="00BD2CC8" w:rsidP="00B05546">
            <w:pPr>
              <w:pStyle w:val="Paragraphedeliste"/>
              <w:numPr>
                <w:ilvl w:val="0"/>
                <w:numId w:val="107"/>
              </w:numPr>
              <w:jc w:val="both"/>
              <w:textAlignment w:val="baseline"/>
              <w:rPr>
                <w:sz w:val="20"/>
                <w:szCs w:val="20"/>
              </w:rPr>
            </w:pPr>
            <w:proofErr w:type="gramStart"/>
            <w:r w:rsidRPr="00453CB4">
              <w:rPr>
                <w:sz w:val="20"/>
                <w:szCs w:val="20"/>
              </w:rPr>
              <w:t>d’un</w:t>
            </w:r>
            <w:proofErr w:type="gramEnd"/>
            <w:r w:rsidRPr="00453CB4">
              <w:rPr>
                <w:sz w:val="20"/>
                <w:szCs w:val="20"/>
              </w:rPr>
              <w:t xml:space="preserve"> plan sur papier blanc et impression noire de 90 cm sur 1 m :</w:t>
            </w:r>
          </w:p>
        </w:tc>
        <w:tc>
          <w:tcPr>
            <w:tcW w:w="2966" w:type="dxa"/>
            <w:tcBorders>
              <w:top w:val="nil"/>
              <w:left w:val="nil"/>
              <w:bottom w:val="single" w:sz="8" w:space="0" w:color="auto"/>
              <w:right w:val="single" w:sz="8" w:space="0" w:color="auto"/>
            </w:tcBorders>
            <w:tcMar>
              <w:top w:w="0" w:type="dxa"/>
              <w:left w:w="108" w:type="dxa"/>
              <w:bottom w:w="0" w:type="dxa"/>
              <w:right w:w="108" w:type="dxa"/>
            </w:tcMar>
            <w:hideMark/>
          </w:tcPr>
          <w:p w14:paraId="5294425D" w14:textId="77777777" w:rsidR="00BD2CC8" w:rsidRPr="00453CB4" w:rsidRDefault="00BD2CC8" w:rsidP="00B05546">
            <w:pPr>
              <w:jc w:val="right"/>
              <w:textAlignment w:val="baseline"/>
              <w:rPr>
                <w:sz w:val="20"/>
                <w:szCs w:val="20"/>
              </w:rPr>
            </w:pPr>
            <w:r w:rsidRPr="00453CB4">
              <w:rPr>
                <w:sz w:val="20"/>
                <w:szCs w:val="20"/>
              </w:rPr>
              <w:t>0,92 euros</w:t>
            </w:r>
          </w:p>
        </w:tc>
      </w:tr>
      <w:tr w:rsidR="00BD2CC8" w:rsidRPr="00453CB4" w14:paraId="12FE8273" w14:textId="77777777" w:rsidTr="00453CB4">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6AA09" w14:textId="77777777" w:rsidR="00BD2CC8" w:rsidRPr="00453CB4" w:rsidRDefault="00BD2CC8" w:rsidP="00B05546">
            <w:pPr>
              <w:pStyle w:val="Paragraphedeliste"/>
              <w:numPr>
                <w:ilvl w:val="0"/>
                <w:numId w:val="107"/>
              </w:numPr>
              <w:jc w:val="both"/>
              <w:textAlignment w:val="baseline"/>
              <w:rPr>
                <w:sz w:val="20"/>
                <w:szCs w:val="20"/>
              </w:rPr>
            </w:pPr>
            <w:proofErr w:type="gramStart"/>
            <w:r w:rsidRPr="00453CB4">
              <w:rPr>
                <w:sz w:val="20"/>
                <w:szCs w:val="20"/>
              </w:rPr>
              <w:t>frais</w:t>
            </w:r>
            <w:proofErr w:type="gramEnd"/>
            <w:r w:rsidRPr="00453CB4">
              <w:rPr>
                <w:sz w:val="20"/>
                <w:szCs w:val="20"/>
              </w:rPr>
              <w:t xml:space="preserve"> d'envoi</w:t>
            </w:r>
          </w:p>
        </w:tc>
        <w:tc>
          <w:tcPr>
            <w:tcW w:w="2966" w:type="dxa"/>
            <w:tcBorders>
              <w:top w:val="nil"/>
              <w:left w:val="nil"/>
              <w:bottom w:val="single" w:sz="8" w:space="0" w:color="auto"/>
              <w:right w:val="single" w:sz="8" w:space="0" w:color="auto"/>
            </w:tcBorders>
            <w:tcMar>
              <w:top w:w="0" w:type="dxa"/>
              <w:left w:w="108" w:type="dxa"/>
              <w:bottom w:w="0" w:type="dxa"/>
              <w:right w:w="108" w:type="dxa"/>
            </w:tcMar>
            <w:hideMark/>
          </w:tcPr>
          <w:p w14:paraId="2A261BA0" w14:textId="77777777" w:rsidR="00BD2CC8" w:rsidRPr="00453CB4" w:rsidRDefault="00BD2CC8" w:rsidP="00B05546">
            <w:pPr>
              <w:jc w:val="right"/>
              <w:textAlignment w:val="baseline"/>
              <w:rPr>
                <w:sz w:val="20"/>
                <w:szCs w:val="20"/>
              </w:rPr>
            </w:pPr>
            <w:proofErr w:type="gramStart"/>
            <w:r w:rsidRPr="00453CB4">
              <w:rPr>
                <w:sz w:val="20"/>
                <w:szCs w:val="20"/>
              </w:rPr>
              <w:t>conformément</w:t>
            </w:r>
            <w:proofErr w:type="gramEnd"/>
            <w:r w:rsidRPr="00453CB4">
              <w:rPr>
                <w:sz w:val="20"/>
                <w:szCs w:val="20"/>
              </w:rPr>
              <w:t xml:space="preserve"> aux tarifs postaux en vigueur</w:t>
            </w:r>
          </w:p>
        </w:tc>
      </w:tr>
    </w:tbl>
    <w:p w14:paraId="74A99CF9" w14:textId="77777777" w:rsidR="00763EDF" w:rsidRDefault="00763EDF" w:rsidP="00763EDF">
      <w:pPr>
        <w:spacing w:before="120"/>
        <w:jc w:val="both"/>
        <w:textAlignment w:val="baseline"/>
      </w:pPr>
      <w:r>
        <w:t>L’article 4 dudit arrêté précise que la rétribution est payée, par virement ou versement, préalablement à la transmission des copies demandées.</w:t>
      </w:r>
    </w:p>
    <w:p w14:paraId="23B7B23F" w14:textId="7FC70A69" w:rsidR="009B153C" w:rsidRDefault="009B153C" w:rsidP="00E063FD">
      <w:pPr>
        <w:tabs>
          <w:tab w:val="right" w:pos="8352"/>
        </w:tabs>
        <w:spacing w:before="120"/>
        <w:jc w:val="both"/>
        <w:textAlignment w:val="baseline"/>
        <w:rPr>
          <w:rFonts w:asciiTheme="minorHAnsi" w:hAnsiTheme="minorHAnsi" w:cs="Calibri Light"/>
        </w:rPr>
      </w:pPr>
      <w:r w:rsidRPr="00DA6BD2">
        <w:rPr>
          <w:rFonts w:asciiTheme="minorHAnsi" w:hAnsiTheme="minorHAnsi" w:cs="Calibri Light"/>
        </w:rPr>
        <w:t>En ce qui concerne les frais d'envoi, il y a lieu de se conformer aux tarifs postaux en vigueur</w:t>
      </w:r>
      <w:r w:rsidR="005E3BE0">
        <w:rPr>
          <w:rFonts w:asciiTheme="minorHAnsi" w:hAnsiTheme="minorHAnsi" w:cs="Calibri Light"/>
        </w:rPr>
        <w:t>.</w:t>
      </w:r>
    </w:p>
    <w:p w14:paraId="11E75AAE" w14:textId="77777777" w:rsidR="00EB535D" w:rsidRPr="00954869" w:rsidRDefault="00EB535D" w:rsidP="00E063FD">
      <w:pPr>
        <w:tabs>
          <w:tab w:val="right" w:pos="8352"/>
        </w:tabs>
        <w:spacing w:before="120"/>
        <w:jc w:val="both"/>
        <w:textAlignment w:val="baseline"/>
        <w:rPr>
          <w:rFonts w:asciiTheme="minorHAnsi" w:hAnsiTheme="minorHAnsi" w:cs="Calibri Light"/>
          <w:sz w:val="2"/>
          <w:szCs w:val="2"/>
        </w:rPr>
      </w:pPr>
    </w:p>
    <w:p w14:paraId="593DD2B5" w14:textId="01E266F2" w:rsidR="00925E8F" w:rsidRDefault="004672E1" w:rsidP="00256E9F">
      <w:pPr>
        <w:pStyle w:val="Sam3"/>
      </w:pPr>
      <w:bookmarkStart w:id="4940" w:name="_Toc74557719"/>
      <w:bookmarkStart w:id="4941" w:name="_Toc512525471"/>
      <w:bookmarkStart w:id="4942" w:name="_Toc515896784"/>
      <w:r>
        <w:t xml:space="preserve">VII.1.3 </w:t>
      </w:r>
      <w:r w:rsidR="009B153C" w:rsidRPr="00DA6BD2">
        <w:t xml:space="preserve">040/361-03 : </w:t>
      </w:r>
      <w:bookmarkStart w:id="4943" w:name="_Hlk100058285"/>
      <w:r w:rsidR="009B153C" w:rsidRPr="00DA6BD2">
        <w:t xml:space="preserve">Délivrance d'un permis d'urbanisation </w:t>
      </w:r>
      <w:bookmarkEnd w:id="4943"/>
      <w:r w:rsidR="009B153C" w:rsidRPr="00DA6BD2">
        <w:t>(anciennement permis de lotir)</w:t>
      </w:r>
      <w:bookmarkEnd w:id="4940"/>
      <w:r w:rsidR="009B153C" w:rsidRPr="00DA6BD2">
        <w:t xml:space="preserve"> </w:t>
      </w:r>
    </w:p>
    <w:p w14:paraId="33C94FF5" w14:textId="245981C3" w:rsidR="009B153C" w:rsidRPr="00E9189F" w:rsidRDefault="004845EF" w:rsidP="00E063FD">
      <w:r>
        <w:t>Redevance</w:t>
      </w:r>
      <w:r w:rsidR="00925E8F" w:rsidRPr="003F0B7B">
        <w:t>.</w:t>
      </w:r>
      <w:bookmarkEnd w:id="4941"/>
      <w:bookmarkEnd w:id="4942"/>
    </w:p>
    <w:p w14:paraId="1B667EE2" w14:textId="1E0C2378" w:rsidR="004845EF" w:rsidRDefault="004845EF" w:rsidP="004845EF">
      <w:pPr>
        <w:spacing w:before="120"/>
        <w:jc w:val="both"/>
        <w:textAlignment w:val="baseline"/>
        <w:rPr>
          <w:rFonts w:asciiTheme="minorHAnsi" w:hAnsiTheme="minorHAnsi" w:cs="Calibri Light"/>
        </w:rPr>
      </w:pPr>
      <w:r>
        <w:rPr>
          <w:rFonts w:asciiTheme="minorHAnsi" w:hAnsiTheme="minorHAnsi" w:cs="Calibri Light"/>
        </w:rPr>
        <w:t>Outre une taxe ou une redevance pour la délivrance d'un document administratif sans caractère répétitif (</w:t>
      </w:r>
      <w:r w:rsidR="00243635">
        <w:rPr>
          <w:rFonts w:asciiTheme="minorHAnsi" w:hAnsiTheme="minorHAnsi" w:cs="Calibri Light"/>
        </w:rPr>
        <w:t>30</w:t>
      </w:r>
      <w:r>
        <w:rPr>
          <w:rFonts w:asciiTheme="minorHAnsi" w:hAnsiTheme="minorHAnsi" w:cs="Calibri Light"/>
        </w:rPr>
        <w:t>,00 euros), la commune peut prévoir une redevance pour récupérer le coût réel des travaux administratifs effectués pour l’instruction du dossier.</w:t>
      </w:r>
    </w:p>
    <w:p w14:paraId="461E6E6E" w14:textId="52B96FBC" w:rsidR="004845EF" w:rsidRDefault="004845EF" w:rsidP="004845EF">
      <w:pPr>
        <w:spacing w:before="120"/>
        <w:jc w:val="both"/>
        <w:textAlignment w:val="baseline"/>
        <w:rPr>
          <w:rFonts w:asciiTheme="minorHAnsi" w:hAnsiTheme="minorHAnsi" w:cs="Calibri Light"/>
        </w:rPr>
      </w:pPr>
      <w:r>
        <w:rPr>
          <w:rFonts w:asciiTheme="minorHAnsi" w:hAnsiTheme="minorHAnsi" w:cs="Calibri Light"/>
        </w:rPr>
        <w:t>Lorsque la commune établit une redevance pour l’instruction du dossier en fixant un taux forfaitaire en lieu et place d’un décompte sur base des frais réels, le taux maximum recommandé est :</w:t>
      </w:r>
    </w:p>
    <w:p w14:paraId="27F41E87" w14:textId="10C9EA68" w:rsidR="00EB535D" w:rsidRPr="008D7EB7" w:rsidRDefault="002B5C7C" w:rsidP="008D7EB7">
      <w:pPr>
        <w:pStyle w:val="Paragraphedeliste"/>
        <w:numPr>
          <w:ilvl w:val="0"/>
          <w:numId w:val="106"/>
        </w:numPr>
        <w:tabs>
          <w:tab w:val="left" w:pos="-148"/>
        </w:tabs>
        <w:spacing w:before="120"/>
        <w:jc w:val="both"/>
        <w:textAlignment w:val="baseline"/>
        <w:rPr>
          <w:rFonts w:asciiTheme="minorHAnsi" w:hAnsiTheme="minorHAnsi" w:cs="Calibri Light"/>
        </w:rPr>
      </w:pPr>
      <w:r w:rsidRPr="008D7EB7">
        <w:rPr>
          <w:rFonts w:asciiTheme="minorHAnsi" w:hAnsiTheme="minorHAnsi" w:cs="Calibri Light"/>
        </w:rPr>
        <w:t>200</w:t>
      </w:r>
      <w:r w:rsidR="00C97323"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euros par logement ou autre affectation dans les immeubles bâtis à créer</w:t>
      </w:r>
      <w:r w:rsidR="00EB535D" w:rsidRPr="008D7EB7">
        <w:rPr>
          <w:rFonts w:asciiTheme="minorHAnsi" w:hAnsiTheme="minorHAnsi" w:cs="Calibri Light"/>
        </w:rPr>
        <w:t> ;</w:t>
      </w:r>
      <w:r w:rsidR="009B153C" w:rsidRPr="008D7EB7">
        <w:rPr>
          <w:rFonts w:asciiTheme="minorHAnsi" w:hAnsiTheme="minorHAnsi" w:cs="Calibri Light"/>
        </w:rPr>
        <w:t xml:space="preserve"> </w:t>
      </w:r>
    </w:p>
    <w:p w14:paraId="0F8C172E" w14:textId="5EBC7550" w:rsidR="009B153C" w:rsidRPr="008D7EB7" w:rsidRDefault="002B5C7C" w:rsidP="008D7EB7">
      <w:pPr>
        <w:pStyle w:val="Paragraphedeliste"/>
        <w:numPr>
          <w:ilvl w:val="0"/>
          <w:numId w:val="106"/>
        </w:numPr>
        <w:tabs>
          <w:tab w:val="left" w:pos="-148"/>
        </w:tabs>
        <w:spacing w:before="120"/>
        <w:jc w:val="both"/>
        <w:textAlignment w:val="baseline"/>
        <w:rPr>
          <w:rFonts w:asciiTheme="minorHAnsi" w:hAnsiTheme="minorHAnsi" w:cs="Calibri Light"/>
        </w:rPr>
      </w:pPr>
      <w:r w:rsidRPr="008D7EB7">
        <w:rPr>
          <w:rFonts w:asciiTheme="minorHAnsi" w:hAnsiTheme="minorHAnsi" w:cs="Calibri Light"/>
        </w:rPr>
        <w:t>200</w:t>
      </w:r>
      <w:r w:rsidR="00C97323" w:rsidRPr="008D7EB7">
        <w:rPr>
          <w:rFonts w:asciiTheme="minorHAnsi" w:hAnsiTheme="minorHAnsi" w:cs="Calibri Light"/>
        </w:rPr>
        <w:t>,00</w:t>
      </w:r>
      <w:r w:rsidRPr="008D7EB7">
        <w:rPr>
          <w:rFonts w:asciiTheme="minorHAnsi" w:hAnsiTheme="minorHAnsi" w:cs="Calibri Light"/>
        </w:rPr>
        <w:t xml:space="preserve"> euros </w:t>
      </w:r>
      <w:r w:rsidR="009B153C" w:rsidRPr="008D7EB7">
        <w:rPr>
          <w:rFonts w:asciiTheme="minorHAnsi" w:hAnsiTheme="minorHAnsi" w:cs="Calibri Light"/>
        </w:rPr>
        <w:t>par lot pour les anciens permis de lotir.</w:t>
      </w:r>
    </w:p>
    <w:p w14:paraId="65E9EFBB" w14:textId="178B3DF7" w:rsidR="00EB535D"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Actuellement la </w:t>
      </w:r>
      <w:r w:rsidRPr="000E1CF9">
        <w:rPr>
          <w:rFonts w:asciiTheme="minorHAnsi" w:hAnsiTheme="minorHAnsi" w:cs="Calibri Light"/>
        </w:rPr>
        <w:t xml:space="preserve">réponse à la question de savoir s’il convient </w:t>
      </w:r>
      <w:r w:rsidR="00564360" w:rsidRPr="006B47EE">
        <w:rPr>
          <w:rFonts w:cs="Calibri Light"/>
        </w:rPr>
        <w:t>d’appliquer ce montant</w:t>
      </w:r>
      <w:r w:rsidR="00564360" w:rsidRPr="006B47EE">
        <w:rPr>
          <w:rFonts w:asciiTheme="minorHAnsi" w:hAnsiTheme="minorHAnsi" w:cs="Calibri Light"/>
        </w:rPr>
        <w:t xml:space="preserve"> </w:t>
      </w:r>
      <w:r w:rsidRPr="006B47EE">
        <w:rPr>
          <w:rFonts w:asciiTheme="minorHAnsi" w:hAnsiTheme="minorHAnsi" w:cs="Calibri Light"/>
        </w:rPr>
        <w:t xml:space="preserve">par </w:t>
      </w:r>
      <w:r w:rsidRPr="000E1CF9">
        <w:rPr>
          <w:rFonts w:asciiTheme="minorHAnsi" w:hAnsiTheme="minorHAnsi" w:cs="Calibri Light"/>
        </w:rPr>
        <w:t>lot ou par logement n’est pas tranchée en</w:t>
      </w:r>
      <w:r w:rsidRPr="00DA6BD2">
        <w:rPr>
          <w:rFonts w:asciiTheme="minorHAnsi" w:hAnsiTheme="minorHAnsi" w:cs="Calibri Light"/>
        </w:rPr>
        <w:t xml:space="preserve"> vertu des dispositions qui régissent l’urbanisme car les limites de lots ne sont qu’indicatives et un seul lot peut recevoir plusieurs logements</w:t>
      </w:r>
      <w:r w:rsidR="00A04573">
        <w:rPr>
          <w:rFonts w:asciiTheme="minorHAnsi" w:hAnsiTheme="minorHAnsi" w:cs="Calibri Light"/>
        </w:rPr>
        <w:t xml:space="preserve">. </w:t>
      </w:r>
    </w:p>
    <w:p w14:paraId="0C61FF07" w14:textId="53D4F1AA" w:rsidR="009B153C" w:rsidRPr="00DA6BD2" w:rsidRDefault="00A04573" w:rsidP="00E063FD">
      <w:pPr>
        <w:spacing w:before="120"/>
        <w:jc w:val="both"/>
        <w:textAlignment w:val="baseline"/>
        <w:rPr>
          <w:rFonts w:asciiTheme="minorHAnsi" w:hAnsiTheme="minorHAnsi" w:cs="Calibri Light"/>
        </w:rPr>
      </w:pPr>
      <w:r>
        <w:rPr>
          <w:rFonts w:asciiTheme="minorHAnsi" w:hAnsiTheme="minorHAnsi" w:cs="Calibri Light"/>
        </w:rPr>
        <w:t>N</w:t>
      </w:r>
      <w:r w:rsidR="009B153C" w:rsidRPr="00DA6BD2">
        <w:rPr>
          <w:rFonts w:asciiTheme="minorHAnsi" w:hAnsiTheme="minorHAnsi" w:cs="Calibri Light"/>
        </w:rPr>
        <w:t>éanmoins</w:t>
      </w:r>
      <w:r>
        <w:rPr>
          <w:rFonts w:asciiTheme="minorHAnsi" w:hAnsiTheme="minorHAnsi" w:cs="Calibri Light"/>
        </w:rPr>
        <w:t>,</w:t>
      </w:r>
      <w:r w:rsidR="009B153C" w:rsidRPr="00DA6BD2">
        <w:rPr>
          <w:rFonts w:asciiTheme="minorHAnsi" w:hAnsiTheme="minorHAnsi" w:cs="Calibri Light"/>
        </w:rPr>
        <w:t xml:space="preserve"> je vous recommande, comme les années précédentes, </w:t>
      </w:r>
      <w:r w:rsidR="009B153C" w:rsidRPr="00C97323">
        <w:rPr>
          <w:rFonts w:asciiTheme="minorHAnsi" w:hAnsiTheme="minorHAnsi" w:cs="Calibri Light"/>
        </w:rPr>
        <w:t>de prévoir que </w:t>
      </w:r>
      <w:r w:rsidR="00681510" w:rsidRPr="00C97323">
        <w:rPr>
          <w:rFonts w:asciiTheme="minorHAnsi" w:hAnsiTheme="minorHAnsi" w:cs="Calibri Light"/>
        </w:rPr>
        <w:t xml:space="preserve">la </w:t>
      </w:r>
      <w:r w:rsidR="004845EF">
        <w:rPr>
          <w:rFonts w:asciiTheme="minorHAnsi" w:hAnsiTheme="minorHAnsi" w:cs="Calibri Light"/>
        </w:rPr>
        <w:t>redevance</w:t>
      </w:r>
      <w:r w:rsidR="004845EF" w:rsidRPr="00C97323">
        <w:rPr>
          <w:rFonts w:asciiTheme="minorHAnsi" w:hAnsiTheme="minorHAnsi" w:cs="Calibri Light"/>
        </w:rPr>
        <w:t xml:space="preserve"> </w:t>
      </w:r>
      <w:r w:rsidR="00681510" w:rsidRPr="00C97323">
        <w:rPr>
          <w:rFonts w:asciiTheme="minorHAnsi" w:hAnsiTheme="minorHAnsi" w:cs="Calibri Light"/>
        </w:rPr>
        <w:t>est</w:t>
      </w:r>
      <w:r w:rsidR="00C97323" w:rsidRPr="008D7EB7">
        <w:rPr>
          <w:rFonts w:asciiTheme="minorHAnsi" w:hAnsiTheme="minorHAnsi" w:cs="Calibri Light"/>
        </w:rPr>
        <w:t> :</w:t>
      </w:r>
    </w:p>
    <w:p w14:paraId="268175AD" w14:textId="43044F3F" w:rsidR="009B153C" w:rsidRPr="008D7EB7" w:rsidRDefault="009B153C" w:rsidP="008D7EB7">
      <w:pPr>
        <w:pStyle w:val="Paragraphedeliste"/>
        <w:numPr>
          <w:ilvl w:val="0"/>
          <w:numId w:val="106"/>
        </w:numPr>
        <w:tabs>
          <w:tab w:val="left" w:pos="-148"/>
        </w:tabs>
        <w:spacing w:before="120"/>
        <w:jc w:val="both"/>
        <w:textAlignment w:val="baseline"/>
        <w:rPr>
          <w:rFonts w:asciiTheme="minorHAnsi" w:hAnsiTheme="minorHAnsi" w:cs="Calibri Light"/>
        </w:rPr>
      </w:pPr>
      <w:proofErr w:type="gramStart"/>
      <w:r w:rsidRPr="008D7EB7">
        <w:rPr>
          <w:rFonts w:asciiTheme="minorHAnsi" w:hAnsiTheme="minorHAnsi" w:cs="Calibri Light"/>
        </w:rPr>
        <w:t>due</w:t>
      </w:r>
      <w:proofErr w:type="gramEnd"/>
      <w:r w:rsidRPr="008D7EB7">
        <w:rPr>
          <w:rFonts w:asciiTheme="minorHAnsi" w:hAnsiTheme="minorHAnsi" w:cs="Calibri Light"/>
        </w:rPr>
        <w:t xml:space="preserve"> pour chacun des lots/logements créés par la division de la parcelle</w:t>
      </w:r>
      <w:r w:rsidR="00961214">
        <w:rPr>
          <w:rFonts w:asciiTheme="minorHAnsi" w:hAnsiTheme="minorHAnsi" w:cs="Calibri Light"/>
        </w:rPr>
        <w:t> ;</w:t>
      </w:r>
      <w:r w:rsidRPr="008D7EB7">
        <w:rPr>
          <w:rFonts w:asciiTheme="minorHAnsi" w:hAnsiTheme="minorHAnsi" w:cs="Calibri Light"/>
        </w:rPr>
        <w:t xml:space="preserve"> </w:t>
      </w:r>
    </w:p>
    <w:p w14:paraId="4F8C4849" w14:textId="0F63D49B" w:rsidR="009B153C" w:rsidRPr="008D7EB7" w:rsidRDefault="009B153C" w:rsidP="008D7EB7">
      <w:pPr>
        <w:pStyle w:val="Paragraphedeliste"/>
        <w:numPr>
          <w:ilvl w:val="0"/>
          <w:numId w:val="106"/>
        </w:numPr>
        <w:tabs>
          <w:tab w:val="left" w:pos="-148"/>
        </w:tabs>
        <w:spacing w:before="120"/>
        <w:jc w:val="both"/>
        <w:textAlignment w:val="baseline"/>
        <w:rPr>
          <w:rFonts w:asciiTheme="minorHAnsi" w:hAnsiTheme="minorHAnsi" w:cs="Calibri Light"/>
        </w:rPr>
      </w:pPr>
      <w:proofErr w:type="gramStart"/>
      <w:r w:rsidRPr="008D7EB7">
        <w:rPr>
          <w:rFonts w:asciiTheme="minorHAnsi" w:hAnsiTheme="minorHAnsi" w:cs="Calibri Light"/>
        </w:rPr>
        <w:t>due</w:t>
      </w:r>
      <w:proofErr w:type="gramEnd"/>
      <w:r w:rsidRPr="008D7EB7">
        <w:rPr>
          <w:rFonts w:asciiTheme="minorHAnsi" w:hAnsiTheme="minorHAnsi" w:cs="Calibri Light"/>
        </w:rPr>
        <w:t xml:space="preserve"> uniquement sur la délivrance et ne peut pas concerner la demande</w:t>
      </w:r>
      <w:r w:rsidR="00961214">
        <w:rPr>
          <w:rFonts w:asciiTheme="minorHAnsi" w:hAnsiTheme="minorHAnsi" w:cs="Calibri Light"/>
        </w:rPr>
        <w:t> ;</w:t>
      </w:r>
    </w:p>
    <w:p w14:paraId="53BDFB93" w14:textId="036486C1" w:rsidR="009B153C" w:rsidRPr="008D7EB7" w:rsidRDefault="009B153C" w:rsidP="008D7EB7">
      <w:pPr>
        <w:pStyle w:val="Paragraphedeliste"/>
        <w:numPr>
          <w:ilvl w:val="0"/>
          <w:numId w:val="106"/>
        </w:numPr>
        <w:tabs>
          <w:tab w:val="left" w:pos="-148"/>
        </w:tabs>
        <w:spacing w:before="120"/>
        <w:jc w:val="both"/>
        <w:textAlignment w:val="baseline"/>
        <w:rPr>
          <w:rFonts w:asciiTheme="minorHAnsi" w:hAnsiTheme="minorHAnsi" w:cs="Calibri Light"/>
        </w:rPr>
      </w:pPr>
      <w:proofErr w:type="gramStart"/>
      <w:r w:rsidRPr="008D7EB7">
        <w:rPr>
          <w:rFonts w:asciiTheme="minorHAnsi" w:hAnsiTheme="minorHAnsi" w:cs="Calibri Light"/>
        </w:rPr>
        <w:t>est</w:t>
      </w:r>
      <w:proofErr w:type="gramEnd"/>
      <w:r w:rsidRPr="008D7EB7">
        <w:rPr>
          <w:rFonts w:asciiTheme="minorHAnsi" w:hAnsiTheme="minorHAnsi" w:cs="Calibri Light"/>
        </w:rPr>
        <w:t xml:space="preserve"> également due pour la modification d'un « ancien » permis de lotir.</w:t>
      </w:r>
    </w:p>
    <w:p w14:paraId="3A691530" w14:textId="7EDD4C5F" w:rsidR="009B153C" w:rsidRDefault="00B762D5" w:rsidP="00E063FD">
      <w:pPr>
        <w:spacing w:before="120"/>
        <w:jc w:val="both"/>
        <w:textAlignment w:val="baseline"/>
        <w:rPr>
          <w:rFonts w:asciiTheme="minorHAnsi" w:hAnsiTheme="minorHAnsi" w:cs="Calibri Light"/>
        </w:rPr>
      </w:pPr>
      <w:r>
        <w:rPr>
          <w:rFonts w:asciiTheme="minorHAnsi" w:hAnsiTheme="minorHAnsi" w:cs="Calibri Light"/>
        </w:rPr>
        <w:t>P</w:t>
      </w:r>
      <w:r w:rsidR="009B153C" w:rsidRPr="00DA6BD2">
        <w:rPr>
          <w:rFonts w:asciiTheme="minorHAnsi" w:hAnsiTheme="minorHAnsi" w:cs="Calibri Light"/>
        </w:rPr>
        <w:t>our pallier les frais occasionnés par le traitement du dossier, l</w:t>
      </w:r>
      <w:r w:rsidR="00681510">
        <w:rPr>
          <w:rFonts w:asciiTheme="minorHAnsi" w:hAnsiTheme="minorHAnsi" w:cs="Calibri Light"/>
        </w:rPr>
        <w:t>e Conseil communal</w:t>
      </w:r>
      <w:r w:rsidR="009B153C" w:rsidRPr="00DA6BD2">
        <w:rPr>
          <w:rFonts w:asciiTheme="minorHAnsi" w:hAnsiTheme="minorHAnsi" w:cs="Calibri Light"/>
        </w:rPr>
        <w:t xml:space="preserve"> peut toujours prévoir une redevance pour récupérer le coût des travaux administratifs effectués (coûts réels).</w:t>
      </w:r>
    </w:p>
    <w:p w14:paraId="1E9F4C2A" w14:textId="2B47E4CB" w:rsidR="004936B8" w:rsidRDefault="00243635" w:rsidP="004936B8">
      <w:pPr>
        <w:tabs>
          <w:tab w:val="right" w:pos="8352"/>
        </w:tabs>
        <w:spacing w:before="120"/>
        <w:jc w:val="both"/>
        <w:textAlignment w:val="baseline"/>
        <w:rPr>
          <w:rFonts w:asciiTheme="minorHAnsi" w:hAnsiTheme="minorHAnsi" w:cs="Calibri Light"/>
        </w:rPr>
      </w:pPr>
      <w:r>
        <w:rPr>
          <w:rFonts w:asciiTheme="minorHAnsi" w:hAnsiTheme="minorHAnsi" w:cs="Calibri Light"/>
        </w:rPr>
        <w:t>Ainsi, d</w:t>
      </w:r>
      <w:r w:rsidR="004936B8" w:rsidRPr="008D7EB7">
        <w:rPr>
          <w:rFonts w:asciiTheme="minorHAnsi" w:hAnsiTheme="minorHAnsi" w:cs="Calibri Light"/>
        </w:rPr>
        <w:t xml:space="preserve">ans l’hypothèse où le règlement-redevance prévoit des forfaits, on peut toujours y prévoir une disposition qui précise que si le traitement du dossier entraîne une dépense supérieure au taux forfaitaire prévu pour la catégorie concernée, le coût sera facturé sur base d'un décompte des frais réels. </w:t>
      </w:r>
      <w:r w:rsidR="001F22EA" w:rsidRPr="008D7EB7">
        <w:rPr>
          <w:rFonts w:asciiTheme="minorHAnsi" w:hAnsiTheme="minorHAnsi" w:cs="Calibri Light"/>
        </w:rPr>
        <w:t>À</w:t>
      </w:r>
      <w:r w:rsidR="004936B8" w:rsidRPr="008D7EB7">
        <w:rPr>
          <w:rFonts w:asciiTheme="minorHAnsi" w:hAnsiTheme="minorHAnsi" w:cs="Calibri Light"/>
        </w:rPr>
        <w:t xml:space="preserve"> défaut de prévoir une disposition en ce sens, la commune serait dans l'impossibilité de se rémunérer correctement et de récupérer la différence entre le coût réel et le forfait établi.</w:t>
      </w:r>
    </w:p>
    <w:p w14:paraId="6C5EA3A8" w14:textId="0AC7E335"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 </w:t>
      </w:r>
      <w:proofErr w:type="spellStart"/>
      <w:r w:rsidRPr="00DA6BD2">
        <w:rPr>
          <w:rFonts w:asciiTheme="minorHAnsi" w:hAnsiTheme="minorHAnsi" w:cs="Calibri Light"/>
        </w:rPr>
        <w:t>CoDT</w:t>
      </w:r>
      <w:proofErr w:type="spellEnd"/>
      <w:r w:rsidRPr="00DA6BD2">
        <w:rPr>
          <w:rFonts w:asciiTheme="minorHAnsi" w:hAnsiTheme="minorHAnsi" w:cs="Calibri Light"/>
        </w:rPr>
        <w:t xml:space="preserve"> étant entré en vigueur le 1</w:t>
      </w:r>
      <w:r w:rsidRPr="00DA6BD2">
        <w:rPr>
          <w:rFonts w:asciiTheme="minorHAnsi" w:hAnsiTheme="minorHAnsi" w:cs="Calibri Light"/>
          <w:vertAlign w:val="superscript"/>
        </w:rPr>
        <w:t>er</w:t>
      </w:r>
      <w:r w:rsidRPr="00DA6BD2">
        <w:rPr>
          <w:rFonts w:asciiTheme="minorHAnsi" w:hAnsiTheme="minorHAnsi" w:cs="Calibri Light"/>
        </w:rPr>
        <w:t xml:space="preserve"> juin 2017, il est conseillé de vérifier si les règlements ne doivent pas être adaptés afin de pouvoir viser des situations nées sous cette nouvelle législation.</w:t>
      </w:r>
    </w:p>
    <w:p w14:paraId="3374E951" w14:textId="77777777" w:rsidR="00681510" w:rsidRPr="00DA6BD2" w:rsidRDefault="00681510" w:rsidP="00E063FD">
      <w:pPr>
        <w:spacing w:before="120"/>
        <w:jc w:val="both"/>
        <w:textAlignment w:val="baseline"/>
        <w:rPr>
          <w:rFonts w:asciiTheme="minorHAnsi" w:hAnsiTheme="minorHAnsi" w:cs="Calibri Light"/>
        </w:rPr>
      </w:pPr>
    </w:p>
    <w:p w14:paraId="05B96057" w14:textId="6C591D01" w:rsidR="00117F4D" w:rsidRDefault="004672E1" w:rsidP="00256E9F">
      <w:pPr>
        <w:pStyle w:val="Sam3"/>
      </w:pPr>
      <w:bookmarkStart w:id="4944" w:name="_Toc74557720"/>
      <w:bookmarkStart w:id="4945" w:name="_Toc512525472"/>
      <w:bookmarkStart w:id="4946" w:name="_Toc515896785"/>
      <w:r>
        <w:t xml:space="preserve">VII.1.4 </w:t>
      </w:r>
      <w:r w:rsidR="009B153C" w:rsidRPr="00DA6BD2">
        <w:t>040/361-04 : Délivrance de documents administratifs</w:t>
      </w:r>
      <w:bookmarkEnd w:id="4944"/>
      <w:r w:rsidR="009B153C" w:rsidRPr="00DA6BD2">
        <w:t xml:space="preserve"> </w:t>
      </w:r>
    </w:p>
    <w:p w14:paraId="33B1AA45" w14:textId="75CE8D85" w:rsidR="009B153C" w:rsidRPr="00787482" w:rsidRDefault="00117F4D" w:rsidP="00E063FD">
      <w:r>
        <w:t>T</w:t>
      </w:r>
      <w:r w:rsidR="009B153C" w:rsidRPr="00A03E6A">
        <w:t>axe indirecte ou redevance</w:t>
      </w:r>
      <w:r w:rsidR="009B153C" w:rsidRPr="003A367B">
        <w:t xml:space="preserve"> - Modèle disponible</w:t>
      </w:r>
      <w:bookmarkEnd w:id="4945"/>
      <w:bookmarkEnd w:id="4946"/>
      <w:r>
        <w:t>.</w:t>
      </w:r>
    </w:p>
    <w:p w14:paraId="41DDE98A"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Concernant cette matière, la commune choisit librement le système de la taxe ou de la redevance</w:t>
      </w:r>
      <w:r w:rsidR="00E110E1">
        <w:rPr>
          <w:rFonts w:asciiTheme="minorHAnsi" w:hAnsiTheme="minorHAnsi" w:cs="Calibri Light"/>
        </w:rPr>
        <w:t>.</w:t>
      </w:r>
    </w:p>
    <w:p w14:paraId="0796C11A" w14:textId="1A33C5A7" w:rsidR="009764F6" w:rsidRDefault="009B153C" w:rsidP="00E063FD">
      <w:pPr>
        <w:spacing w:before="120"/>
        <w:jc w:val="both"/>
        <w:textAlignment w:val="baseline"/>
        <w:rPr>
          <w:rFonts w:asciiTheme="minorHAnsi" w:hAnsiTheme="minorHAnsi" w:cs="Calibri Light"/>
        </w:rPr>
      </w:pPr>
      <w:r w:rsidRPr="00C97323">
        <w:rPr>
          <w:rFonts w:asciiTheme="minorHAnsi" w:hAnsiTheme="minorHAnsi" w:cs="Calibri Light"/>
        </w:rPr>
        <w:t xml:space="preserve">Pour la délivrance de pièces administratives, le taux maximum recommandé est fixé à </w:t>
      </w:r>
      <w:r w:rsidR="00197051" w:rsidRPr="008D7EB7">
        <w:rPr>
          <w:rFonts w:asciiTheme="minorHAnsi" w:hAnsiTheme="minorHAnsi" w:cs="Calibri Light"/>
        </w:rPr>
        <w:t>20</w:t>
      </w:r>
      <w:r w:rsidR="00C97323" w:rsidRPr="008D7EB7">
        <w:rPr>
          <w:rFonts w:asciiTheme="minorHAnsi" w:hAnsiTheme="minorHAnsi" w:cs="Calibri Light"/>
        </w:rPr>
        <w:t>,00</w:t>
      </w:r>
      <w:r w:rsidR="00197051" w:rsidRPr="008D7EB7">
        <w:rPr>
          <w:rFonts w:asciiTheme="minorHAnsi" w:hAnsiTheme="minorHAnsi" w:cs="Calibri Light"/>
        </w:rPr>
        <w:t xml:space="preserve"> euros</w:t>
      </w:r>
      <w:r w:rsidRPr="00C97323">
        <w:rPr>
          <w:rFonts w:asciiTheme="minorHAnsi" w:hAnsiTheme="minorHAnsi" w:cs="Calibri Light"/>
        </w:rPr>
        <w:t>.</w:t>
      </w:r>
      <w:r w:rsidRPr="00DA6BD2">
        <w:rPr>
          <w:rFonts w:asciiTheme="minorHAnsi" w:hAnsiTheme="minorHAnsi" w:cs="Calibri Light"/>
        </w:rPr>
        <w:t xml:space="preserve"> </w:t>
      </w:r>
    </w:p>
    <w:p w14:paraId="7955301E" w14:textId="00211804" w:rsidR="009B153C" w:rsidRPr="00DA6BD2" w:rsidRDefault="009B153C" w:rsidP="00E063FD">
      <w:pPr>
        <w:spacing w:before="120"/>
        <w:jc w:val="both"/>
        <w:textAlignment w:val="baseline"/>
        <w:rPr>
          <w:rFonts w:asciiTheme="minorHAnsi" w:hAnsiTheme="minorHAnsi" w:cs="Calibri Light"/>
        </w:rPr>
      </w:pPr>
      <w:r w:rsidRPr="00C97323">
        <w:rPr>
          <w:rFonts w:asciiTheme="minorHAnsi" w:hAnsiTheme="minorHAnsi" w:cs="Calibri Light"/>
        </w:rPr>
        <w:t xml:space="preserve">Toutefois, pour les documents sans caractère répétitif (cartes d'identité, passeports, permis de conduire, naturalisation, permis de location, </w:t>
      </w:r>
      <w:r w:rsidR="00560CBF">
        <w:rPr>
          <w:rFonts w:asciiTheme="minorHAnsi" w:hAnsiTheme="minorHAnsi" w:cs="Calibri Light"/>
        </w:rPr>
        <w:t xml:space="preserve">extrait du fichier central pour la détention d’un animal de compagnie, </w:t>
      </w:r>
      <w:r w:rsidRPr="00C97323">
        <w:rPr>
          <w:rFonts w:asciiTheme="minorHAnsi" w:hAnsiTheme="minorHAnsi" w:cs="Calibri Light"/>
        </w:rPr>
        <w:t>etc.), le taux peut être majoré jusqu</w:t>
      </w:r>
      <w:r w:rsidR="00A04573" w:rsidRPr="00C97323">
        <w:rPr>
          <w:rFonts w:asciiTheme="minorHAnsi" w:hAnsiTheme="minorHAnsi" w:cs="Calibri Light"/>
        </w:rPr>
        <w:t>’à</w:t>
      </w:r>
      <w:r w:rsidRPr="00C97323">
        <w:rPr>
          <w:rFonts w:asciiTheme="minorHAnsi" w:hAnsiTheme="minorHAnsi" w:cs="Calibri Light"/>
        </w:rPr>
        <w:t xml:space="preserve"> </w:t>
      </w:r>
      <w:r w:rsidR="00197051" w:rsidRPr="008D7EB7">
        <w:rPr>
          <w:rFonts w:asciiTheme="minorHAnsi" w:hAnsiTheme="minorHAnsi" w:cs="Calibri Light"/>
        </w:rPr>
        <w:t>30</w:t>
      </w:r>
      <w:r w:rsidR="00C97323" w:rsidRPr="008D7EB7">
        <w:rPr>
          <w:rFonts w:asciiTheme="minorHAnsi" w:hAnsiTheme="minorHAnsi" w:cs="Calibri Light"/>
        </w:rPr>
        <w:t>,00</w:t>
      </w:r>
      <w:r w:rsidR="00197051" w:rsidRPr="008D7EB7">
        <w:rPr>
          <w:rFonts w:asciiTheme="minorHAnsi" w:hAnsiTheme="minorHAnsi" w:cs="Calibri Light"/>
        </w:rPr>
        <w:t xml:space="preserve"> </w:t>
      </w:r>
      <w:r w:rsidRPr="008D7EB7">
        <w:rPr>
          <w:rFonts w:asciiTheme="minorHAnsi" w:hAnsiTheme="minorHAnsi" w:cs="Calibri Light"/>
        </w:rPr>
        <w:t>euros</w:t>
      </w:r>
      <w:r w:rsidRPr="00C97323">
        <w:rPr>
          <w:rFonts w:asciiTheme="minorHAnsi" w:hAnsiTheme="minorHAnsi" w:cs="Calibri Light"/>
        </w:rPr>
        <w:t>.</w:t>
      </w:r>
      <w:r w:rsidRPr="00197051">
        <w:rPr>
          <w:rFonts w:asciiTheme="minorHAnsi" w:hAnsiTheme="minorHAnsi" w:cs="Calibri Light"/>
        </w:rPr>
        <w:t xml:space="preserve"> </w:t>
      </w:r>
    </w:p>
    <w:p w14:paraId="5423D8B2" w14:textId="27C071B3" w:rsidR="009B153C" w:rsidRDefault="00B762D5" w:rsidP="00E063FD">
      <w:pPr>
        <w:spacing w:before="120"/>
        <w:jc w:val="both"/>
        <w:rPr>
          <w:rFonts w:asciiTheme="minorHAnsi" w:hAnsiTheme="minorHAnsi" w:cs="Calibri Light"/>
          <w:lang w:val="fr-BE"/>
        </w:rPr>
      </w:pPr>
      <w:r>
        <w:rPr>
          <w:rFonts w:asciiTheme="minorHAnsi" w:hAnsiTheme="minorHAnsi" w:cs="Calibri Light"/>
          <w:lang w:val="fr-BE"/>
        </w:rPr>
        <w:lastRenderedPageBreak/>
        <w:t>E</w:t>
      </w:r>
      <w:r w:rsidR="009B153C" w:rsidRPr="00DA6BD2">
        <w:rPr>
          <w:rFonts w:asciiTheme="minorHAnsi" w:hAnsiTheme="minorHAnsi" w:cs="Calibri Light"/>
          <w:lang w:val="fr-BE"/>
        </w:rPr>
        <w:t>n matière de règlement-redevance sur l’établissement et/ou la délivrance de certificats et de documents administratifs (délivrance d’une attestation préalable à l’octroi d’une licence de Bingos délivrée par la commission des jeux de hasard), le Conseil d’Etat dans son arrêt du 18 avril 2016</w:t>
      </w:r>
      <w:r w:rsidR="001240A1">
        <w:rPr>
          <w:rStyle w:val="Appelnotedebasdep"/>
          <w:rFonts w:asciiTheme="minorHAnsi" w:hAnsiTheme="minorHAnsi" w:cs="Calibri Light"/>
          <w:lang w:val="fr-BE"/>
        </w:rPr>
        <w:footnoteReference w:id="128"/>
      </w:r>
      <w:r w:rsidR="009B153C" w:rsidRPr="00DA6BD2">
        <w:rPr>
          <w:rFonts w:asciiTheme="minorHAnsi" w:hAnsiTheme="minorHAnsi" w:cs="Calibri Light"/>
          <w:lang w:val="fr-BE"/>
        </w:rPr>
        <w:t xml:space="preserve"> rappelle </w:t>
      </w:r>
      <w:r w:rsidR="009B153C" w:rsidRPr="00DA6BD2">
        <w:rPr>
          <w:rFonts w:asciiTheme="minorHAnsi" w:hAnsiTheme="minorHAnsi" w:cs="Calibri Light"/>
          <w:i/>
          <w:lang w:val="fr-BE"/>
        </w:rPr>
        <w:t>« que même si la commune peut poursuivre un but de dissuasion en choisissant d’instaurer une redevance plus ou moins élevée en contrepartie d’une prestation quelconque, elle est tenue, ce faisant, de rester dans les limites d’une juste proportionnalité entre le coût de la prestation et le montant réclamé, ce qui est inhérent à la notion même de redevance</w:t>
      </w:r>
      <w:r w:rsidR="009B153C" w:rsidRPr="00DA6BD2">
        <w:rPr>
          <w:rFonts w:asciiTheme="minorHAnsi" w:hAnsiTheme="minorHAnsi" w:cs="Calibri Light"/>
          <w:lang w:val="fr-BE"/>
        </w:rPr>
        <w:t> ».</w:t>
      </w:r>
    </w:p>
    <w:p w14:paraId="0AF6D399" w14:textId="14FBA5F6" w:rsidR="00C97323" w:rsidRDefault="00E9556C" w:rsidP="00C97323">
      <w:pPr>
        <w:spacing w:before="120"/>
        <w:jc w:val="both"/>
        <w:rPr>
          <w:lang w:val="fr-BE"/>
        </w:rPr>
      </w:pPr>
      <w:r>
        <w:t>A cet égard, le Conseil d’Etat précise d’une part, qu</w:t>
      </w:r>
      <w:r w:rsidR="00337F21">
        <w:t xml:space="preserve">e rien </w:t>
      </w:r>
      <w:r>
        <w:t>«</w:t>
      </w:r>
      <w:r w:rsidR="00C97323">
        <w:t xml:space="preserve"> </w:t>
      </w:r>
      <w:r>
        <w:rPr>
          <w:i/>
          <w:iCs/>
        </w:rPr>
        <w:t xml:space="preserve">ne permet de vérifier qu'il existe une proportion raisonnable entre le montant de la redevance établie et l'importance des prestations que la commune effectue pour pouvoir délivrer l'attestation en cause; que le montant de 2.500,00 </w:t>
      </w:r>
      <w:r w:rsidR="00961214">
        <w:rPr>
          <w:i/>
          <w:iCs/>
        </w:rPr>
        <w:t>euros</w:t>
      </w:r>
      <w:r>
        <w:rPr>
          <w:i/>
          <w:iCs/>
        </w:rPr>
        <w:t xml:space="preserve"> est nettement plus élevé que celui qui est réclamé lors de la délivrance des autres documents visés par l'acte attaqué</w:t>
      </w:r>
      <w:r>
        <w:t> » et d’autre part, « </w:t>
      </w:r>
      <w:r>
        <w:rPr>
          <w:i/>
          <w:iCs/>
        </w:rPr>
        <w:t>que la commune a fait elle-même apparaître, dans un communiqué de presse qu'elle instaurait cette redevance dans un but dissuasif, ce qui accrédite l'idée qu'elle a voulu pénaliser les établissements qui solliciteraient l'attestation en cause en l'assortissant d'un coût prohibitif</w:t>
      </w:r>
      <w:r>
        <w:t> ».</w:t>
      </w:r>
    </w:p>
    <w:p w14:paraId="6768A358" w14:textId="20BC9D83" w:rsidR="00E9556C" w:rsidRDefault="00E9556C" w:rsidP="008D7EB7">
      <w:pPr>
        <w:spacing w:before="120"/>
        <w:jc w:val="both"/>
      </w:pPr>
      <w:r>
        <w:t>Je souhaite que les Conseils communaux exonèrent de la redevance ou de la taxe de délivrance de documents administratifs, les documents administratifs qui sont délivrés pour :</w:t>
      </w:r>
    </w:p>
    <w:p w14:paraId="7DF98AA1" w14:textId="02A9E148" w:rsidR="009B153C" w:rsidRPr="00DA6BD2" w:rsidRDefault="00C97323" w:rsidP="00E063FD">
      <w:pPr>
        <w:numPr>
          <w:ilvl w:val="0"/>
          <w:numId w:val="31"/>
        </w:numPr>
        <w:tabs>
          <w:tab w:val="clear" w:pos="360"/>
          <w:tab w:val="left" w:pos="993"/>
        </w:tabs>
        <w:spacing w:before="120"/>
        <w:ind w:left="567"/>
        <w:jc w:val="both"/>
        <w:textAlignment w:val="baseline"/>
        <w:rPr>
          <w:rFonts w:asciiTheme="minorHAnsi" w:hAnsiTheme="minorHAnsi" w:cs="Calibri Light"/>
          <w:spacing w:val="-2"/>
        </w:rPr>
      </w:pPr>
      <w:proofErr w:type="gramStart"/>
      <w:r>
        <w:rPr>
          <w:rFonts w:asciiTheme="minorHAnsi" w:hAnsiTheme="minorHAnsi" w:cs="Calibri Light"/>
        </w:rPr>
        <w:t>l</w:t>
      </w:r>
      <w:r w:rsidR="009B153C" w:rsidRPr="00DA6BD2">
        <w:rPr>
          <w:rFonts w:asciiTheme="minorHAnsi" w:hAnsiTheme="minorHAnsi" w:cs="Calibri Light"/>
          <w:spacing w:val="-2"/>
        </w:rPr>
        <w:t>a</w:t>
      </w:r>
      <w:proofErr w:type="gramEnd"/>
      <w:r w:rsidR="009B153C" w:rsidRPr="00DA6BD2">
        <w:rPr>
          <w:rFonts w:asciiTheme="minorHAnsi" w:hAnsiTheme="minorHAnsi" w:cs="Calibri Light"/>
          <w:spacing w:val="-2"/>
        </w:rPr>
        <w:t xml:space="preserve"> recherche d'un emploi</w:t>
      </w:r>
      <w:r w:rsidR="009B153C">
        <w:rPr>
          <w:rFonts w:asciiTheme="minorHAnsi" w:hAnsiTheme="minorHAnsi" w:cs="Calibri Light"/>
          <w:spacing w:val="-2"/>
        </w:rPr>
        <w:t xml:space="preserve"> </w:t>
      </w:r>
      <w:r w:rsidR="009B153C" w:rsidRPr="00DA6BD2">
        <w:rPr>
          <w:rFonts w:asciiTheme="minorHAnsi" w:hAnsiTheme="minorHAnsi" w:cs="Calibri Light"/>
          <w:spacing w:val="-2"/>
        </w:rPr>
        <w:t>;</w:t>
      </w:r>
    </w:p>
    <w:p w14:paraId="69482D55" w14:textId="4A3444BF" w:rsidR="009B153C" w:rsidRPr="00DA6BD2" w:rsidRDefault="00C97323" w:rsidP="00E063FD">
      <w:pPr>
        <w:numPr>
          <w:ilvl w:val="0"/>
          <w:numId w:val="31"/>
        </w:numPr>
        <w:tabs>
          <w:tab w:val="clear" w:pos="360"/>
          <w:tab w:val="left" w:pos="993"/>
        </w:tabs>
        <w:spacing w:before="120"/>
        <w:ind w:left="993" w:hanging="426"/>
        <w:jc w:val="both"/>
        <w:textAlignment w:val="baseline"/>
        <w:rPr>
          <w:rFonts w:asciiTheme="minorHAnsi" w:hAnsiTheme="minorHAnsi" w:cs="Calibri Light"/>
        </w:rPr>
      </w:pPr>
      <w:proofErr w:type="gramStart"/>
      <w:r>
        <w:rPr>
          <w:rFonts w:asciiTheme="minorHAnsi" w:hAnsiTheme="minorHAnsi" w:cs="Calibri Light"/>
        </w:rPr>
        <w:t>l</w:t>
      </w:r>
      <w:r w:rsidR="009B153C" w:rsidRPr="00DA6BD2">
        <w:rPr>
          <w:rFonts w:asciiTheme="minorHAnsi" w:hAnsiTheme="minorHAnsi" w:cs="Calibri Light"/>
        </w:rPr>
        <w:t>a</w:t>
      </w:r>
      <w:proofErr w:type="gramEnd"/>
      <w:r w:rsidR="009B153C" w:rsidRPr="00DA6BD2">
        <w:rPr>
          <w:rFonts w:asciiTheme="minorHAnsi" w:hAnsiTheme="minorHAnsi" w:cs="Calibri Light"/>
        </w:rPr>
        <w:t xml:space="preserve"> création d'une entreprise (installation comme travailleur indépendant à titre individuel ou sous forme de société) ;</w:t>
      </w:r>
    </w:p>
    <w:p w14:paraId="110016FC" w14:textId="523E3911" w:rsidR="009B153C" w:rsidRPr="00DA6BD2" w:rsidRDefault="00C97323" w:rsidP="00E063FD">
      <w:pPr>
        <w:numPr>
          <w:ilvl w:val="0"/>
          <w:numId w:val="31"/>
        </w:numPr>
        <w:tabs>
          <w:tab w:val="clear" w:pos="360"/>
          <w:tab w:val="left" w:pos="993"/>
        </w:tabs>
        <w:spacing w:before="120"/>
        <w:ind w:left="567"/>
        <w:jc w:val="both"/>
        <w:textAlignment w:val="baseline"/>
        <w:rPr>
          <w:rFonts w:asciiTheme="minorHAnsi" w:hAnsiTheme="minorHAnsi" w:cs="Calibri Light"/>
        </w:rPr>
      </w:pPr>
      <w:proofErr w:type="gramStart"/>
      <w:r>
        <w:rPr>
          <w:rFonts w:asciiTheme="minorHAnsi" w:hAnsiTheme="minorHAnsi" w:cs="Calibri Light"/>
        </w:rPr>
        <w:t>l</w:t>
      </w:r>
      <w:r w:rsidR="009B153C" w:rsidRPr="00DA6BD2">
        <w:rPr>
          <w:rFonts w:asciiTheme="minorHAnsi" w:hAnsiTheme="minorHAnsi" w:cs="Calibri Light"/>
        </w:rPr>
        <w:t>a</w:t>
      </w:r>
      <w:proofErr w:type="gramEnd"/>
      <w:r w:rsidR="009B153C" w:rsidRPr="00DA6BD2">
        <w:rPr>
          <w:rFonts w:asciiTheme="minorHAnsi" w:hAnsiTheme="minorHAnsi" w:cs="Calibri Light"/>
        </w:rPr>
        <w:t xml:space="preserve"> présentation d'un examen relatif à la recherche d'un emploi</w:t>
      </w:r>
      <w:r w:rsidR="009B153C">
        <w:rPr>
          <w:rFonts w:asciiTheme="minorHAnsi" w:hAnsiTheme="minorHAnsi" w:cs="Calibri Light"/>
        </w:rPr>
        <w:t xml:space="preserve"> </w:t>
      </w:r>
      <w:r w:rsidR="009B153C" w:rsidRPr="00DA6BD2">
        <w:rPr>
          <w:rFonts w:asciiTheme="minorHAnsi" w:hAnsiTheme="minorHAnsi" w:cs="Calibri Light"/>
        </w:rPr>
        <w:t>;</w:t>
      </w:r>
    </w:p>
    <w:p w14:paraId="4B7E73C0" w14:textId="38201E50" w:rsidR="009B153C" w:rsidRPr="00DA6BD2" w:rsidRDefault="00C97323" w:rsidP="00E063FD">
      <w:pPr>
        <w:numPr>
          <w:ilvl w:val="0"/>
          <w:numId w:val="31"/>
        </w:numPr>
        <w:tabs>
          <w:tab w:val="clear" w:pos="360"/>
          <w:tab w:val="left" w:pos="993"/>
        </w:tabs>
        <w:spacing w:before="120"/>
        <w:ind w:left="567"/>
        <w:jc w:val="both"/>
        <w:textAlignment w:val="baseline"/>
        <w:rPr>
          <w:rFonts w:asciiTheme="minorHAnsi" w:hAnsiTheme="minorHAnsi" w:cs="Calibri Light"/>
          <w:spacing w:val="-2"/>
        </w:rPr>
      </w:pPr>
      <w:proofErr w:type="gramStart"/>
      <w:r>
        <w:rPr>
          <w:rFonts w:asciiTheme="minorHAnsi" w:hAnsiTheme="minorHAnsi" w:cs="Calibri Light"/>
          <w:spacing w:val="-2"/>
        </w:rPr>
        <w:t>l</w:t>
      </w:r>
      <w:r w:rsidR="009B153C" w:rsidRPr="00DA6BD2">
        <w:rPr>
          <w:rFonts w:asciiTheme="minorHAnsi" w:hAnsiTheme="minorHAnsi" w:cs="Calibri Light"/>
          <w:spacing w:val="-2"/>
        </w:rPr>
        <w:t>a</w:t>
      </w:r>
      <w:proofErr w:type="gramEnd"/>
      <w:r w:rsidR="009B153C" w:rsidRPr="00DA6BD2">
        <w:rPr>
          <w:rFonts w:asciiTheme="minorHAnsi" w:hAnsiTheme="minorHAnsi" w:cs="Calibri Light"/>
          <w:spacing w:val="-2"/>
        </w:rPr>
        <w:t xml:space="preserve"> candidature à un logement dans une société agréée par la S.W.L.</w:t>
      </w:r>
      <w:r w:rsidR="009B153C">
        <w:rPr>
          <w:rFonts w:asciiTheme="minorHAnsi" w:hAnsiTheme="minorHAnsi" w:cs="Calibri Light"/>
          <w:spacing w:val="-2"/>
        </w:rPr>
        <w:t xml:space="preserve"> </w:t>
      </w:r>
      <w:r w:rsidR="009B153C" w:rsidRPr="00DA6BD2">
        <w:rPr>
          <w:rFonts w:asciiTheme="minorHAnsi" w:hAnsiTheme="minorHAnsi" w:cs="Calibri Light"/>
          <w:spacing w:val="-2"/>
        </w:rPr>
        <w:t>;</w:t>
      </w:r>
    </w:p>
    <w:p w14:paraId="4D2B5B0D" w14:textId="4337B46F" w:rsidR="009B153C" w:rsidRPr="00DA6BD2" w:rsidRDefault="00C97323" w:rsidP="00E063FD">
      <w:pPr>
        <w:numPr>
          <w:ilvl w:val="0"/>
          <w:numId w:val="31"/>
        </w:numPr>
        <w:tabs>
          <w:tab w:val="clear" w:pos="360"/>
          <w:tab w:val="left" w:pos="993"/>
        </w:tabs>
        <w:spacing w:before="120"/>
        <w:ind w:left="567"/>
        <w:jc w:val="both"/>
        <w:textAlignment w:val="baseline"/>
        <w:rPr>
          <w:rFonts w:asciiTheme="minorHAnsi" w:hAnsiTheme="minorHAnsi" w:cs="Calibri Light"/>
          <w:spacing w:val="-2"/>
        </w:rPr>
      </w:pPr>
      <w:proofErr w:type="gramStart"/>
      <w:r>
        <w:rPr>
          <w:rFonts w:asciiTheme="minorHAnsi" w:hAnsiTheme="minorHAnsi" w:cs="Calibri Light"/>
          <w:spacing w:val="-2"/>
        </w:rPr>
        <w:t>l</w:t>
      </w:r>
      <w:r w:rsidR="009B153C" w:rsidRPr="00DA6BD2">
        <w:rPr>
          <w:rFonts w:asciiTheme="minorHAnsi" w:hAnsiTheme="minorHAnsi" w:cs="Calibri Light"/>
          <w:spacing w:val="-2"/>
        </w:rPr>
        <w:t>’allocation</w:t>
      </w:r>
      <w:proofErr w:type="gramEnd"/>
      <w:r w:rsidR="009B153C" w:rsidRPr="00DA6BD2">
        <w:rPr>
          <w:rFonts w:asciiTheme="minorHAnsi" w:hAnsiTheme="minorHAnsi" w:cs="Calibri Light"/>
          <w:spacing w:val="-2"/>
        </w:rPr>
        <w:t xml:space="preserve"> déménagement et loyer (A.D.E.).</w:t>
      </w:r>
    </w:p>
    <w:p w14:paraId="1350D472" w14:textId="0C2F65A5" w:rsidR="009B153C" w:rsidRDefault="00957D30" w:rsidP="00E063FD">
      <w:pPr>
        <w:numPr>
          <w:ilvl w:val="0"/>
          <w:numId w:val="31"/>
        </w:numPr>
        <w:tabs>
          <w:tab w:val="clear" w:pos="360"/>
          <w:tab w:val="left" w:pos="993"/>
        </w:tabs>
        <w:spacing w:before="120"/>
        <w:ind w:left="993" w:hanging="426"/>
        <w:jc w:val="both"/>
        <w:textAlignment w:val="baseline"/>
        <w:rPr>
          <w:rFonts w:asciiTheme="minorHAnsi" w:hAnsiTheme="minorHAnsi" w:cs="Calibri Light"/>
        </w:rPr>
      </w:pPr>
      <w:proofErr w:type="gramStart"/>
      <w:r>
        <w:rPr>
          <w:rFonts w:asciiTheme="minorHAnsi" w:hAnsiTheme="minorHAnsi" w:cs="Calibri Light"/>
        </w:rPr>
        <w:t>l’accueil</w:t>
      </w:r>
      <w:proofErr w:type="gramEnd"/>
      <w:r>
        <w:rPr>
          <w:rFonts w:asciiTheme="minorHAnsi" w:hAnsiTheme="minorHAnsi" w:cs="Calibri Light"/>
        </w:rPr>
        <w:t xml:space="preserve"> des enfants réfugiés pour raisons humanitaires :</w:t>
      </w:r>
      <w:r w:rsidR="009B153C" w:rsidRPr="00DA6BD2">
        <w:rPr>
          <w:rFonts w:asciiTheme="minorHAnsi" w:hAnsiTheme="minorHAnsi" w:cs="Calibri Light"/>
        </w:rPr>
        <w:t xml:space="preserve"> l'accueil de ces enfants étant justifié par motifs humanitaires, je recommande aux communes de ne pas percevoir d'imposition communale (taxe ou redevance) tant lors de la délivrance de la déclaration d'arrivée de ces enfants que pour toute démarche administrative entreprise pour leur accueil. </w:t>
      </w:r>
    </w:p>
    <w:p w14:paraId="42C24072" w14:textId="77777777" w:rsidR="004672E1" w:rsidRDefault="004672E1" w:rsidP="008D7EB7">
      <w:pPr>
        <w:tabs>
          <w:tab w:val="left" w:pos="360"/>
          <w:tab w:val="left" w:pos="993"/>
        </w:tabs>
        <w:spacing w:before="120"/>
        <w:jc w:val="both"/>
        <w:textAlignment w:val="baseline"/>
        <w:rPr>
          <w:rFonts w:asciiTheme="minorHAnsi" w:hAnsiTheme="minorHAnsi" w:cs="Calibri Light"/>
        </w:rPr>
      </w:pPr>
    </w:p>
    <w:p w14:paraId="1EF2E146" w14:textId="7EA677BE" w:rsidR="009B153C" w:rsidRPr="008D7EB7" w:rsidRDefault="009B153C" w:rsidP="008D7EB7">
      <w:pPr>
        <w:pStyle w:val="Sam4"/>
        <w:jc w:val="both"/>
        <w:rPr>
          <w:spacing w:val="11"/>
        </w:rPr>
      </w:pPr>
      <w:bookmarkStart w:id="4947" w:name="_Toc40185477"/>
      <w:bookmarkStart w:id="4948" w:name="_Toc40186212"/>
      <w:bookmarkStart w:id="4949" w:name="_Toc74557721"/>
      <w:bookmarkEnd w:id="4947"/>
      <w:bookmarkEnd w:id="4948"/>
      <w:r w:rsidRPr="008D7EB7">
        <w:rPr>
          <w:spacing w:val="11"/>
        </w:rPr>
        <w:t>Cartes</w:t>
      </w:r>
      <w:r w:rsidR="00F82B9D" w:rsidRPr="008D7EB7">
        <w:rPr>
          <w:spacing w:val="11"/>
        </w:rPr>
        <w:t xml:space="preserve"> électronique (</w:t>
      </w:r>
      <w:proofErr w:type="spellStart"/>
      <w:r w:rsidR="00F82B9D" w:rsidRPr="008D7EB7">
        <w:rPr>
          <w:spacing w:val="11"/>
        </w:rPr>
        <w:t>eID</w:t>
      </w:r>
      <w:proofErr w:type="spellEnd"/>
      <w:r w:rsidR="00F82B9D" w:rsidRPr="008D7EB7">
        <w:rPr>
          <w:spacing w:val="11"/>
        </w:rPr>
        <w:t>)</w:t>
      </w:r>
      <w:r w:rsidRPr="008D7EB7">
        <w:rPr>
          <w:spacing w:val="11"/>
        </w:rPr>
        <w:t xml:space="preserve"> et </w:t>
      </w:r>
      <w:r w:rsidR="00F82B9D" w:rsidRPr="008D7EB7">
        <w:rPr>
          <w:spacing w:val="11"/>
        </w:rPr>
        <w:t>d</w:t>
      </w:r>
      <w:r w:rsidRPr="008D7EB7">
        <w:rPr>
          <w:spacing w:val="11"/>
        </w:rPr>
        <w:t xml:space="preserve">ocuments </w:t>
      </w:r>
      <w:r w:rsidR="00F82B9D" w:rsidRPr="008D7EB7">
        <w:rPr>
          <w:spacing w:val="11"/>
        </w:rPr>
        <w:t>électroniques pour étrangers</w:t>
      </w:r>
      <w:r w:rsidRPr="008D7EB7">
        <w:rPr>
          <w:spacing w:val="11"/>
        </w:rPr>
        <w:t xml:space="preserve"> :</w:t>
      </w:r>
      <w:bookmarkEnd w:id="4949"/>
    </w:p>
    <w:p w14:paraId="742F95BF" w14:textId="3B4A6E88" w:rsidR="00F82B9D" w:rsidRDefault="00B762D5" w:rsidP="008D7EB7">
      <w:pPr>
        <w:spacing w:before="120"/>
        <w:jc w:val="both"/>
        <w:textAlignment w:val="baseline"/>
        <w:rPr>
          <w:rFonts w:asciiTheme="minorHAnsi" w:hAnsiTheme="minorHAnsi" w:cs="Calibri Light"/>
        </w:rPr>
      </w:pPr>
      <w:r>
        <w:rPr>
          <w:rFonts w:asciiTheme="minorHAnsi" w:hAnsiTheme="minorHAnsi" w:cs="Calibri Light"/>
        </w:rPr>
        <w:t>L</w:t>
      </w:r>
      <w:r w:rsidR="00F82B9D" w:rsidRPr="00F82B9D">
        <w:rPr>
          <w:rFonts w:asciiTheme="minorHAnsi" w:hAnsiTheme="minorHAnsi" w:cs="Calibri Light"/>
        </w:rPr>
        <w:t>e coût de la délivrance de la carte d'identité peut grever les revenus des personnes à revenus modestes ou les familles nombreuses. Il est donc recommandé aux communes de fixer raisonnablement le taux de celle-ci.</w:t>
      </w:r>
    </w:p>
    <w:p w14:paraId="30E98DBF" w14:textId="37E4DCBF" w:rsidR="00E9556C" w:rsidRPr="00E9556C" w:rsidRDefault="00E9556C" w:rsidP="008D7EB7">
      <w:pPr>
        <w:spacing w:before="120"/>
        <w:jc w:val="both"/>
        <w:textAlignment w:val="baseline"/>
        <w:rPr>
          <w:rFonts w:asciiTheme="minorHAnsi" w:hAnsiTheme="minorHAnsi" w:cs="Calibri Light"/>
        </w:rPr>
      </w:pPr>
      <w:r w:rsidRPr="00E9556C">
        <w:rPr>
          <w:rFonts w:asciiTheme="minorHAnsi" w:hAnsiTheme="minorHAnsi" w:cs="Calibri Light"/>
        </w:rPr>
        <w:t xml:space="preserve">L’arrêté ministériel du 28 octobre 2019 modifiant l'arrêté ministériel du 15 mars 2013 fixant le tarif des rétributions à charge des communes pour la délivrance des cartes d'identité électroniques pour les Belges, des documents d'identité électroniques pour enfants belges de moins de douze ans, des cartes électroniques et documents de séjour électroniques délivrés à des ressortissants étrangers et des cartes biométriques et titres de séjours biométriques délivrés à des ressortissants étrangers de pays tiers prévoit que les montants mentionnés dans </w:t>
      </w:r>
      <w:r w:rsidRPr="00E9556C">
        <w:rPr>
          <w:rFonts w:asciiTheme="minorHAnsi" w:hAnsiTheme="minorHAnsi" w:cs="Calibri Light"/>
        </w:rPr>
        <w:lastRenderedPageBreak/>
        <w:t>le tableau ci-après sont récupérés, à l'intervention du Ministre de l'Intérieur, par voie de prélèvement d'office sur les comptes des communes et sont mis à charge de la personne ayant demandé la carte d'identité électronique.</w:t>
      </w:r>
    </w:p>
    <w:p w14:paraId="60A84226" w14:textId="1D54A2CA" w:rsidR="009B153C" w:rsidRPr="008D7EB7" w:rsidRDefault="009B153C" w:rsidP="008D7EB7">
      <w:pPr>
        <w:spacing w:before="120"/>
        <w:jc w:val="both"/>
        <w:textAlignment w:val="baseline"/>
        <w:rPr>
          <w:rFonts w:asciiTheme="minorHAnsi" w:hAnsiTheme="minorHAnsi" w:cs="Calibri Light"/>
        </w:rPr>
      </w:pPr>
      <w:r w:rsidRPr="008D7EB7">
        <w:rPr>
          <w:rFonts w:asciiTheme="minorHAnsi" w:hAnsiTheme="minorHAnsi" w:cs="Calibri Light"/>
        </w:rPr>
        <w:t>Bien que ces frais ne constituent ni une redevance ni une taxe communale et ne doivent pas être repris dans le règlement relatif à la délivrance de documents administratifs, il est recommandé aux communes de spécifier à la suite du montant de la taxe, que ce montant ne comprend pas le coût de fabrication dû au SPF Intérieur, coût qui peut aussi être chiffré si la commune le souhaite</w:t>
      </w:r>
      <w:r w:rsidR="00F82B9D" w:rsidRPr="008D7EB7">
        <w:rPr>
          <w:rFonts w:asciiTheme="minorHAnsi" w:hAnsiTheme="minorHAnsi" w:cs="Calibri Light"/>
        </w:rPr>
        <w:t xml:space="preserve"> (mais alors avec la nécessité d’adapter le montant si le coût change durant la période de validité du règlement)</w:t>
      </w:r>
      <w:r w:rsidR="00A04573" w:rsidRPr="008D7EB7">
        <w:rPr>
          <w:rFonts w:asciiTheme="minorHAnsi" w:hAnsiTheme="minorHAnsi" w:cs="Calibri Light"/>
        </w:rPr>
        <w:t>.</w:t>
      </w:r>
    </w:p>
    <w:p w14:paraId="349DB6BC" w14:textId="115B10A2" w:rsidR="00E9556C" w:rsidRPr="008D7EB7" w:rsidRDefault="00E9556C" w:rsidP="008D7EB7">
      <w:pPr>
        <w:spacing w:before="120"/>
        <w:jc w:val="both"/>
        <w:textAlignment w:val="baseline"/>
        <w:rPr>
          <w:rFonts w:asciiTheme="minorHAnsi" w:hAnsiTheme="minorHAnsi" w:cs="Calibri Light"/>
        </w:rPr>
      </w:pPr>
      <w:r w:rsidRPr="006D032E">
        <w:rPr>
          <w:rFonts w:asciiTheme="minorHAnsi" w:hAnsiTheme="minorHAnsi" w:cs="Calibri Light"/>
        </w:rPr>
        <w:t>Les tarifs suivants correspondent aux montants relatifs aux frais de fabrication des cartes qui sont d'application à partir du 1</w:t>
      </w:r>
      <w:r w:rsidR="00961214" w:rsidRPr="006D032E">
        <w:rPr>
          <w:rFonts w:asciiTheme="minorHAnsi" w:hAnsiTheme="minorHAnsi" w:cs="Calibri Light"/>
          <w:vertAlign w:val="superscript"/>
        </w:rPr>
        <w:t>er</w:t>
      </w:r>
      <w:r w:rsidR="00961214" w:rsidRPr="006D032E">
        <w:rPr>
          <w:rFonts w:asciiTheme="minorHAnsi" w:hAnsiTheme="minorHAnsi" w:cs="Calibri Light"/>
        </w:rPr>
        <w:t xml:space="preserve"> </w:t>
      </w:r>
      <w:r w:rsidRPr="006D032E">
        <w:rPr>
          <w:rFonts w:asciiTheme="minorHAnsi" w:hAnsiTheme="minorHAnsi" w:cs="Calibri Light"/>
        </w:rPr>
        <w:t>janvier 202</w:t>
      </w:r>
      <w:r w:rsidR="004F506E" w:rsidRPr="00256E9F">
        <w:rPr>
          <w:rFonts w:asciiTheme="minorHAnsi" w:hAnsiTheme="minorHAnsi" w:cs="Calibri Light"/>
        </w:rPr>
        <w:t>2</w:t>
      </w:r>
      <w:r w:rsidRPr="006D032E">
        <w:rPr>
          <w:rFonts w:asciiTheme="minorHAnsi" w:hAnsiTheme="minorHAnsi" w:cs="Calibri Light"/>
        </w:rPr>
        <w:t> :</w:t>
      </w:r>
    </w:p>
    <w:p w14:paraId="328B97E5" w14:textId="6D99D856" w:rsidR="00DE1E72" w:rsidRDefault="00DE1E72" w:rsidP="00A65F14">
      <w:pPr>
        <w:spacing w:before="120"/>
        <w:ind w:left="-142"/>
        <w:jc w:val="both"/>
        <w:textAlignment w:val="baseline"/>
        <w:rPr>
          <w:rFonts w:asciiTheme="minorHAnsi" w:hAnsiTheme="minorHAnsi" w:cs="Calibri Light"/>
        </w:rPr>
      </w:pPr>
    </w:p>
    <w:tbl>
      <w:tblPr>
        <w:tblW w:w="0" w:type="auto"/>
        <w:tblInd w:w="14" w:type="dxa"/>
        <w:tblLayout w:type="fixed"/>
        <w:tblCellMar>
          <w:left w:w="0" w:type="dxa"/>
          <w:right w:w="0" w:type="dxa"/>
        </w:tblCellMar>
        <w:tblLook w:val="04A0" w:firstRow="1" w:lastRow="0" w:firstColumn="1" w:lastColumn="0" w:noHBand="0" w:noVBand="1"/>
      </w:tblPr>
      <w:tblGrid>
        <w:gridCol w:w="6869"/>
        <w:gridCol w:w="2471"/>
      </w:tblGrid>
      <w:tr w:rsidR="004C5B6F" w14:paraId="325281A5" w14:textId="77777777" w:rsidTr="00584633">
        <w:trPr>
          <w:trHeight w:hRule="exact" w:val="355"/>
        </w:trPr>
        <w:tc>
          <w:tcPr>
            <w:tcW w:w="6869" w:type="dxa"/>
            <w:tcBorders>
              <w:top w:val="single" w:sz="5" w:space="0" w:color="000000"/>
              <w:left w:val="single" w:sz="5" w:space="0" w:color="000000"/>
              <w:bottom w:val="single" w:sz="5" w:space="0" w:color="000000"/>
              <w:right w:val="single" w:sz="5" w:space="0" w:color="000000"/>
            </w:tcBorders>
          </w:tcPr>
          <w:p w14:paraId="79DA8ED9" w14:textId="77777777" w:rsidR="004C5B6F" w:rsidRDefault="004C5B6F" w:rsidP="00584633">
            <w:pPr>
              <w:textAlignment w:val="baseline"/>
              <w:rPr>
                <w:rFonts w:ascii="Arial" w:eastAsia="Arial" w:hAnsi="Arial"/>
                <w:color w:val="000000"/>
              </w:rPr>
            </w:pPr>
          </w:p>
        </w:tc>
        <w:tc>
          <w:tcPr>
            <w:tcW w:w="2471" w:type="dxa"/>
            <w:tcBorders>
              <w:top w:val="single" w:sz="5" w:space="0" w:color="000000"/>
              <w:left w:val="single" w:sz="5" w:space="0" w:color="000000"/>
              <w:bottom w:val="single" w:sz="5" w:space="0" w:color="000000"/>
              <w:right w:val="single" w:sz="5" w:space="0" w:color="000000"/>
            </w:tcBorders>
            <w:vAlign w:val="center"/>
          </w:tcPr>
          <w:p w14:paraId="50A70408" w14:textId="77777777" w:rsidR="004C5B6F" w:rsidRDefault="004C5B6F" w:rsidP="00584633">
            <w:pPr>
              <w:spacing w:before="87" w:after="66" w:line="201" w:lineRule="exact"/>
              <w:jc w:val="center"/>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4"/>
              </w:rPr>
              <w:t xml:space="preserve">ARIFS AU </w:t>
            </w:r>
            <w:r>
              <w:rPr>
                <w:rFonts w:ascii="Arial" w:eastAsia="Arial" w:hAnsi="Arial"/>
                <w:color w:val="000000"/>
                <w:sz w:val="18"/>
              </w:rPr>
              <w:t>1</w:t>
            </w:r>
            <w:r>
              <w:rPr>
                <w:rFonts w:ascii="Arial" w:eastAsia="Arial" w:hAnsi="Arial"/>
                <w:color w:val="000000"/>
                <w:sz w:val="18"/>
                <w:vertAlign w:val="superscript"/>
              </w:rPr>
              <w:t>ER</w:t>
            </w:r>
            <w:r>
              <w:rPr>
                <w:rFonts w:ascii="Arial" w:eastAsia="Arial" w:hAnsi="Arial"/>
                <w:color w:val="000000"/>
                <w:sz w:val="14"/>
              </w:rPr>
              <w:t xml:space="preserve"> JANVIER </w:t>
            </w:r>
            <w:r>
              <w:rPr>
                <w:rFonts w:ascii="Arial" w:eastAsia="Arial" w:hAnsi="Arial"/>
                <w:color w:val="000000"/>
                <w:sz w:val="18"/>
              </w:rPr>
              <w:t>2022</w:t>
            </w:r>
          </w:p>
        </w:tc>
      </w:tr>
      <w:tr w:rsidR="004C5B6F" w14:paraId="36769C87" w14:textId="77777777" w:rsidTr="00584633">
        <w:trPr>
          <w:trHeight w:hRule="exact" w:val="221"/>
        </w:trPr>
        <w:tc>
          <w:tcPr>
            <w:tcW w:w="9340" w:type="dxa"/>
            <w:gridSpan w:val="2"/>
            <w:tcBorders>
              <w:top w:val="single" w:sz="5" w:space="0" w:color="000000"/>
              <w:left w:val="single" w:sz="5" w:space="0" w:color="000000"/>
              <w:bottom w:val="single" w:sz="5" w:space="0" w:color="000000"/>
              <w:right w:val="single" w:sz="5" w:space="0" w:color="000000"/>
            </w:tcBorders>
            <w:vAlign w:val="center"/>
          </w:tcPr>
          <w:p w14:paraId="22446F82" w14:textId="77777777" w:rsidR="004C5B6F" w:rsidRDefault="004C5B6F" w:rsidP="004C5B6F">
            <w:pPr>
              <w:numPr>
                <w:ilvl w:val="0"/>
                <w:numId w:val="313"/>
              </w:numPr>
              <w:tabs>
                <w:tab w:val="clear" w:pos="720"/>
                <w:tab w:val="left" w:pos="792"/>
              </w:tabs>
              <w:spacing w:after="1" w:line="207" w:lineRule="exact"/>
              <w:ind w:left="72"/>
              <w:textAlignment w:val="baseline"/>
              <w:rPr>
                <w:rFonts w:ascii="Arial" w:eastAsia="Arial" w:hAnsi="Arial"/>
                <w:b/>
                <w:color w:val="000000"/>
                <w:sz w:val="18"/>
              </w:rPr>
            </w:pPr>
            <w:r>
              <w:rPr>
                <w:rFonts w:ascii="Arial" w:eastAsia="Arial" w:hAnsi="Arial"/>
                <w:b/>
                <w:color w:val="000000"/>
                <w:sz w:val="18"/>
              </w:rPr>
              <w:t>P</w:t>
            </w:r>
            <w:r>
              <w:rPr>
                <w:rFonts w:ascii="Arial" w:eastAsia="Arial" w:hAnsi="Arial"/>
                <w:b/>
                <w:color w:val="000000"/>
                <w:sz w:val="14"/>
              </w:rPr>
              <w:t xml:space="preserve">ROCEDURE NORMALE </w:t>
            </w:r>
            <w:r>
              <w:rPr>
                <w:rFonts w:ascii="Arial" w:eastAsia="Arial" w:hAnsi="Arial"/>
                <w:b/>
                <w:color w:val="000000"/>
                <w:sz w:val="18"/>
              </w:rPr>
              <w:t>:</w:t>
            </w:r>
          </w:p>
        </w:tc>
      </w:tr>
      <w:tr w:rsidR="004C5B6F" w14:paraId="6FE68CC7" w14:textId="77777777" w:rsidTr="00584633">
        <w:trPr>
          <w:trHeight w:hRule="exact" w:val="350"/>
        </w:trPr>
        <w:tc>
          <w:tcPr>
            <w:tcW w:w="6869" w:type="dxa"/>
            <w:tcBorders>
              <w:top w:val="single" w:sz="5" w:space="0" w:color="000000"/>
              <w:left w:val="single" w:sz="5" w:space="0" w:color="000000"/>
              <w:bottom w:val="single" w:sz="5" w:space="0" w:color="000000"/>
              <w:right w:val="single" w:sz="5" w:space="0" w:color="000000"/>
            </w:tcBorders>
            <w:vAlign w:val="center"/>
          </w:tcPr>
          <w:p w14:paraId="7F5FB9C3" w14:textId="77777777" w:rsidR="004C5B6F" w:rsidRDefault="004C5B6F" w:rsidP="00584633">
            <w:pPr>
              <w:spacing w:before="84" w:after="48" w:line="208" w:lineRule="exact"/>
              <w:ind w:left="115"/>
              <w:textAlignment w:val="baseline"/>
              <w:rPr>
                <w:rFonts w:ascii="Arial" w:eastAsia="Arial" w:hAnsi="Arial"/>
                <w:color w:val="000000"/>
                <w:sz w:val="18"/>
              </w:rPr>
            </w:pPr>
            <w:r>
              <w:rPr>
                <w:rFonts w:ascii="Arial" w:eastAsia="Arial" w:hAnsi="Arial"/>
                <w:color w:val="000000"/>
                <w:sz w:val="18"/>
              </w:rPr>
              <w:t>Cartes d’identité électroniques pour les Belges, visées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1°</w:t>
            </w:r>
          </w:p>
        </w:tc>
        <w:tc>
          <w:tcPr>
            <w:tcW w:w="2471" w:type="dxa"/>
            <w:tcBorders>
              <w:top w:val="single" w:sz="5" w:space="0" w:color="000000"/>
              <w:left w:val="single" w:sz="5" w:space="0" w:color="000000"/>
              <w:bottom w:val="single" w:sz="5" w:space="0" w:color="000000"/>
              <w:right w:val="single" w:sz="5" w:space="0" w:color="000000"/>
            </w:tcBorders>
            <w:vAlign w:val="center"/>
          </w:tcPr>
          <w:p w14:paraId="16665C10" w14:textId="77777777" w:rsidR="004C5B6F" w:rsidRDefault="004C5B6F" w:rsidP="00584633">
            <w:pPr>
              <w:spacing w:before="88" w:after="49" w:line="203" w:lineRule="exact"/>
              <w:jc w:val="center"/>
              <w:textAlignment w:val="baseline"/>
              <w:rPr>
                <w:rFonts w:ascii="Arial" w:eastAsia="Arial" w:hAnsi="Arial"/>
                <w:color w:val="000000"/>
                <w:sz w:val="18"/>
              </w:rPr>
            </w:pPr>
            <w:r>
              <w:rPr>
                <w:rFonts w:ascii="Arial" w:eastAsia="Arial" w:hAnsi="Arial"/>
                <w:color w:val="000000"/>
                <w:sz w:val="18"/>
              </w:rPr>
              <w:t>€ 16,70</w:t>
            </w:r>
          </w:p>
        </w:tc>
      </w:tr>
      <w:tr w:rsidR="004C5B6F" w14:paraId="3BA2BA24" w14:textId="77777777" w:rsidTr="00584633">
        <w:trPr>
          <w:trHeight w:hRule="exact" w:val="586"/>
        </w:trPr>
        <w:tc>
          <w:tcPr>
            <w:tcW w:w="6869" w:type="dxa"/>
            <w:tcBorders>
              <w:top w:val="single" w:sz="5" w:space="0" w:color="000000"/>
              <w:left w:val="single" w:sz="5" w:space="0" w:color="000000"/>
              <w:bottom w:val="single" w:sz="5" w:space="0" w:color="000000"/>
              <w:right w:val="single" w:sz="5" w:space="0" w:color="000000"/>
            </w:tcBorders>
            <w:vAlign w:val="center"/>
          </w:tcPr>
          <w:p w14:paraId="7AB3AC9E" w14:textId="77777777" w:rsidR="004C5B6F" w:rsidRDefault="004C5B6F" w:rsidP="00584633">
            <w:pPr>
              <w:spacing w:before="72" w:after="60" w:line="224" w:lineRule="exact"/>
              <w:ind w:left="108" w:right="108"/>
              <w:jc w:val="both"/>
              <w:textAlignment w:val="baseline"/>
              <w:rPr>
                <w:rFonts w:ascii="Arial" w:eastAsia="Arial" w:hAnsi="Arial"/>
                <w:color w:val="000000"/>
                <w:sz w:val="18"/>
              </w:rPr>
            </w:pPr>
            <w:r>
              <w:rPr>
                <w:rFonts w:ascii="Arial" w:eastAsia="Arial" w:hAnsi="Arial"/>
                <w:color w:val="000000"/>
                <w:sz w:val="18"/>
              </w:rPr>
              <w:t>Documents d’identité électroniques pour les enfants belges de moins de douze ans,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3°</w:t>
            </w:r>
          </w:p>
        </w:tc>
        <w:tc>
          <w:tcPr>
            <w:tcW w:w="2471" w:type="dxa"/>
            <w:tcBorders>
              <w:top w:val="single" w:sz="5" w:space="0" w:color="000000"/>
              <w:left w:val="single" w:sz="5" w:space="0" w:color="000000"/>
              <w:bottom w:val="single" w:sz="5" w:space="0" w:color="000000"/>
              <w:right w:val="single" w:sz="5" w:space="0" w:color="000000"/>
            </w:tcBorders>
            <w:vAlign w:val="center"/>
          </w:tcPr>
          <w:p w14:paraId="59F23331" w14:textId="77777777" w:rsidR="004C5B6F" w:rsidRDefault="004C5B6F" w:rsidP="00584633">
            <w:pPr>
              <w:spacing w:before="209" w:after="168" w:line="203" w:lineRule="exact"/>
              <w:jc w:val="center"/>
              <w:textAlignment w:val="baseline"/>
              <w:rPr>
                <w:rFonts w:ascii="Arial" w:eastAsia="Arial" w:hAnsi="Arial"/>
                <w:color w:val="000000"/>
                <w:sz w:val="18"/>
              </w:rPr>
            </w:pPr>
            <w:r>
              <w:rPr>
                <w:rFonts w:ascii="Arial" w:eastAsia="Arial" w:hAnsi="Arial"/>
                <w:color w:val="000000"/>
                <w:sz w:val="18"/>
              </w:rPr>
              <w:t>€ 6,70</w:t>
            </w:r>
          </w:p>
        </w:tc>
      </w:tr>
      <w:tr w:rsidR="004C5B6F" w14:paraId="41BD3AEF" w14:textId="77777777" w:rsidTr="00584633">
        <w:trPr>
          <w:trHeight w:hRule="exact" w:val="586"/>
        </w:trPr>
        <w:tc>
          <w:tcPr>
            <w:tcW w:w="6869" w:type="dxa"/>
            <w:tcBorders>
              <w:top w:val="single" w:sz="5" w:space="0" w:color="000000"/>
              <w:left w:val="single" w:sz="5" w:space="0" w:color="000000"/>
              <w:bottom w:val="single" w:sz="5" w:space="0" w:color="000000"/>
              <w:right w:val="single" w:sz="5" w:space="0" w:color="000000"/>
            </w:tcBorders>
            <w:vAlign w:val="center"/>
          </w:tcPr>
          <w:p w14:paraId="6CCBBAA9" w14:textId="77777777" w:rsidR="004C5B6F" w:rsidRDefault="004C5B6F" w:rsidP="00584633">
            <w:pPr>
              <w:spacing w:before="79" w:after="64" w:line="221" w:lineRule="exact"/>
              <w:ind w:left="108" w:right="108"/>
              <w:jc w:val="both"/>
              <w:textAlignment w:val="baseline"/>
              <w:rPr>
                <w:rFonts w:ascii="Arial" w:eastAsia="Arial" w:hAnsi="Arial"/>
                <w:color w:val="000000"/>
                <w:sz w:val="18"/>
              </w:rPr>
            </w:pPr>
            <w:r>
              <w:rPr>
                <w:rFonts w:ascii="Arial" w:eastAsia="Arial" w:hAnsi="Arial"/>
                <w:color w:val="000000"/>
                <w:sz w:val="18"/>
              </w:rPr>
              <w:t>Documents de séjour électroniques délivrés aux étrangers séjournant légalement sur le territoire du Royaume,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xml:space="preserve">, 4°, f) à </w:t>
            </w:r>
            <w:r>
              <w:rPr>
                <w:rFonts w:ascii="Arial" w:eastAsia="Arial" w:hAnsi="Arial"/>
                <w:b/>
                <w:color w:val="000000"/>
                <w:sz w:val="18"/>
              </w:rPr>
              <w:t>g)</w:t>
            </w:r>
          </w:p>
        </w:tc>
        <w:tc>
          <w:tcPr>
            <w:tcW w:w="2471" w:type="dxa"/>
            <w:tcBorders>
              <w:top w:val="single" w:sz="5" w:space="0" w:color="000000"/>
              <w:left w:val="single" w:sz="5" w:space="0" w:color="000000"/>
              <w:bottom w:val="single" w:sz="5" w:space="0" w:color="000000"/>
              <w:right w:val="single" w:sz="5" w:space="0" w:color="000000"/>
            </w:tcBorders>
            <w:vAlign w:val="center"/>
          </w:tcPr>
          <w:p w14:paraId="5EC4DF73" w14:textId="77777777" w:rsidR="004C5B6F" w:rsidRDefault="004C5B6F" w:rsidP="00584633">
            <w:pPr>
              <w:spacing w:before="208" w:after="174" w:line="203" w:lineRule="exact"/>
              <w:jc w:val="center"/>
              <w:textAlignment w:val="baseline"/>
              <w:rPr>
                <w:rFonts w:ascii="Arial" w:eastAsia="Arial" w:hAnsi="Arial"/>
                <w:color w:val="000000"/>
                <w:sz w:val="18"/>
              </w:rPr>
            </w:pPr>
            <w:r>
              <w:rPr>
                <w:rFonts w:ascii="Arial" w:eastAsia="Arial" w:hAnsi="Arial"/>
                <w:color w:val="000000"/>
                <w:sz w:val="18"/>
              </w:rPr>
              <w:t>€ 16,70</w:t>
            </w:r>
          </w:p>
        </w:tc>
      </w:tr>
      <w:tr w:rsidR="004C5B6F" w14:paraId="72DBA38D" w14:textId="77777777" w:rsidTr="00584633">
        <w:trPr>
          <w:trHeight w:hRule="exact" w:val="580"/>
        </w:trPr>
        <w:tc>
          <w:tcPr>
            <w:tcW w:w="6869" w:type="dxa"/>
            <w:tcBorders>
              <w:top w:val="single" w:sz="5" w:space="0" w:color="000000"/>
              <w:left w:val="single" w:sz="5" w:space="0" w:color="000000"/>
              <w:bottom w:val="single" w:sz="5" w:space="0" w:color="000000"/>
              <w:right w:val="single" w:sz="5" w:space="0" w:color="000000"/>
            </w:tcBorders>
            <w:vAlign w:val="center"/>
          </w:tcPr>
          <w:p w14:paraId="138ABBD8" w14:textId="77777777" w:rsidR="004C5B6F" w:rsidRDefault="004C5B6F" w:rsidP="00584633">
            <w:pPr>
              <w:spacing w:before="79" w:after="54" w:line="221" w:lineRule="exact"/>
              <w:ind w:left="108" w:right="108"/>
              <w:jc w:val="both"/>
              <w:textAlignment w:val="baseline"/>
              <w:rPr>
                <w:rFonts w:ascii="Arial" w:eastAsia="Arial" w:hAnsi="Arial"/>
                <w:color w:val="000000"/>
                <w:sz w:val="18"/>
              </w:rPr>
            </w:pPr>
            <w:r>
              <w:rPr>
                <w:rFonts w:ascii="Arial" w:eastAsia="Arial" w:hAnsi="Arial"/>
                <w:color w:val="000000"/>
                <w:sz w:val="18"/>
              </w:rPr>
              <w:t>Documents de séjour électroniques délivrés aux étrangers séjournant légalement sur le territoire du Royaume,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xml:space="preserve">, 4°, a) à e) </w:t>
            </w:r>
            <w:r>
              <w:rPr>
                <w:rFonts w:ascii="Arial" w:eastAsia="Arial" w:hAnsi="Arial"/>
                <w:b/>
                <w:color w:val="000000"/>
                <w:sz w:val="18"/>
              </w:rPr>
              <w:t>et h) à l)</w:t>
            </w:r>
          </w:p>
        </w:tc>
        <w:tc>
          <w:tcPr>
            <w:tcW w:w="2471" w:type="dxa"/>
            <w:tcBorders>
              <w:top w:val="single" w:sz="5" w:space="0" w:color="000000"/>
              <w:left w:val="single" w:sz="5" w:space="0" w:color="000000"/>
              <w:bottom w:val="single" w:sz="5" w:space="0" w:color="000000"/>
              <w:right w:val="single" w:sz="5" w:space="0" w:color="000000"/>
            </w:tcBorders>
            <w:vAlign w:val="center"/>
          </w:tcPr>
          <w:p w14:paraId="4C54F8DA" w14:textId="77777777" w:rsidR="004C5B6F" w:rsidRDefault="004C5B6F" w:rsidP="00584633">
            <w:pPr>
              <w:spacing w:before="203" w:after="169" w:line="203" w:lineRule="exact"/>
              <w:jc w:val="center"/>
              <w:textAlignment w:val="baseline"/>
              <w:rPr>
                <w:rFonts w:ascii="Arial" w:eastAsia="Arial" w:hAnsi="Arial"/>
                <w:color w:val="000000"/>
                <w:sz w:val="18"/>
              </w:rPr>
            </w:pPr>
            <w:r>
              <w:rPr>
                <w:rFonts w:ascii="Arial" w:eastAsia="Arial" w:hAnsi="Arial"/>
                <w:color w:val="000000"/>
                <w:sz w:val="18"/>
              </w:rPr>
              <w:t>€ 17,20</w:t>
            </w:r>
          </w:p>
        </w:tc>
      </w:tr>
      <w:tr w:rsidR="004C5B6F" w14:paraId="77D77A80" w14:textId="77777777" w:rsidTr="00584633">
        <w:trPr>
          <w:trHeight w:hRule="exact" w:val="428"/>
        </w:trPr>
        <w:tc>
          <w:tcPr>
            <w:tcW w:w="9340" w:type="dxa"/>
            <w:gridSpan w:val="2"/>
            <w:tcBorders>
              <w:top w:val="single" w:sz="5" w:space="0" w:color="000000"/>
              <w:left w:val="single" w:sz="5" w:space="0" w:color="000000"/>
              <w:bottom w:val="single" w:sz="5" w:space="0" w:color="000000"/>
              <w:right w:val="single" w:sz="5" w:space="0" w:color="000000"/>
            </w:tcBorders>
          </w:tcPr>
          <w:p w14:paraId="6F1E48B0" w14:textId="77777777" w:rsidR="004C5B6F" w:rsidRDefault="004C5B6F" w:rsidP="004C5B6F">
            <w:pPr>
              <w:numPr>
                <w:ilvl w:val="0"/>
                <w:numId w:val="313"/>
              </w:numPr>
              <w:tabs>
                <w:tab w:val="clear" w:pos="720"/>
                <w:tab w:val="left" w:pos="864"/>
                <w:tab w:val="right" w:pos="9216"/>
              </w:tabs>
              <w:spacing w:after="2" w:line="211" w:lineRule="exact"/>
              <w:ind w:left="72" w:right="108" w:firstLine="72"/>
              <w:jc w:val="both"/>
              <w:textAlignment w:val="baseline"/>
              <w:rPr>
                <w:rFonts w:ascii="Arial" w:eastAsia="Arial" w:hAnsi="Arial"/>
                <w:b/>
                <w:color w:val="000000"/>
                <w:spacing w:val="-1"/>
                <w:sz w:val="18"/>
              </w:rPr>
            </w:pPr>
            <w:r>
              <w:rPr>
                <w:rFonts w:ascii="Arial" w:eastAsia="Arial" w:hAnsi="Arial"/>
                <w:b/>
                <w:color w:val="000000"/>
                <w:spacing w:val="-1"/>
                <w:sz w:val="18"/>
              </w:rPr>
              <w:t>P</w:t>
            </w:r>
            <w:r>
              <w:rPr>
                <w:rFonts w:ascii="Arial" w:eastAsia="Arial" w:hAnsi="Arial"/>
                <w:b/>
                <w:color w:val="000000"/>
                <w:spacing w:val="-1"/>
                <w:sz w:val="14"/>
              </w:rPr>
              <w:t>ROCEDURE D</w:t>
            </w:r>
            <w:r>
              <w:rPr>
                <w:rFonts w:ascii="Arial" w:eastAsia="Arial" w:hAnsi="Arial"/>
                <w:b/>
                <w:color w:val="000000"/>
                <w:spacing w:val="-1"/>
                <w:sz w:val="19"/>
              </w:rPr>
              <w:t>’</w:t>
            </w:r>
            <w:r>
              <w:rPr>
                <w:rFonts w:ascii="Arial" w:eastAsia="Arial" w:hAnsi="Arial"/>
                <w:b/>
                <w:color w:val="000000"/>
                <w:spacing w:val="-1"/>
                <w:sz w:val="14"/>
              </w:rPr>
              <w:t xml:space="preserve">URGENCE AVEC LIVRAISON CENTRALISEE DE LA CARTE ET DES CODES </w:t>
            </w:r>
            <w:r>
              <w:rPr>
                <w:rFonts w:ascii="Arial" w:eastAsia="Arial" w:hAnsi="Arial"/>
                <w:b/>
                <w:color w:val="000000"/>
                <w:spacing w:val="-1"/>
                <w:sz w:val="18"/>
              </w:rPr>
              <w:t xml:space="preserve">PIN/PUK </w:t>
            </w:r>
            <w:r>
              <w:rPr>
                <w:rFonts w:ascii="Arial" w:eastAsia="Arial" w:hAnsi="Arial"/>
                <w:b/>
                <w:color w:val="000000"/>
                <w:spacing w:val="-1"/>
                <w:sz w:val="14"/>
              </w:rPr>
              <w:t>A L</w:t>
            </w:r>
            <w:r>
              <w:rPr>
                <w:rFonts w:ascii="Arial" w:eastAsia="Arial" w:hAnsi="Arial"/>
                <w:b/>
                <w:color w:val="000000"/>
                <w:spacing w:val="-1"/>
                <w:sz w:val="19"/>
              </w:rPr>
              <w:t>’</w:t>
            </w:r>
            <w:r>
              <w:rPr>
                <w:rFonts w:ascii="Arial" w:eastAsia="Arial" w:hAnsi="Arial"/>
                <w:b/>
                <w:color w:val="000000"/>
                <w:spacing w:val="-1"/>
                <w:sz w:val="14"/>
              </w:rPr>
              <w:t xml:space="preserve">ADRESSE DE LA </w:t>
            </w:r>
            <w:r>
              <w:rPr>
                <w:rFonts w:ascii="Arial" w:eastAsia="Arial" w:hAnsi="Arial"/>
                <w:b/>
                <w:color w:val="000000"/>
                <w:spacing w:val="-1"/>
                <w:sz w:val="14"/>
              </w:rPr>
              <w:br/>
            </w:r>
            <w:r>
              <w:rPr>
                <w:rFonts w:ascii="Arial" w:eastAsia="Arial" w:hAnsi="Arial"/>
                <w:b/>
                <w:color w:val="000000"/>
                <w:spacing w:val="-1"/>
                <w:sz w:val="18"/>
              </w:rPr>
              <w:t>D</w:t>
            </w:r>
            <w:r>
              <w:rPr>
                <w:rFonts w:ascii="Arial" w:eastAsia="Arial" w:hAnsi="Arial"/>
                <w:b/>
                <w:color w:val="000000"/>
                <w:spacing w:val="-1"/>
                <w:sz w:val="14"/>
              </w:rPr>
              <w:t xml:space="preserve">IRECTION GENERALE </w:t>
            </w:r>
            <w:r>
              <w:rPr>
                <w:rFonts w:ascii="Arial" w:eastAsia="Arial" w:hAnsi="Arial"/>
                <w:b/>
                <w:color w:val="000000"/>
                <w:spacing w:val="-1"/>
                <w:sz w:val="18"/>
              </w:rPr>
              <w:t>I</w:t>
            </w:r>
            <w:r>
              <w:rPr>
                <w:rFonts w:ascii="Arial" w:eastAsia="Arial" w:hAnsi="Arial"/>
                <w:b/>
                <w:color w:val="000000"/>
                <w:spacing w:val="-1"/>
                <w:sz w:val="14"/>
              </w:rPr>
              <w:t xml:space="preserve">NSTITUTIONS ET </w:t>
            </w:r>
            <w:r>
              <w:rPr>
                <w:rFonts w:ascii="Arial" w:eastAsia="Arial" w:hAnsi="Arial"/>
                <w:b/>
                <w:color w:val="000000"/>
                <w:spacing w:val="-1"/>
                <w:sz w:val="18"/>
              </w:rPr>
              <w:t>P</w:t>
            </w:r>
            <w:r>
              <w:rPr>
                <w:rFonts w:ascii="Arial" w:eastAsia="Arial" w:hAnsi="Arial"/>
                <w:b/>
                <w:color w:val="000000"/>
                <w:spacing w:val="-1"/>
                <w:sz w:val="14"/>
              </w:rPr>
              <w:t xml:space="preserve">OPULATION DU </w:t>
            </w:r>
            <w:r>
              <w:rPr>
                <w:rFonts w:ascii="Arial" w:eastAsia="Arial" w:hAnsi="Arial"/>
                <w:b/>
                <w:color w:val="000000"/>
                <w:spacing w:val="-1"/>
                <w:sz w:val="18"/>
              </w:rPr>
              <w:t>SPF I</w:t>
            </w:r>
            <w:r>
              <w:rPr>
                <w:rFonts w:ascii="Arial" w:eastAsia="Arial" w:hAnsi="Arial"/>
                <w:b/>
                <w:color w:val="000000"/>
                <w:spacing w:val="-1"/>
                <w:sz w:val="14"/>
              </w:rPr>
              <w:t xml:space="preserve">NTERIEUR </w:t>
            </w:r>
            <w:r>
              <w:rPr>
                <w:rFonts w:ascii="Arial" w:eastAsia="Arial" w:hAnsi="Arial"/>
                <w:b/>
                <w:color w:val="000000"/>
                <w:spacing w:val="-1"/>
                <w:sz w:val="19"/>
              </w:rPr>
              <w:t xml:space="preserve">– </w:t>
            </w:r>
            <w:r>
              <w:rPr>
                <w:rFonts w:ascii="Arial" w:eastAsia="Arial" w:hAnsi="Arial"/>
                <w:b/>
                <w:color w:val="000000"/>
                <w:spacing w:val="-1"/>
                <w:sz w:val="18"/>
              </w:rPr>
              <w:t>B</w:t>
            </w:r>
            <w:r>
              <w:rPr>
                <w:rFonts w:ascii="Arial" w:eastAsia="Arial" w:hAnsi="Arial"/>
                <w:b/>
                <w:color w:val="000000"/>
                <w:spacing w:val="-1"/>
                <w:sz w:val="14"/>
              </w:rPr>
              <w:t xml:space="preserve">RUXELLES </w:t>
            </w:r>
            <w:r>
              <w:rPr>
                <w:rFonts w:ascii="Arial" w:eastAsia="Arial" w:hAnsi="Arial"/>
                <w:b/>
                <w:color w:val="000000"/>
                <w:spacing w:val="-1"/>
                <w:sz w:val="18"/>
              </w:rPr>
              <w:t>:</w:t>
            </w:r>
          </w:p>
        </w:tc>
      </w:tr>
      <w:tr w:rsidR="004C5B6F" w14:paraId="0B73492A" w14:textId="77777777" w:rsidTr="00584633">
        <w:trPr>
          <w:trHeight w:hRule="exact" w:val="350"/>
        </w:trPr>
        <w:tc>
          <w:tcPr>
            <w:tcW w:w="6869" w:type="dxa"/>
            <w:tcBorders>
              <w:top w:val="single" w:sz="5" w:space="0" w:color="000000"/>
              <w:left w:val="single" w:sz="5" w:space="0" w:color="000000"/>
              <w:bottom w:val="single" w:sz="5" w:space="0" w:color="000000"/>
              <w:right w:val="single" w:sz="5" w:space="0" w:color="000000"/>
            </w:tcBorders>
            <w:vAlign w:val="center"/>
          </w:tcPr>
          <w:p w14:paraId="2083765D" w14:textId="77777777" w:rsidR="004C5B6F" w:rsidRDefault="004C5B6F" w:rsidP="00584633">
            <w:pPr>
              <w:spacing w:before="84" w:after="52" w:line="208" w:lineRule="exact"/>
              <w:ind w:left="115"/>
              <w:textAlignment w:val="baseline"/>
              <w:rPr>
                <w:rFonts w:ascii="Arial" w:eastAsia="Arial" w:hAnsi="Arial"/>
                <w:color w:val="000000"/>
                <w:sz w:val="18"/>
              </w:rPr>
            </w:pPr>
            <w:r>
              <w:rPr>
                <w:rFonts w:ascii="Arial" w:eastAsia="Arial" w:hAnsi="Arial"/>
                <w:color w:val="000000"/>
                <w:sz w:val="18"/>
              </w:rPr>
              <w:t>Cartes d’identité électroniques pour les Belges, visées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1°</w:t>
            </w:r>
          </w:p>
        </w:tc>
        <w:tc>
          <w:tcPr>
            <w:tcW w:w="2471" w:type="dxa"/>
            <w:tcBorders>
              <w:top w:val="single" w:sz="5" w:space="0" w:color="000000"/>
              <w:left w:val="single" w:sz="5" w:space="0" w:color="000000"/>
              <w:bottom w:val="single" w:sz="5" w:space="0" w:color="000000"/>
              <w:right w:val="single" w:sz="5" w:space="0" w:color="000000"/>
            </w:tcBorders>
            <w:vAlign w:val="center"/>
          </w:tcPr>
          <w:p w14:paraId="6E609CFB" w14:textId="77777777" w:rsidR="004C5B6F" w:rsidRDefault="004C5B6F" w:rsidP="00584633">
            <w:pPr>
              <w:spacing w:before="88" w:after="53" w:line="203" w:lineRule="exact"/>
              <w:jc w:val="center"/>
              <w:textAlignment w:val="baseline"/>
              <w:rPr>
                <w:rFonts w:ascii="Arial" w:eastAsia="Arial" w:hAnsi="Arial"/>
                <w:color w:val="000000"/>
                <w:sz w:val="18"/>
              </w:rPr>
            </w:pPr>
            <w:r>
              <w:rPr>
                <w:rFonts w:ascii="Arial" w:eastAsia="Arial" w:hAnsi="Arial"/>
                <w:color w:val="000000"/>
                <w:sz w:val="18"/>
              </w:rPr>
              <w:t>€ 134,10</w:t>
            </w:r>
          </w:p>
        </w:tc>
      </w:tr>
      <w:tr w:rsidR="004C5B6F" w14:paraId="377711ED" w14:textId="77777777" w:rsidTr="00584633">
        <w:trPr>
          <w:trHeight w:hRule="exact" w:val="586"/>
        </w:trPr>
        <w:tc>
          <w:tcPr>
            <w:tcW w:w="6869" w:type="dxa"/>
            <w:tcBorders>
              <w:top w:val="single" w:sz="5" w:space="0" w:color="000000"/>
              <w:left w:val="single" w:sz="5" w:space="0" w:color="000000"/>
              <w:bottom w:val="single" w:sz="5" w:space="0" w:color="000000"/>
              <w:right w:val="single" w:sz="5" w:space="0" w:color="000000"/>
            </w:tcBorders>
            <w:vAlign w:val="center"/>
          </w:tcPr>
          <w:p w14:paraId="60CA8D06" w14:textId="77777777" w:rsidR="004C5B6F" w:rsidRDefault="004C5B6F" w:rsidP="00584633">
            <w:pPr>
              <w:spacing w:before="73" w:after="66" w:line="223" w:lineRule="exact"/>
              <w:ind w:left="108" w:right="108"/>
              <w:jc w:val="both"/>
              <w:textAlignment w:val="baseline"/>
              <w:rPr>
                <w:rFonts w:ascii="Arial" w:eastAsia="Arial" w:hAnsi="Arial"/>
                <w:color w:val="000000"/>
                <w:sz w:val="18"/>
              </w:rPr>
            </w:pPr>
            <w:r>
              <w:rPr>
                <w:rFonts w:ascii="Arial" w:eastAsia="Arial" w:hAnsi="Arial"/>
                <w:color w:val="000000"/>
                <w:sz w:val="18"/>
              </w:rPr>
              <w:t>Documents d’identité électroniques pour les enfants belges de moins de douze ans,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3°</w:t>
            </w:r>
          </w:p>
        </w:tc>
        <w:tc>
          <w:tcPr>
            <w:tcW w:w="2471" w:type="dxa"/>
            <w:tcBorders>
              <w:top w:val="single" w:sz="5" w:space="0" w:color="000000"/>
              <w:left w:val="single" w:sz="5" w:space="0" w:color="000000"/>
              <w:bottom w:val="single" w:sz="5" w:space="0" w:color="000000"/>
              <w:right w:val="single" w:sz="5" w:space="0" w:color="000000"/>
            </w:tcBorders>
            <w:vAlign w:val="center"/>
          </w:tcPr>
          <w:p w14:paraId="559104EE" w14:textId="77777777" w:rsidR="004C5B6F" w:rsidRDefault="004C5B6F" w:rsidP="00584633">
            <w:pPr>
              <w:spacing w:before="208" w:after="174" w:line="203" w:lineRule="exact"/>
              <w:jc w:val="center"/>
              <w:textAlignment w:val="baseline"/>
              <w:rPr>
                <w:rFonts w:ascii="Arial" w:eastAsia="Arial" w:hAnsi="Arial"/>
                <w:color w:val="000000"/>
                <w:sz w:val="18"/>
              </w:rPr>
            </w:pPr>
            <w:r>
              <w:rPr>
                <w:rFonts w:ascii="Arial" w:eastAsia="Arial" w:hAnsi="Arial"/>
                <w:color w:val="000000"/>
                <w:sz w:val="18"/>
              </w:rPr>
              <w:t>€ 124,20</w:t>
            </w:r>
          </w:p>
        </w:tc>
      </w:tr>
      <w:tr w:rsidR="004C5B6F" w14:paraId="4C12D0F0" w14:textId="77777777" w:rsidTr="00584633">
        <w:trPr>
          <w:trHeight w:hRule="exact" w:val="216"/>
        </w:trPr>
        <w:tc>
          <w:tcPr>
            <w:tcW w:w="9340" w:type="dxa"/>
            <w:gridSpan w:val="2"/>
            <w:tcBorders>
              <w:top w:val="single" w:sz="5" w:space="0" w:color="000000"/>
              <w:left w:val="single" w:sz="5" w:space="0" w:color="000000"/>
              <w:bottom w:val="single" w:sz="5" w:space="0" w:color="000000"/>
              <w:right w:val="single" w:sz="5" w:space="0" w:color="000000"/>
            </w:tcBorders>
            <w:vAlign w:val="center"/>
          </w:tcPr>
          <w:p w14:paraId="6DF7876A" w14:textId="77777777" w:rsidR="004C5B6F" w:rsidRDefault="004C5B6F" w:rsidP="004C5B6F">
            <w:pPr>
              <w:numPr>
                <w:ilvl w:val="0"/>
                <w:numId w:val="313"/>
              </w:numPr>
              <w:tabs>
                <w:tab w:val="clear" w:pos="720"/>
                <w:tab w:val="left" w:pos="792"/>
              </w:tabs>
              <w:spacing w:after="2" w:line="209" w:lineRule="exact"/>
              <w:ind w:left="72"/>
              <w:textAlignment w:val="baseline"/>
              <w:rPr>
                <w:rFonts w:ascii="Arial" w:eastAsia="Arial" w:hAnsi="Arial"/>
                <w:b/>
                <w:color w:val="000000"/>
                <w:sz w:val="18"/>
              </w:rPr>
            </w:pPr>
            <w:r>
              <w:rPr>
                <w:rFonts w:ascii="Arial" w:eastAsia="Arial" w:hAnsi="Arial"/>
                <w:b/>
                <w:color w:val="000000"/>
                <w:sz w:val="18"/>
              </w:rPr>
              <w:t>P</w:t>
            </w:r>
            <w:r>
              <w:rPr>
                <w:rFonts w:ascii="Arial" w:eastAsia="Arial" w:hAnsi="Arial"/>
                <w:b/>
                <w:color w:val="000000"/>
                <w:sz w:val="14"/>
              </w:rPr>
              <w:t>ROCEDURE D</w:t>
            </w:r>
            <w:r>
              <w:rPr>
                <w:rFonts w:ascii="Arial" w:eastAsia="Arial" w:hAnsi="Arial"/>
                <w:b/>
                <w:color w:val="000000"/>
                <w:sz w:val="19"/>
              </w:rPr>
              <w:t>’</w:t>
            </w:r>
            <w:r>
              <w:rPr>
                <w:rFonts w:ascii="Arial" w:eastAsia="Arial" w:hAnsi="Arial"/>
                <w:b/>
                <w:color w:val="000000"/>
                <w:sz w:val="14"/>
              </w:rPr>
              <w:t xml:space="preserve">URGENCE AVEC LIVRAISON DE LA CARTE ET DES CODES </w:t>
            </w:r>
            <w:r>
              <w:rPr>
                <w:rFonts w:ascii="Arial" w:eastAsia="Arial" w:hAnsi="Arial"/>
                <w:b/>
                <w:color w:val="000000"/>
                <w:sz w:val="18"/>
              </w:rPr>
              <w:t xml:space="preserve">PIN/PUK </w:t>
            </w:r>
            <w:r>
              <w:rPr>
                <w:rFonts w:ascii="Arial" w:eastAsia="Arial" w:hAnsi="Arial"/>
                <w:b/>
                <w:color w:val="000000"/>
                <w:sz w:val="14"/>
              </w:rPr>
              <w:t xml:space="preserve">DANS LES COMMUNES </w:t>
            </w:r>
            <w:r>
              <w:rPr>
                <w:rFonts w:ascii="Arial" w:eastAsia="Arial" w:hAnsi="Arial"/>
                <w:b/>
                <w:color w:val="000000"/>
                <w:sz w:val="18"/>
              </w:rPr>
              <w:t>:</w:t>
            </w:r>
          </w:p>
        </w:tc>
      </w:tr>
      <w:tr w:rsidR="004C5B6F" w14:paraId="0D122C30" w14:textId="77777777" w:rsidTr="00584633">
        <w:trPr>
          <w:trHeight w:hRule="exact" w:val="585"/>
        </w:trPr>
        <w:tc>
          <w:tcPr>
            <w:tcW w:w="6869" w:type="dxa"/>
            <w:tcBorders>
              <w:top w:val="single" w:sz="5" w:space="0" w:color="000000"/>
              <w:left w:val="single" w:sz="5" w:space="0" w:color="000000"/>
              <w:bottom w:val="single" w:sz="5" w:space="0" w:color="000000"/>
              <w:right w:val="single" w:sz="5" w:space="0" w:color="000000"/>
            </w:tcBorders>
            <w:vAlign w:val="center"/>
          </w:tcPr>
          <w:p w14:paraId="08E66287" w14:textId="77777777" w:rsidR="004C5B6F" w:rsidRDefault="004C5B6F" w:rsidP="00584633">
            <w:pPr>
              <w:spacing w:before="56" w:after="51" w:line="234" w:lineRule="exact"/>
              <w:ind w:left="108" w:right="108"/>
              <w:jc w:val="both"/>
              <w:textAlignment w:val="baseline"/>
              <w:rPr>
                <w:rFonts w:ascii="Arial" w:eastAsia="Arial" w:hAnsi="Arial"/>
                <w:color w:val="000000"/>
                <w:sz w:val="18"/>
              </w:rPr>
            </w:pPr>
            <w:r>
              <w:rPr>
                <w:rFonts w:ascii="Arial" w:eastAsia="Arial" w:hAnsi="Arial"/>
                <w:color w:val="000000"/>
                <w:sz w:val="18"/>
              </w:rPr>
              <w:t>Cartes d’identité électroniques pour les Belges, visées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1° et 2°</w:t>
            </w:r>
          </w:p>
        </w:tc>
        <w:tc>
          <w:tcPr>
            <w:tcW w:w="2471" w:type="dxa"/>
            <w:tcBorders>
              <w:top w:val="single" w:sz="5" w:space="0" w:color="000000"/>
              <w:left w:val="single" w:sz="5" w:space="0" w:color="000000"/>
              <w:bottom w:val="single" w:sz="5" w:space="0" w:color="000000"/>
              <w:right w:val="single" w:sz="5" w:space="0" w:color="000000"/>
            </w:tcBorders>
            <w:vAlign w:val="center"/>
          </w:tcPr>
          <w:p w14:paraId="095E98A2" w14:textId="77777777" w:rsidR="004C5B6F" w:rsidRDefault="004C5B6F" w:rsidP="00584633">
            <w:pPr>
              <w:spacing w:before="208" w:after="164" w:line="203" w:lineRule="exact"/>
              <w:jc w:val="center"/>
              <w:textAlignment w:val="baseline"/>
              <w:rPr>
                <w:rFonts w:ascii="Arial" w:eastAsia="Arial" w:hAnsi="Arial"/>
                <w:color w:val="000000"/>
                <w:sz w:val="18"/>
              </w:rPr>
            </w:pPr>
            <w:r>
              <w:rPr>
                <w:rFonts w:ascii="Arial" w:eastAsia="Arial" w:hAnsi="Arial"/>
                <w:color w:val="000000"/>
                <w:sz w:val="18"/>
              </w:rPr>
              <w:t>€ 101,90</w:t>
            </w:r>
          </w:p>
        </w:tc>
      </w:tr>
      <w:tr w:rsidR="004C5B6F" w14:paraId="2BA4269E" w14:textId="77777777" w:rsidTr="00584633">
        <w:trPr>
          <w:trHeight w:hRule="exact" w:val="586"/>
        </w:trPr>
        <w:tc>
          <w:tcPr>
            <w:tcW w:w="6869" w:type="dxa"/>
            <w:tcBorders>
              <w:top w:val="single" w:sz="5" w:space="0" w:color="000000"/>
              <w:left w:val="single" w:sz="5" w:space="0" w:color="000000"/>
              <w:bottom w:val="single" w:sz="5" w:space="0" w:color="000000"/>
              <w:right w:val="single" w:sz="5" w:space="0" w:color="000000"/>
            </w:tcBorders>
            <w:vAlign w:val="center"/>
          </w:tcPr>
          <w:p w14:paraId="0D35DCCC" w14:textId="77777777" w:rsidR="004C5B6F" w:rsidRDefault="004C5B6F" w:rsidP="00584633">
            <w:pPr>
              <w:spacing w:before="73" w:after="61" w:line="223" w:lineRule="exact"/>
              <w:ind w:left="108" w:right="108"/>
              <w:jc w:val="both"/>
              <w:textAlignment w:val="baseline"/>
              <w:rPr>
                <w:rFonts w:ascii="Arial" w:eastAsia="Arial" w:hAnsi="Arial"/>
                <w:color w:val="000000"/>
                <w:sz w:val="18"/>
              </w:rPr>
            </w:pPr>
            <w:r>
              <w:rPr>
                <w:rFonts w:ascii="Arial" w:eastAsia="Arial" w:hAnsi="Arial"/>
                <w:color w:val="000000"/>
                <w:sz w:val="18"/>
              </w:rPr>
              <w:t>Documents d’identité électroniques pour les enfants belges de moins de douze ans,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3°</w:t>
            </w:r>
          </w:p>
        </w:tc>
        <w:tc>
          <w:tcPr>
            <w:tcW w:w="2471" w:type="dxa"/>
            <w:tcBorders>
              <w:top w:val="single" w:sz="5" w:space="0" w:color="000000"/>
              <w:left w:val="single" w:sz="5" w:space="0" w:color="000000"/>
              <w:bottom w:val="single" w:sz="5" w:space="0" w:color="000000"/>
              <w:right w:val="single" w:sz="5" w:space="0" w:color="000000"/>
            </w:tcBorders>
            <w:vAlign w:val="center"/>
          </w:tcPr>
          <w:p w14:paraId="666429CA" w14:textId="77777777" w:rsidR="004C5B6F" w:rsidRDefault="004C5B6F" w:rsidP="00584633">
            <w:pPr>
              <w:spacing w:before="204" w:after="173" w:line="203" w:lineRule="exact"/>
              <w:jc w:val="center"/>
              <w:textAlignment w:val="baseline"/>
              <w:rPr>
                <w:rFonts w:ascii="Arial" w:eastAsia="Arial" w:hAnsi="Arial"/>
                <w:color w:val="000000"/>
                <w:sz w:val="18"/>
              </w:rPr>
            </w:pPr>
            <w:r>
              <w:rPr>
                <w:rFonts w:ascii="Arial" w:eastAsia="Arial" w:hAnsi="Arial"/>
                <w:color w:val="000000"/>
                <w:sz w:val="18"/>
              </w:rPr>
              <w:t>€ 91,90</w:t>
            </w:r>
          </w:p>
        </w:tc>
      </w:tr>
      <w:tr w:rsidR="004C5B6F" w14:paraId="647CA5C8" w14:textId="77777777" w:rsidTr="00584633">
        <w:trPr>
          <w:trHeight w:hRule="exact" w:val="581"/>
        </w:trPr>
        <w:tc>
          <w:tcPr>
            <w:tcW w:w="6869" w:type="dxa"/>
            <w:tcBorders>
              <w:top w:val="single" w:sz="5" w:space="0" w:color="000000"/>
              <w:left w:val="single" w:sz="5" w:space="0" w:color="000000"/>
              <w:bottom w:val="single" w:sz="5" w:space="0" w:color="000000"/>
              <w:right w:val="single" w:sz="5" w:space="0" w:color="000000"/>
            </w:tcBorders>
          </w:tcPr>
          <w:p w14:paraId="536A3504" w14:textId="77777777" w:rsidR="004C5B6F" w:rsidRDefault="004C5B6F" w:rsidP="00584633">
            <w:pPr>
              <w:spacing w:before="74" w:after="52" w:line="222" w:lineRule="exact"/>
              <w:ind w:left="108" w:right="108"/>
              <w:jc w:val="both"/>
              <w:textAlignment w:val="baseline"/>
              <w:rPr>
                <w:rFonts w:ascii="Arial" w:eastAsia="Arial" w:hAnsi="Arial"/>
                <w:color w:val="000000"/>
                <w:sz w:val="18"/>
              </w:rPr>
            </w:pPr>
            <w:r>
              <w:rPr>
                <w:rFonts w:ascii="Arial" w:eastAsia="Arial" w:hAnsi="Arial"/>
                <w:color w:val="000000"/>
                <w:sz w:val="18"/>
              </w:rPr>
              <w:t>Documents de séjour électroniques délivrés aux étrangers séjournant légalement sur le territoire du Royaume,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xml:space="preserve">, 4°, f) à </w:t>
            </w:r>
            <w:r>
              <w:rPr>
                <w:rFonts w:ascii="Arial" w:eastAsia="Arial" w:hAnsi="Arial"/>
                <w:b/>
                <w:color w:val="000000"/>
                <w:sz w:val="18"/>
              </w:rPr>
              <w:t>g)</w:t>
            </w:r>
          </w:p>
        </w:tc>
        <w:tc>
          <w:tcPr>
            <w:tcW w:w="2471" w:type="dxa"/>
            <w:tcBorders>
              <w:top w:val="single" w:sz="5" w:space="0" w:color="000000"/>
              <w:left w:val="single" w:sz="5" w:space="0" w:color="000000"/>
              <w:bottom w:val="single" w:sz="5" w:space="0" w:color="000000"/>
              <w:right w:val="single" w:sz="5" w:space="0" w:color="000000"/>
            </w:tcBorders>
            <w:vAlign w:val="center"/>
          </w:tcPr>
          <w:p w14:paraId="2C80CE72" w14:textId="77777777" w:rsidR="004C5B6F" w:rsidRDefault="004C5B6F" w:rsidP="00584633">
            <w:pPr>
              <w:spacing w:before="203" w:after="164" w:line="203" w:lineRule="exact"/>
              <w:jc w:val="center"/>
              <w:textAlignment w:val="baseline"/>
              <w:rPr>
                <w:rFonts w:ascii="Arial" w:eastAsia="Arial" w:hAnsi="Arial"/>
                <w:color w:val="000000"/>
                <w:sz w:val="18"/>
              </w:rPr>
            </w:pPr>
            <w:r>
              <w:rPr>
                <w:rFonts w:ascii="Arial" w:eastAsia="Arial" w:hAnsi="Arial"/>
                <w:color w:val="000000"/>
                <w:sz w:val="18"/>
              </w:rPr>
              <w:t>€ 101,90</w:t>
            </w:r>
          </w:p>
        </w:tc>
      </w:tr>
      <w:tr w:rsidR="004C5B6F" w14:paraId="7E1748B4" w14:textId="77777777" w:rsidTr="00584633">
        <w:trPr>
          <w:trHeight w:hRule="exact" w:val="590"/>
        </w:trPr>
        <w:tc>
          <w:tcPr>
            <w:tcW w:w="6869" w:type="dxa"/>
            <w:tcBorders>
              <w:top w:val="single" w:sz="5" w:space="0" w:color="000000"/>
              <w:left w:val="single" w:sz="5" w:space="0" w:color="000000"/>
              <w:bottom w:val="single" w:sz="5" w:space="0" w:color="000000"/>
              <w:right w:val="single" w:sz="5" w:space="0" w:color="000000"/>
            </w:tcBorders>
          </w:tcPr>
          <w:p w14:paraId="1CF0D69B" w14:textId="77777777" w:rsidR="004C5B6F" w:rsidRDefault="004C5B6F" w:rsidP="00584633">
            <w:pPr>
              <w:spacing w:before="80" w:after="58" w:line="221" w:lineRule="exact"/>
              <w:ind w:left="108" w:right="108"/>
              <w:jc w:val="both"/>
              <w:textAlignment w:val="baseline"/>
              <w:rPr>
                <w:rFonts w:ascii="Arial" w:eastAsia="Arial" w:hAnsi="Arial"/>
                <w:color w:val="000000"/>
                <w:sz w:val="18"/>
              </w:rPr>
            </w:pPr>
            <w:r>
              <w:rPr>
                <w:rFonts w:ascii="Arial" w:eastAsia="Arial" w:hAnsi="Arial"/>
                <w:color w:val="000000"/>
                <w:sz w:val="18"/>
              </w:rPr>
              <w:t>Documents de séjour électroniques délivrés aux étrangers séjournant légalement sur le territoire du Royaume, visés à l’article 1</w:t>
            </w:r>
            <w:r>
              <w:rPr>
                <w:rFonts w:ascii="Arial" w:eastAsia="Arial" w:hAnsi="Arial"/>
                <w:color w:val="000000"/>
                <w:sz w:val="18"/>
                <w:vertAlign w:val="superscript"/>
              </w:rPr>
              <w:t>er</w:t>
            </w:r>
            <w:r>
              <w:rPr>
                <w:rFonts w:ascii="Arial" w:eastAsia="Arial" w:hAnsi="Arial"/>
                <w:color w:val="000000"/>
                <w:sz w:val="18"/>
              </w:rPr>
              <w:t>, alinéa 1</w:t>
            </w:r>
            <w:r>
              <w:rPr>
                <w:rFonts w:ascii="Arial" w:eastAsia="Arial" w:hAnsi="Arial"/>
                <w:color w:val="000000"/>
                <w:sz w:val="18"/>
                <w:vertAlign w:val="superscript"/>
              </w:rPr>
              <w:t>er</w:t>
            </w:r>
            <w:r>
              <w:rPr>
                <w:rFonts w:ascii="Arial" w:eastAsia="Arial" w:hAnsi="Arial"/>
                <w:color w:val="000000"/>
                <w:sz w:val="18"/>
              </w:rPr>
              <w:t xml:space="preserve">, 4°, a) à e) </w:t>
            </w:r>
            <w:r>
              <w:rPr>
                <w:rFonts w:ascii="Arial" w:eastAsia="Arial" w:hAnsi="Arial"/>
                <w:b/>
                <w:color w:val="000000"/>
                <w:sz w:val="18"/>
              </w:rPr>
              <w:t>et h) à l)</w:t>
            </w:r>
          </w:p>
        </w:tc>
        <w:tc>
          <w:tcPr>
            <w:tcW w:w="2471" w:type="dxa"/>
            <w:tcBorders>
              <w:top w:val="single" w:sz="5" w:space="0" w:color="000000"/>
              <w:left w:val="single" w:sz="5" w:space="0" w:color="000000"/>
              <w:bottom w:val="single" w:sz="5" w:space="0" w:color="000000"/>
              <w:right w:val="single" w:sz="5" w:space="0" w:color="000000"/>
            </w:tcBorders>
            <w:vAlign w:val="center"/>
          </w:tcPr>
          <w:p w14:paraId="5E65AFD4" w14:textId="77777777" w:rsidR="004C5B6F" w:rsidRDefault="004C5B6F" w:rsidP="00584633">
            <w:pPr>
              <w:spacing w:before="208" w:after="169" w:line="203" w:lineRule="exact"/>
              <w:jc w:val="center"/>
              <w:textAlignment w:val="baseline"/>
              <w:rPr>
                <w:rFonts w:ascii="Arial" w:eastAsia="Arial" w:hAnsi="Arial"/>
                <w:color w:val="000000"/>
                <w:sz w:val="18"/>
              </w:rPr>
            </w:pPr>
            <w:r>
              <w:rPr>
                <w:rFonts w:ascii="Arial" w:eastAsia="Arial" w:hAnsi="Arial"/>
                <w:color w:val="000000"/>
                <w:sz w:val="18"/>
              </w:rPr>
              <w:t>€ 101,90</w:t>
            </w:r>
          </w:p>
        </w:tc>
      </w:tr>
    </w:tbl>
    <w:p w14:paraId="0B3F967C" w14:textId="77777777" w:rsidR="004C5B6F" w:rsidRDefault="004C5B6F" w:rsidP="00C97323">
      <w:pPr>
        <w:spacing w:before="120"/>
        <w:jc w:val="both"/>
        <w:textAlignment w:val="baseline"/>
        <w:rPr>
          <w:rFonts w:asciiTheme="minorHAnsi" w:hAnsiTheme="minorHAnsi" w:cs="Calibri Light"/>
        </w:rPr>
      </w:pPr>
    </w:p>
    <w:p w14:paraId="63273995" w14:textId="31EDCF89" w:rsidR="00E9556C" w:rsidRDefault="00EC520F" w:rsidP="00C97323">
      <w:pPr>
        <w:spacing w:before="120"/>
        <w:jc w:val="both"/>
        <w:textAlignment w:val="baseline"/>
        <w:rPr>
          <w:rFonts w:asciiTheme="minorHAnsi" w:hAnsiTheme="minorHAnsi" w:cs="Calibri Light"/>
        </w:rPr>
      </w:pPr>
      <w:r>
        <w:rPr>
          <w:rFonts w:asciiTheme="minorHAnsi" w:hAnsiTheme="minorHAnsi" w:cs="Calibri Light"/>
        </w:rPr>
        <w:t>À</w:t>
      </w:r>
      <w:r w:rsidR="00E9556C" w:rsidRPr="008D7EB7">
        <w:rPr>
          <w:rFonts w:asciiTheme="minorHAnsi" w:hAnsiTheme="minorHAnsi" w:cs="Calibri Light"/>
        </w:rPr>
        <w:t xml:space="preserve"> partir du </w:t>
      </w:r>
      <w:r w:rsidR="00C97323">
        <w:rPr>
          <w:rFonts w:asciiTheme="minorHAnsi" w:hAnsiTheme="minorHAnsi" w:cs="Calibri Light"/>
        </w:rPr>
        <w:t>1</w:t>
      </w:r>
      <w:r w:rsidR="00C97323" w:rsidRPr="008D7EB7">
        <w:rPr>
          <w:rFonts w:asciiTheme="minorHAnsi" w:hAnsiTheme="minorHAnsi" w:cs="Calibri Light"/>
          <w:vertAlign w:val="superscript"/>
        </w:rPr>
        <w:t>er</w:t>
      </w:r>
      <w:r w:rsidR="00C97323">
        <w:rPr>
          <w:rFonts w:asciiTheme="minorHAnsi" w:hAnsiTheme="minorHAnsi" w:cs="Calibri Light"/>
        </w:rPr>
        <w:t xml:space="preserve"> </w:t>
      </w:r>
      <w:r w:rsidR="00E9556C" w:rsidRPr="008D7EB7">
        <w:rPr>
          <w:rFonts w:asciiTheme="minorHAnsi" w:hAnsiTheme="minorHAnsi" w:cs="Calibri Light"/>
        </w:rPr>
        <w:t>janvier 2020, les montants des rétributions à charge des communes pour l'obtention des cartes et documents mentionnés ci-avant sont automatiquement revus sur la base des fluctuations de l'indice santé suivant la formule suivante : nouveau tarif = (tarif de base x nouvel indice) / indice de base.</w:t>
      </w:r>
    </w:p>
    <w:p w14:paraId="72D8F58C" w14:textId="08618B52"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L'indice de base est l'indice santé applicable au mois de décembre 2018 et le nouvel indice est l'indice santé applicable au cours du mois de septembre précédant la révision du montant des rétributions.</w:t>
      </w:r>
    </w:p>
    <w:p w14:paraId="0850F5B2" w14:textId="77CE18C6" w:rsidR="00E9556C" w:rsidRPr="008D7EB7" w:rsidRDefault="00C97323" w:rsidP="008D7EB7">
      <w:pPr>
        <w:spacing w:before="120"/>
        <w:jc w:val="both"/>
        <w:textAlignment w:val="baseline"/>
        <w:rPr>
          <w:rFonts w:asciiTheme="minorHAnsi" w:hAnsiTheme="minorHAnsi" w:cs="Calibri Light"/>
        </w:rPr>
      </w:pPr>
      <w:r>
        <w:rPr>
          <w:rFonts w:asciiTheme="minorHAnsi" w:hAnsiTheme="minorHAnsi" w:cs="Calibri Light"/>
        </w:rPr>
        <w:t>L</w:t>
      </w:r>
      <w:r w:rsidR="00E9556C" w:rsidRPr="008D7EB7">
        <w:rPr>
          <w:rFonts w:asciiTheme="minorHAnsi" w:hAnsiTheme="minorHAnsi" w:cs="Calibri Light"/>
        </w:rPr>
        <w:t>es résultats obtenus sont arrondis à la dizaine d'euro cent supérieure.</w:t>
      </w:r>
    </w:p>
    <w:p w14:paraId="24EE6EA1" w14:textId="6FEB1ACA"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lastRenderedPageBreak/>
        <w:t xml:space="preserve">Les montants </w:t>
      </w:r>
      <w:r w:rsidR="00622B11" w:rsidRPr="008D7EB7">
        <w:rPr>
          <w:rFonts w:asciiTheme="minorHAnsi" w:hAnsiTheme="minorHAnsi" w:cs="Calibri Light"/>
        </w:rPr>
        <w:t xml:space="preserve">indexés </w:t>
      </w:r>
      <w:r w:rsidRPr="008D7EB7">
        <w:rPr>
          <w:rFonts w:asciiTheme="minorHAnsi" w:hAnsiTheme="minorHAnsi" w:cs="Calibri Light"/>
        </w:rPr>
        <w:t>sont communiqués à l'initiative du Ministre Fédéral ayant l'Intérieur dans ses attributions aux communes dans le courant du mois de septembre de chaque année.</w:t>
      </w:r>
    </w:p>
    <w:p w14:paraId="6A16DC78" w14:textId="296F9CD6"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Les rétributions réclamées par les communes pour la délivrance, le renouvellement ou la prorogation des titres de séjour des étrangers doivent être égales à celles qui sont exigées des citoyens belges. </w:t>
      </w:r>
    </w:p>
    <w:p w14:paraId="0A14DA76" w14:textId="39E0957C"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La loi du 14 mars 1968 abrogeant les lois relatives aux taxes de séjour des étrangers, coordonnées le 12 octobre 1953 modifiée par la loi du 18 décembre 2016 prévoit que les communes peuvent déterminer de manière autonome le montant des rétributions qu'elles perçoivent pour le renouvellement, la prorogation ou le remplacement de certains titres de séjour déterminés par le Roi, par un arrêté délibéré en Conseil des ministres, pour autant qu'elles n'excèdent pas le montant maximum fixé par le Roi, par un arrêté délibéré en Conseil des ministres.</w:t>
      </w:r>
    </w:p>
    <w:p w14:paraId="6F9E8781" w14:textId="77D3846B"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L’arrêté royal du 5 mars 2017 déterminant les titres de séjour pour lesquels les communes peuvent percevoir des rétributions pour leur renouvellement, prorogation ou remplacement et déterminant le montant maximum mentionné à l'article 2, § 2, de la loi du 14 mars 1968 abrogeant les lois relatives aux taxes de séjour des étrangers, coordonnées le 12 octobre 1953 détermine les titres de séjour pour lesquels les communes peuvent percevoir des rétributions pour leur renouvellement, prorogation ou remplacement. </w:t>
      </w:r>
    </w:p>
    <w:p w14:paraId="2852E0B7" w14:textId="79E8AA4A"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Le titre de séjour pour lequel les communes peuvent percevoir des rétributions pour leur renouvellement, prorogation ou remplacement est le certificat d'inscription au Registre des </w:t>
      </w:r>
      <w:r w:rsidR="00EC520F" w:rsidRPr="008D7EB7">
        <w:rPr>
          <w:rFonts w:asciiTheme="minorHAnsi" w:hAnsiTheme="minorHAnsi" w:cs="Calibri Light"/>
        </w:rPr>
        <w:t>Étrangers</w:t>
      </w:r>
      <w:r w:rsidRPr="008D7EB7">
        <w:rPr>
          <w:rFonts w:asciiTheme="minorHAnsi" w:hAnsiTheme="minorHAnsi" w:cs="Calibri Light"/>
        </w:rPr>
        <w:t xml:space="preserve"> - séjour temporaire (carte électronique A). Le montant maximum de la rétribution pour le renouvellement, la prorogation ou le remplacement du titre de séjour susvisé est fixé à 50,00 </w:t>
      </w:r>
      <w:r w:rsidR="00961214">
        <w:rPr>
          <w:rFonts w:asciiTheme="minorHAnsi" w:hAnsiTheme="minorHAnsi" w:cs="Calibri Light"/>
        </w:rPr>
        <w:t>euros</w:t>
      </w:r>
      <w:r w:rsidRPr="008D7EB7">
        <w:rPr>
          <w:rFonts w:asciiTheme="minorHAnsi" w:hAnsiTheme="minorHAnsi" w:cs="Calibri Light"/>
        </w:rPr>
        <w:t xml:space="preserve">. </w:t>
      </w:r>
    </w:p>
    <w:p w14:paraId="694EA374" w14:textId="5A166AFA" w:rsidR="00E9556C" w:rsidRPr="008D7EB7"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Ce montant maximum se justifie par la mesure des charges administratives des communes relatives aux demandes de prorogation du séjour d'un étranger laquelle a été exécutée par le bureau de mesure de l'Agence pour la Simplification administrative (ASA) entre juillet 2015 et septembre 2015. Cette mesure a très précisément mis en exergue les frais administratifs engendrés par cette prorogation ainsi que les différentes étapes que les communes doivent franchir avant de pouvoir délivrer les documents au ressortissant étranger. Cette mesure a révélé que le traitement administratif assuré par les communes était sensiblement plus long pour la prorogation du certificat d'inscription au Registre des </w:t>
      </w:r>
      <w:r w:rsidR="00EC520F" w:rsidRPr="008D7EB7">
        <w:rPr>
          <w:rFonts w:asciiTheme="minorHAnsi" w:hAnsiTheme="minorHAnsi" w:cs="Calibri Light"/>
        </w:rPr>
        <w:t>Étrangers</w:t>
      </w:r>
      <w:r w:rsidRPr="008D7EB7">
        <w:rPr>
          <w:rFonts w:asciiTheme="minorHAnsi" w:hAnsiTheme="minorHAnsi" w:cs="Calibri Light"/>
        </w:rPr>
        <w:t xml:space="preserve"> - séjour temporaire que pour les autres titres de séjour.</w:t>
      </w:r>
    </w:p>
    <w:p w14:paraId="4F5A9272" w14:textId="0023B532" w:rsidR="00E9556C" w:rsidRDefault="00E9556C" w:rsidP="008D7EB7">
      <w:pPr>
        <w:spacing w:before="120"/>
        <w:jc w:val="both"/>
        <w:textAlignment w:val="baseline"/>
        <w:rPr>
          <w:rFonts w:asciiTheme="minorHAnsi" w:hAnsiTheme="minorHAnsi" w:cs="Calibri Light"/>
        </w:rPr>
      </w:pPr>
      <w:r w:rsidRPr="008D7EB7">
        <w:rPr>
          <w:rFonts w:asciiTheme="minorHAnsi" w:hAnsiTheme="minorHAnsi" w:cs="Calibri Light"/>
        </w:rPr>
        <w:t>Cette rétribution peut être perçue par les communes au maximum une fois par an.</w:t>
      </w:r>
    </w:p>
    <w:p w14:paraId="1ACBD341" w14:textId="77777777" w:rsidR="00961214" w:rsidRDefault="00E9556C">
      <w:pPr>
        <w:spacing w:before="120"/>
        <w:jc w:val="both"/>
        <w:textAlignment w:val="baseline"/>
        <w:rPr>
          <w:rFonts w:asciiTheme="minorHAnsi" w:hAnsiTheme="minorHAnsi" w:cs="Calibri Light"/>
        </w:rPr>
      </w:pPr>
      <w:r w:rsidRPr="008D7EB7">
        <w:rPr>
          <w:rFonts w:asciiTheme="minorHAnsi" w:hAnsiTheme="minorHAnsi" w:cs="Calibri Light"/>
        </w:rPr>
        <w:tab/>
      </w:r>
    </w:p>
    <w:p w14:paraId="34209867" w14:textId="3780A15D" w:rsidR="00F82B9D" w:rsidRPr="008D7EB7" w:rsidRDefault="00F82B9D" w:rsidP="008D7EB7">
      <w:pPr>
        <w:pStyle w:val="Sam4"/>
        <w:jc w:val="both"/>
        <w:rPr>
          <w:spacing w:val="11"/>
        </w:rPr>
      </w:pPr>
      <w:bookmarkStart w:id="4950" w:name="_Toc40185479"/>
      <w:bookmarkStart w:id="4951" w:name="_Toc40186214"/>
      <w:bookmarkStart w:id="4952" w:name="_Toc40185480"/>
      <w:bookmarkStart w:id="4953" w:name="_Toc40186215"/>
      <w:bookmarkStart w:id="4954" w:name="_Toc74557722"/>
      <w:bookmarkEnd w:id="4950"/>
      <w:bookmarkEnd w:id="4951"/>
      <w:bookmarkEnd w:id="4952"/>
      <w:bookmarkEnd w:id="4953"/>
      <w:r w:rsidRPr="008D7EB7">
        <w:rPr>
          <w:spacing w:val="11"/>
        </w:rPr>
        <w:t>Carte d’identité électroniques pour enfants belges de moins de 12 ans et certificat d’identité pour enfants étr</w:t>
      </w:r>
      <w:r w:rsidR="00B762D5" w:rsidRPr="008D7EB7">
        <w:rPr>
          <w:spacing w:val="11"/>
        </w:rPr>
        <w:t>an</w:t>
      </w:r>
      <w:r w:rsidRPr="008D7EB7">
        <w:rPr>
          <w:spacing w:val="11"/>
        </w:rPr>
        <w:t>gers de moins de 12 ans</w:t>
      </w:r>
      <w:bookmarkEnd w:id="4954"/>
    </w:p>
    <w:p w14:paraId="744AFA8E" w14:textId="16638A2A" w:rsidR="00F82B9D" w:rsidRPr="008D7EB7" w:rsidRDefault="00F82B9D" w:rsidP="008D7EB7">
      <w:pPr>
        <w:spacing w:before="120"/>
        <w:jc w:val="both"/>
        <w:textAlignment w:val="baseline"/>
        <w:rPr>
          <w:rFonts w:asciiTheme="minorHAnsi" w:hAnsiTheme="minorHAnsi" w:cs="Calibri Light"/>
        </w:rPr>
      </w:pPr>
      <w:r w:rsidRPr="008D7EB7">
        <w:rPr>
          <w:rFonts w:asciiTheme="minorHAnsi" w:hAnsiTheme="minorHAnsi" w:cs="Calibri Light"/>
        </w:rPr>
        <w:t>L’arrêté royal du 22 octobre 2013</w:t>
      </w:r>
      <w:r w:rsidR="00961214">
        <w:rPr>
          <w:rStyle w:val="Appelnotedebasdep"/>
          <w:rFonts w:asciiTheme="minorHAnsi" w:hAnsiTheme="minorHAnsi" w:cs="Calibri Light"/>
        </w:rPr>
        <w:footnoteReference w:id="129"/>
      </w:r>
      <w:r w:rsidRPr="008D7EB7">
        <w:rPr>
          <w:rFonts w:asciiTheme="minorHAnsi" w:hAnsiTheme="minorHAnsi" w:cs="Calibri Light"/>
        </w:rPr>
        <w:t xml:space="preserve"> modifiant l'arrêté royal du 10 décembre 1996 relatif aux différents documents d'identité pour enfants de moins de douze ans a abrogé le chapitre relatif à la pièce d’identité (modèle cartonné sans photo devenu inutile).</w:t>
      </w:r>
    </w:p>
    <w:p w14:paraId="5B0A287C" w14:textId="03B82E60" w:rsidR="009C6C85" w:rsidRPr="008D7EB7" w:rsidRDefault="00F82B9D"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Pour les enfants belges de moins de 12 ans, seule la carte Kids-ID est délivrée (plus de certificat d’identité ni de pièce d’identité). </w:t>
      </w:r>
    </w:p>
    <w:p w14:paraId="3FDC4F0A" w14:textId="2FE45496" w:rsidR="009C6C85" w:rsidRPr="008D7EB7" w:rsidRDefault="009C6C85" w:rsidP="008D7EB7">
      <w:pPr>
        <w:spacing w:before="120"/>
        <w:jc w:val="both"/>
        <w:textAlignment w:val="baseline"/>
        <w:rPr>
          <w:rFonts w:asciiTheme="minorHAnsi" w:hAnsiTheme="minorHAnsi" w:cs="Calibri Light"/>
        </w:rPr>
      </w:pPr>
      <w:r w:rsidRPr="008D7EB7">
        <w:rPr>
          <w:rFonts w:asciiTheme="minorHAnsi" w:hAnsiTheme="minorHAnsi" w:cs="Calibri Light"/>
        </w:rPr>
        <w:lastRenderedPageBreak/>
        <w:t xml:space="preserve">Il est demandé aux communes de ne pas percevoir de taxe sur la délivrance de documents d'identité électroniques pour les enfants de moins de 12 ans. Cette demande ne concerne pas les frais pour coût de fabrication de 6,40 </w:t>
      </w:r>
      <w:r w:rsidR="009A56F6">
        <w:rPr>
          <w:rFonts w:asciiTheme="minorHAnsi" w:hAnsiTheme="minorHAnsi" w:cs="Calibri Light"/>
        </w:rPr>
        <w:t>euros</w:t>
      </w:r>
      <w:r w:rsidRPr="008D7EB7">
        <w:rPr>
          <w:rFonts w:asciiTheme="minorHAnsi" w:hAnsiTheme="minorHAnsi" w:cs="Calibri Light"/>
        </w:rPr>
        <w:t xml:space="preserve"> (qui doivent être ristournés par la commune au Fédéral).</w:t>
      </w:r>
    </w:p>
    <w:p w14:paraId="01D10EE0" w14:textId="658DC42C" w:rsidR="009C6C85" w:rsidRPr="008D7EB7" w:rsidRDefault="009C6C85" w:rsidP="008D7EB7">
      <w:pPr>
        <w:spacing w:before="120"/>
        <w:jc w:val="both"/>
        <w:textAlignment w:val="baseline"/>
        <w:rPr>
          <w:rFonts w:asciiTheme="minorHAnsi" w:hAnsiTheme="minorHAnsi" w:cs="Calibri Light"/>
        </w:rPr>
      </w:pPr>
      <w:r w:rsidRPr="008D7EB7">
        <w:rPr>
          <w:rFonts w:asciiTheme="minorHAnsi" w:hAnsiTheme="minorHAnsi" w:cs="Calibri Light"/>
        </w:rPr>
        <w:t>L’article 6 de l’arrêté royal du 10 décembre 1996 relatif aux différents documents d'identité pour les enfants de moins de douze ans prévoit qu’il peut être délivré à la demande de la ou des personnes exerçant l'autorité parentale sur un enfant non belge de moins de douze ans un certificat d'identité au nom de cet enfant. Ce certificat est délivré par la commune où l'enfant est inscrit aux registres de la population ou au registre d'attente.</w:t>
      </w:r>
    </w:p>
    <w:p w14:paraId="4C344B7D" w14:textId="7B57E405" w:rsidR="009C6C85" w:rsidRDefault="009C6C85">
      <w:pPr>
        <w:spacing w:before="120"/>
        <w:jc w:val="both"/>
        <w:textAlignment w:val="baseline"/>
        <w:rPr>
          <w:rFonts w:asciiTheme="minorHAnsi" w:hAnsiTheme="minorHAnsi" w:cs="Calibri Light"/>
        </w:rPr>
      </w:pPr>
      <w:r w:rsidRPr="008D7EB7">
        <w:rPr>
          <w:rFonts w:asciiTheme="minorHAnsi" w:hAnsiTheme="minorHAnsi" w:cs="Calibri Light"/>
        </w:rPr>
        <w:t xml:space="preserve">L’article 10 de l’arrêté susmentionné prévoit que le coût maximum pouvant être exigé par la commune pour la délivrance du certificat d'identité est de 2,00 </w:t>
      </w:r>
      <w:r w:rsidR="00961214">
        <w:rPr>
          <w:rFonts w:asciiTheme="minorHAnsi" w:hAnsiTheme="minorHAnsi" w:cs="Calibri Light"/>
        </w:rPr>
        <w:t>euros</w:t>
      </w:r>
      <w:r w:rsidRPr="008D7EB7">
        <w:rPr>
          <w:rFonts w:asciiTheme="minorHAnsi" w:hAnsiTheme="minorHAnsi" w:cs="Calibri Light"/>
        </w:rPr>
        <w:t>.</w:t>
      </w:r>
    </w:p>
    <w:p w14:paraId="6D12BFFA" w14:textId="77777777" w:rsidR="004672E1" w:rsidRPr="008D7EB7" w:rsidRDefault="004672E1" w:rsidP="008D7EB7">
      <w:pPr>
        <w:spacing w:before="120"/>
        <w:jc w:val="both"/>
        <w:textAlignment w:val="baseline"/>
        <w:rPr>
          <w:rFonts w:asciiTheme="minorHAnsi" w:hAnsiTheme="minorHAnsi" w:cs="Calibri Light"/>
        </w:rPr>
      </w:pPr>
    </w:p>
    <w:p w14:paraId="639C0F5A" w14:textId="3E9FC4AA" w:rsidR="00F82B9D" w:rsidRPr="008D7EB7" w:rsidRDefault="00F82B9D" w:rsidP="008D7EB7">
      <w:pPr>
        <w:pStyle w:val="Sam4"/>
        <w:jc w:val="both"/>
        <w:rPr>
          <w:spacing w:val="11"/>
        </w:rPr>
      </w:pPr>
      <w:bookmarkStart w:id="4955" w:name="_Toc40185482"/>
      <w:bookmarkStart w:id="4956" w:name="_Toc40186217"/>
      <w:bookmarkStart w:id="4957" w:name="_Toc74557723"/>
      <w:bookmarkEnd w:id="4955"/>
      <w:bookmarkEnd w:id="4956"/>
      <w:r w:rsidRPr="008D7EB7">
        <w:rPr>
          <w:spacing w:val="11"/>
        </w:rPr>
        <w:t>Passeports</w:t>
      </w:r>
      <w:bookmarkEnd w:id="4957"/>
      <w:r w:rsidRPr="008D7EB7">
        <w:rPr>
          <w:spacing w:val="11"/>
        </w:rPr>
        <w:t xml:space="preserve">  </w:t>
      </w:r>
    </w:p>
    <w:p w14:paraId="3FE2B26A" w14:textId="1F74C5E5" w:rsidR="00F82B9D" w:rsidRPr="008D7EB7" w:rsidRDefault="00F82B9D" w:rsidP="008D7EB7">
      <w:pPr>
        <w:tabs>
          <w:tab w:val="left" w:pos="-360"/>
        </w:tabs>
        <w:spacing w:before="120"/>
        <w:jc w:val="both"/>
        <w:textAlignment w:val="baseline"/>
        <w:rPr>
          <w:rFonts w:asciiTheme="minorHAnsi" w:hAnsiTheme="minorHAnsi" w:cs="Calibri Light"/>
        </w:rPr>
      </w:pPr>
      <w:r w:rsidRPr="008D7EB7">
        <w:rPr>
          <w:rFonts w:asciiTheme="minorHAnsi" w:hAnsiTheme="minorHAnsi" w:cs="Calibri Light"/>
        </w:rPr>
        <w:t xml:space="preserve">Lorsqu'une commune prélève une taxe sur la délivrance de passeports, il est recommandé de prévoir une taxation plus lourde pour les passeports délivrés selon la procédure d'urgence, sans pour autant dépasser le maximum recommandé fixé à </w:t>
      </w:r>
      <w:r w:rsidR="00197051" w:rsidRPr="008D7EB7">
        <w:rPr>
          <w:rFonts w:asciiTheme="minorHAnsi" w:hAnsiTheme="minorHAnsi" w:cs="Calibri Light"/>
        </w:rPr>
        <w:t>50</w:t>
      </w:r>
      <w:r w:rsidR="00C97323" w:rsidRPr="008D7EB7">
        <w:rPr>
          <w:rFonts w:asciiTheme="minorHAnsi" w:hAnsiTheme="minorHAnsi" w:cs="Calibri Light"/>
        </w:rPr>
        <w:t>,00</w:t>
      </w:r>
      <w:r w:rsidR="00197051" w:rsidRPr="008D7EB7">
        <w:rPr>
          <w:rFonts w:asciiTheme="minorHAnsi" w:hAnsiTheme="minorHAnsi" w:cs="Calibri Light"/>
        </w:rPr>
        <w:t xml:space="preserve"> </w:t>
      </w:r>
      <w:r w:rsidRPr="008D7EB7">
        <w:rPr>
          <w:rFonts w:asciiTheme="minorHAnsi" w:hAnsiTheme="minorHAnsi" w:cs="Calibri Light"/>
        </w:rPr>
        <w:t>euros</w:t>
      </w:r>
      <w:r w:rsidR="00C97323" w:rsidRPr="008D7EB7">
        <w:rPr>
          <w:rFonts w:asciiTheme="minorHAnsi" w:hAnsiTheme="minorHAnsi" w:cs="Calibri Light"/>
        </w:rPr>
        <w:t>.</w:t>
      </w:r>
      <w:r w:rsidR="00403788" w:rsidRPr="008D7EB7">
        <w:rPr>
          <w:rFonts w:asciiTheme="minorHAnsi" w:hAnsiTheme="minorHAnsi" w:cs="Calibri Light"/>
        </w:rPr>
        <w:t xml:space="preserve"> </w:t>
      </w:r>
    </w:p>
    <w:p w14:paraId="76E35B8E" w14:textId="22F08E8F" w:rsidR="00F82B9D" w:rsidRPr="00DA6BD2" w:rsidRDefault="00417473" w:rsidP="00585569">
      <w:pPr>
        <w:spacing w:before="120"/>
        <w:jc w:val="both"/>
        <w:textAlignment w:val="baseline"/>
        <w:rPr>
          <w:rFonts w:asciiTheme="minorHAnsi" w:hAnsiTheme="minorHAnsi" w:cs="Calibri Light"/>
        </w:rPr>
      </w:pPr>
      <w:bookmarkStart w:id="4958" w:name="_Hlk93314382"/>
      <w:r>
        <w:rPr>
          <w:rFonts w:asciiTheme="minorHAnsi" w:hAnsiTheme="minorHAnsi" w:cs="Calibri Light"/>
        </w:rPr>
        <w:t>L’a</w:t>
      </w:r>
      <w:r w:rsidR="00585569" w:rsidRPr="00585569">
        <w:rPr>
          <w:rFonts w:asciiTheme="minorHAnsi" w:hAnsiTheme="minorHAnsi" w:cs="Calibri Light"/>
        </w:rPr>
        <w:t>rrêté Royal du</w:t>
      </w:r>
      <w:r w:rsidR="00585569">
        <w:rPr>
          <w:rFonts w:asciiTheme="minorHAnsi" w:hAnsiTheme="minorHAnsi" w:cs="Calibri Light"/>
        </w:rPr>
        <w:t xml:space="preserve"> </w:t>
      </w:r>
      <w:r w:rsidR="00585569" w:rsidRPr="00585569">
        <w:rPr>
          <w:rFonts w:asciiTheme="minorHAnsi" w:hAnsiTheme="minorHAnsi" w:cs="Calibri Light"/>
        </w:rPr>
        <w:t xml:space="preserve">26/12/2015 modifiant les tarifs annexes </w:t>
      </w:r>
      <w:r w:rsidR="006B47EE">
        <w:rPr>
          <w:rFonts w:asciiTheme="minorHAnsi" w:hAnsiTheme="minorHAnsi" w:cs="Calibri Light"/>
        </w:rPr>
        <w:t>à</w:t>
      </w:r>
      <w:r w:rsidR="00585569" w:rsidRPr="00585569">
        <w:rPr>
          <w:rFonts w:asciiTheme="minorHAnsi" w:hAnsiTheme="minorHAnsi" w:cs="Calibri Light"/>
        </w:rPr>
        <w:t xml:space="preserve"> la loi du 21 décembre 2013 portant le code</w:t>
      </w:r>
      <w:r w:rsidR="00585569">
        <w:rPr>
          <w:rFonts w:asciiTheme="minorHAnsi" w:hAnsiTheme="minorHAnsi" w:cs="Calibri Light"/>
        </w:rPr>
        <w:t xml:space="preserve"> </w:t>
      </w:r>
      <w:r w:rsidR="00585569" w:rsidRPr="00585569">
        <w:rPr>
          <w:rFonts w:asciiTheme="minorHAnsi" w:hAnsiTheme="minorHAnsi" w:cs="Calibri Light"/>
        </w:rPr>
        <w:t>consulaire</w:t>
      </w:r>
      <w:r w:rsidR="00585569" w:rsidRPr="00585569" w:rsidDel="00585569">
        <w:rPr>
          <w:rFonts w:asciiTheme="minorHAnsi" w:hAnsiTheme="minorHAnsi" w:cs="Calibri Light"/>
        </w:rPr>
        <w:t xml:space="preserve"> </w:t>
      </w:r>
      <w:r w:rsidR="00585569">
        <w:rPr>
          <w:rFonts w:asciiTheme="minorHAnsi" w:hAnsiTheme="minorHAnsi" w:cs="Calibri Light"/>
        </w:rPr>
        <w:t xml:space="preserve">ne prévoit pas </w:t>
      </w:r>
      <w:r w:rsidR="008E3C72">
        <w:rPr>
          <w:rFonts w:asciiTheme="minorHAnsi" w:hAnsiTheme="minorHAnsi" w:cs="Calibri Light"/>
        </w:rPr>
        <w:t xml:space="preserve">le paiement de droit de chancellerie pour les mineurs d’âge. Je vous recommande donc </w:t>
      </w:r>
      <w:r w:rsidR="00F82B9D" w:rsidRPr="00DA6BD2">
        <w:rPr>
          <w:rFonts w:asciiTheme="minorHAnsi" w:hAnsiTheme="minorHAnsi" w:cs="Calibri Light"/>
        </w:rPr>
        <w:t>de ne percevoir aucun</w:t>
      </w:r>
      <w:r w:rsidR="008E3C72">
        <w:rPr>
          <w:rFonts w:asciiTheme="minorHAnsi" w:hAnsiTheme="minorHAnsi" w:cs="Calibri Light"/>
        </w:rPr>
        <w:t xml:space="preserve">e taxe communale </w:t>
      </w:r>
      <w:r w:rsidR="00F82B9D" w:rsidRPr="00DA6BD2">
        <w:rPr>
          <w:rFonts w:asciiTheme="minorHAnsi" w:hAnsiTheme="minorHAnsi" w:cs="Calibri Light"/>
        </w:rPr>
        <w:t>pour la délivrance des passeports en ce qui concerne les mineurs</w:t>
      </w:r>
      <w:r w:rsidR="00F82B9D">
        <w:rPr>
          <w:rFonts w:asciiTheme="minorHAnsi" w:hAnsiTheme="minorHAnsi" w:cs="Calibri Light"/>
        </w:rPr>
        <w:t xml:space="preserve">. </w:t>
      </w:r>
    </w:p>
    <w:bookmarkEnd w:id="4958"/>
    <w:p w14:paraId="0B3C48A1" w14:textId="5C4971E9" w:rsidR="00F82B9D" w:rsidRPr="008D7EB7" w:rsidRDefault="00F82B9D"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Bien que les coûts de fabrication dus au SPF Intérieur ne constituent ni une redevance ni une taxe communale et ne doivent pas être repris dans le règlement relatif à la délivrance de documents administratifs, il est recommandé aux </w:t>
      </w:r>
      <w:r w:rsidR="005A3E74">
        <w:rPr>
          <w:rFonts w:asciiTheme="minorHAnsi" w:hAnsiTheme="minorHAnsi" w:cs="Calibri Light"/>
        </w:rPr>
        <w:t>c</w:t>
      </w:r>
      <w:r w:rsidR="00403788" w:rsidRPr="008D7EB7">
        <w:rPr>
          <w:rFonts w:asciiTheme="minorHAnsi" w:hAnsiTheme="minorHAnsi" w:cs="Calibri Light"/>
        </w:rPr>
        <w:t>onseils communaux</w:t>
      </w:r>
      <w:r w:rsidRPr="008D7EB7">
        <w:rPr>
          <w:rFonts w:asciiTheme="minorHAnsi" w:hAnsiTheme="minorHAnsi" w:cs="Calibri Light"/>
        </w:rPr>
        <w:t xml:space="preserve"> de spécifier à la suite du montant de la taxe, que ce montant ne comprend pas le coût de fabrication dû au SPF Intérieur.</w:t>
      </w:r>
    </w:p>
    <w:p w14:paraId="2C3A83D5" w14:textId="6B91D4C1" w:rsidR="00403788" w:rsidRPr="008D7EB7" w:rsidRDefault="00403788"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Cependant, le coût de la délivrance du passeport peut comprendre à la fois la taxe communale et les coûts de fabrication dû au SPF Intérieur. Dans une telle hypothèse, il faudra être </w:t>
      </w:r>
      <w:r w:rsidR="001044C0" w:rsidRPr="00C97323">
        <w:rPr>
          <w:rFonts w:asciiTheme="minorHAnsi" w:hAnsiTheme="minorHAnsi" w:cs="Calibri Light"/>
        </w:rPr>
        <w:t>attentif à</w:t>
      </w:r>
      <w:r w:rsidRPr="008D7EB7">
        <w:rPr>
          <w:rFonts w:asciiTheme="minorHAnsi" w:hAnsiTheme="minorHAnsi" w:cs="Calibri Light"/>
        </w:rPr>
        <w:t xml:space="preserve"> adapter le coût de la délivrance du passeport si le coût de fabrication dû au SPF Intérieur changeait durant la période de validité du règlement.</w:t>
      </w:r>
    </w:p>
    <w:p w14:paraId="76A1597A" w14:textId="77777777" w:rsidR="008D4481" w:rsidRPr="00954869" w:rsidRDefault="008D4481" w:rsidP="00C97323">
      <w:pPr>
        <w:spacing w:before="120"/>
        <w:jc w:val="both"/>
        <w:textAlignment w:val="baseline"/>
        <w:rPr>
          <w:rFonts w:asciiTheme="minorHAnsi" w:hAnsiTheme="minorHAnsi" w:cs="Calibri Light"/>
          <w:sz w:val="10"/>
          <w:szCs w:val="10"/>
        </w:rPr>
      </w:pPr>
    </w:p>
    <w:p w14:paraId="5BE04D61" w14:textId="304EEC55" w:rsidR="00403788" w:rsidRPr="008D7EB7" w:rsidRDefault="00EC520F" w:rsidP="008D7EB7">
      <w:pPr>
        <w:spacing w:before="120"/>
        <w:jc w:val="both"/>
        <w:textAlignment w:val="baseline"/>
        <w:rPr>
          <w:rFonts w:asciiTheme="minorHAnsi" w:hAnsiTheme="minorHAnsi" w:cs="Calibri Light"/>
        </w:rPr>
      </w:pPr>
      <w:r w:rsidRPr="008D7EB7">
        <w:rPr>
          <w:rFonts w:asciiTheme="minorHAnsi" w:hAnsiTheme="minorHAnsi" w:cs="Calibri Light"/>
        </w:rPr>
        <w:t>À</w:t>
      </w:r>
      <w:r w:rsidR="00403788" w:rsidRPr="008D7EB7">
        <w:rPr>
          <w:rFonts w:asciiTheme="minorHAnsi" w:hAnsiTheme="minorHAnsi" w:cs="Calibri Light"/>
        </w:rPr>
        <w:t xml:space="preserve"> titre informatif, le prix des passeports</w:t>
      </w:r>
      <w:r w:rsidR="00902733">
        <w:rPr>
          <w:rStyle w:val="Appelnotedebasdep"/>
          <w:rFonts w:asciiTheme="minorHAnsi" w:hAnsiTheme="minorHAnsi" w:cs="Calibri Light"/>
        </w:rPr>
        <w:footnoteReference w:id="130"/>
      </w:r>
      <w:r w:rsidR="00403788" w:rsidRPr="008D7EB7">
        <w:rPr>
          <w:rFonts w:asciiTheme="minorHAnsi" w:hAnsiTheme="minorHAnsi" w:cs="Calibri Light"/>
        </w:rPr>
        <w:t xml:space="preserve"> (hors d’une éventuelle taxe communale) délivrés varie en fonction :</w:t>
      </w:r>
    </w:p>
    <w:p w14:paraId="47057B9F" w14:textId="77777777" w:rsidR="00403788" w:rsidRPr="008D7EB7" w:rsidRDefault="00403788" w:rsidP="008D7EB7">
      <w:pPr>
        <w:pStyle w:val="Paragraphedeliste"/>
        <w:numPr>
          <w:ilvl w:val="0"/>
          <w:numId w:val="160"/>
        </w:numPr>
        <w:spacing w:before="120"/>
        <w:jc w:val="both"/>
        <w:textAlignment w:val="baseline"/>
        <w:rPr>
          <w:rFonts w:asciiTheme="minorHAnsi" w:hAnsiTheme="minorHAnsi" w:cs="Calibri Light"/>
        </w:rPr>
      </w:pPr>
      <w:proofErr w:type="gramStart"/>
      <w:r w:rsidRPr="008D7EB7">
        <w:rPr>
          <w:rFonts w:asciiTheme="minorHAnsi" w:hAnsiTheme="minorHAnsi" w:cs="Calibri Light"/>
        </w:rPr>
        <w:t>du</w:t>
      </w:r>
      <w:proofErr w:type="gramEnd"/>
      <w:r w:rsidRPr="008D7EB7">
        <w:rPr>
          <w:rFonts w:asciiTheme="minorHAnsi" w:hAnsiTheme="minorHAnsi" w:cs="Calibri Light"/>
        </w:rPr>
        <w:t xml:space="preserve"> nombre de pages (32 ou 64 pages) ;</w:t>
      </w:r>
    </w:p>
    <w:p w14:paraId="3864667E" w14:textId="77777777" w:rsidR="00403788" w:rsidRPr="008D7EB7" w:rsidRDefault="00403788" w:rsidP="008D7EB7">
      <w:pPr>
        <w:pStyle w:val="Paragraphedeliste"/>
        <w:numPr>
          <w:ilvl w:val="0"/>
          <w:numId w:val="160"/>
        </w:numPr>
        <w:spacing w:before="120"/>
        <w:jc w:val="both"/>
        <w:textAlignment w:val="baseline"/>
        <w:rPr>
          <w:rFonts w:asciiTheme="minorHAnsi" w:hAnsiTheme="minorHAnsi" w:cs="Calibri Light"/>
        </w:rPr>
      </w:pPr>
      <w:proofErr w:type="gramStart"/>
      <w:r w:rsidRPr="008D7EB7">
        <w:rPr>
          <w:rFonts w:asciiTheme="minorHAnsi" w:hAnsiTheme="minorHAnsi" w:cs="Calibri Light"/>
        </w:rPr>
        <w:t>de</w:t>
      </w:r>
      <w:proofErr w:type="gramEnd"/>
      <w:r w:rsidRPr="008D7EB7">
        <w:rPr>
          <w:rFonts w:asciiTheme="minorHAnsi" w:hAnsiTheme="minorHAnsi" w:cs="Calibri Light"/>
        </w:rPr>
        <w:t xml:space="preserve"> l’âge du demandeur (mineur/majeur) ;</w:t>
      </w:r>
    </w:p>
    <w:p w14:paraId="7EBCC08B" w14:textId="77777777" w:rsidR="00403788" w:rsidRPr="008D7EB7" w:rsidRDefault="00403788" w:rsidP="008D7EB7">
      <w:pPr>
        <w:pStyle w:val="Paragraphedeliste"/>
        <w:numPr>
          <w:ilvl w:val="0"/>
          <w:numId w:val="160"/>
        </w:numPr>
        <w:spacing w:before="120"/>
        <w:jc w:val="both"/>
        <w:textAlignment w:val="baseline"/>
        <w:rPr>
          <w:rFonts w:asciiTheme="minorHAnsi" w:hAnsiTheme="minorHAnsi" w:cs="Calibri Light"/>
        </w:rPr>
      </w:pPr>
      <w:proofErr w:type="gramStart"/>
      <w:r w:rsidRPr="008D7EB7">
        <w:rPr>
          <w:rFonts w:asciiTheme="minorHAnsi" w:hAnsiTheme="minorHAnsi" w:cs="Calibri Light"/>
        </w:rPr>
        <w:t>de</w:t>
      </w:r>
      <w:proofErr w:type="gramEnd"/>
      <w:r w:rsidRPr="008D7EB7">
        <w:rPr>
          <w:rFonts w:asciiTheme="minorHAnsi" w:hAnsiTheme="minorHAnsi" w:cs="Calibri Light"/>
        </w:rPr>
        <w:t xml:space="preserve"> la procédure de demande (normale, urgente ou super urgente).</w:t>
      </w:r>
    </w:p>
    <w:p w14:paraId="212583A6" w14:textId="2333BF47" w:rsidR="008B2E20" w:rsidRDefault="00403788" w:rsidP="004936B8">
      <w:pPr>
        <w:tabs>
          <w:tab w:val="left" w:pos="360"/>
          <w:tab w:val="left" w:pos="504"/>
        </w:tabs>
        <w:spacing w:before="120"/>
        <w:ind w:left="567" w:hanging="567"/>
        <w:jc w:val="both"/>
        <w:textAlignment w:val="baseline"/>
        <w:rPr>
          <w:rFonts w:asciiTheme="minorHAnsi" w:hAnsiTheme="minorHAnsi" w:cs="Calibri Light"/>
          <w:color w:val="0D0D0D"/>
        </w:rPr>
      </w:pPr>
      <w:r w:rsidRPr="00403788">
        <w:rPr>
          <w:rFonts w:asciiTheme="minorHAnsi" w:hAnsiTheme="minorHAnsi" w:cs="Calibri Light"/>
          <w:noProof/>
          <w:color w:val="0D0D0D"/>
        </w:rPr>
        <w:lastRenderedPageBreak/>
        <w:drawing>
          <wp:inline distT="0" distB="0" distL="0" distR="0" wp14:anchorId="651D3300" wp14:editId="58EE2C4F">
            <wp:extent cx="6115050" cy="27146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15050" cy="2714625"/>
                    </a:xfrm>
                    <a:prstGeom prst="rect">
                      <a:avLst/>
                    </a:prstGeom>
                    <a:noFill/>
                    <a:ln>
                      <a:noFill/>
                    </a:ln>
                  </pic:spPr>
                </pic:pic>
              </a:graphicData>
            </a:graphic>
          </wp:inline>
        </w:drawing>
      </w:r>
    </w:p>
    <w:p w14:paraId="133DD7A5" w14:textId="77777777" w:rsidR="006145D3" w:rsidRPr="008B2E20" w:rsidRDefault="006145D3" w:rsidP="004936B8">
      <w:pPr>
        <w:tabs>
          <w:tab w:val="left" w:pos="360"/>
          <w:tab w:val="left" w:pos="504"/>
        </w:tabs>
        <w:spacing w:before="120"/>
        <w:ind w:left="567" w:hanging="567"/>
        <w:jc w:val="both"/>
        <w:textAlignment w:val="baseline"/>
        <w:rPr>
          <w:rFonts w:asciiTheme="minorHAnsi" w:hAnsiTheme="minorHAnsi" w:cs="Calibri Light"/>
          <w:color w:val="0D0D0D"/>
        </w:rPr>
      </w:pPr>
    </w:p>
    <w:p w14:paraId="37383100" w14:textId="050AC615" w:rsidR="008B2E20" w:rsidRPr="008D7EB7" w:rsidRDefault="008B2E20" w:rsidP="008D7EB7">
      <w:pPr>
        <w:pStyle w:val="Sam4"/>
        <w:jc w:val="both"/>
        <w:rPr>
          <w:b w:val="0"/>
          <w:i w:val="0"/>
          <w:spacing w:val="11"/>
        </w:rPr>
      </w:pPr>
      <w:bookmarkStart w:id="4959" w:name="_Toc74557724"/>
      <w:bookmarkStart w:id="4960" w:name="_Toc34813737"/>
      <w:r w:rsidRPr="008D7EB7">
        <w:rPr>
          <w:spacing w:val="11"/>
        </w:rPr>
        <w:t>Titres de voyage pour réfugié, apatride ou étranger</w:t>
      </w:r>
      <w:bookmarkEnd w:id="4959"/>
      <w:r w:rsidRPr="008D7EB7">
        <w:rPr>
          <w:spacing w:val="11"/>
        </w:rPr>
        <w:t xml:space="preserve"> </w:t>
      </w:r>
      <w:bookmarkEnd w:id="4960"/>
      <w:r w:rsidRPr="008D7EB7">
        <w:rPr>
          <w:spacing w:val="11"/>
        </w:rPr>
        <w:t xml:space="preserve"> </w:t>
      </w:r>
    </w:p>
    <w:p w14:paraId="1D970902" w14:textId="4F69E4F3" w:rsidR="00403788" w:rsidRDefault="00403788" w:rsidP="008D7EB7">
      <w:pPr>
        <w:spacing w:before="120"/>
        <w:jc w:val="both"/>
        <w:textAlignment w:val="baseline"/>
        <w:rPr>
          <w:rFonts w:asciiTheme="minorHAnsi" w:hAnsiTheme="minorHAnsi" w:cs="Calibri Light"/>
        </w:rPr>
      </w:pPr>
      <w:r w:rsidRPr="00403788">
        <w:rPr>
          <w:rFonts w:asciiTheme="minorHAnsi" w:hAnsiTheme="minorHAnsi" w:cs="Calibri Light"/>
        </w:rPr>
        <w:t>Certains étrangers résidant en Belgique peuvent demander un titre de voyage belge qui remplace le passeport national qu’ils ne peuvent obtenir.</w:t>
      </w:r>
    </w:p>
    <w:p w14:paraId="49CB1B27" w14:textId="69E9C89E" w:rsidR="00B762D5" w:rsidRDefault="008B2E20" w:rsidP="008D7EB7">
      <w:pPr>
        <w:spacing w:before="120"/>
        <w:jc w:val="both"/>
        <w:textAlignment w:val="baseline"/>
        <w:rPr>
          <w:rFonts w:asciiTheme="minorHAnsi" w:hAnsiTheme="minorHAnsi" w:cs="Calibri Light"/>
        </w:rPr>
      </w:pPr>
      <w:r w:rsidRPr="008B2E20">
        <w:rPr>
          <w:rFonts w:asciiTheme="minorHAnsi" w:hAnsiTheme="minorHAnsi" w:cs="Calibri Light"/>
        </w:rPr>
        <w:t xml:space="preserve">Lorsqu'une commune prélève une taxe sur la délivrance de titres de voyage pour réfugié, apatride ou étranger, il est recommandé de prévoir une taxation plus lourde pour </w:t>
      </w:r>
      <w:r w:rsidRPr="008D7EB7">
        <w:rPr>
          <w:rFonts w:asciiTheme="minorHAnsi" w:hAnsiTheme="minorHAnsi" w:cs="Calibri Light"/>
        </w:rPr>
        <w:t>les titres de voyage pour réfugié, apatride ou étranger</w:t>
      </w:r>
      <w:r w:rsidRPr="008B2E20">
        <w:rPr>
          <w:rFonts w:asciiTheme="minorHAnsi" w:hAnsiTheme="minorHAnsi" w:cs="Calibri Light"/>
        </w:rPr>
        <w:t xml:space="preserve"> délivrés selon les procédures d'urgence, sans pour autant dépasser le maximum recommandé fixé </w:t>
      </w:r>
      <w:r w:rsidRPr="008D7EB7">
        <w:rPr>
          <w:rFonts w:asciiTheme="minorHAnsi" w:hAnsiTheme="minorHAnsi" w:cs="Calibri Light"/>
        </w:rPr>
        <w:t xml:space="preserve">à </w:t>
      </w:r>
      <w:r w:rsidR="00197051" w:rsidRPr="008D7EB7">
        <w:rPr>
          <w:rFonts w:asciiTheme="minorHAnsi" w:hAnsiTheme="minorHAnsi" w:cs="Calibri Light"/>
        </w:rPr>
        <w:t>50</w:t>
      </w:r>
      <w:r w:rsidR="00C97323" w:rsidRPr="008D7EB7">
        <w:rPr>
          <w:rFonts w:asciiTheme="minorHAnsi" w:hAnsiTheme="minorHAnsi" w:cs="Calibri Light"/>
        </w:rPr>
        <w:t>,00 e</w:t>
      </w:r>
      <w:r w:rsidR="00713978" w:rsidRPr="008D7EB7">
        <w:rPr>
          <w:rFonts w:asciiTheme="minorHAnsi" w:hAnsiTheme="minorHAnsi" w:cs="Calibri Light"/>
        </w:rPr>
        <w:t>uros</w:t>
      </w:r>
      <w:r w:rsidRPr="008D7EB7">
        <w:rPr>
          <w:rFonts w:asciiTheme="minorHAnsi" w:hAnsiTheme="minorHAnsi" w:cs="Calibri Light"/>
        </w:rPr>
        <w:t>.</w:t>
      </w:r>
      <w:r w:rsidRPr="008B2E20">
        <w:rPr>
          <w:rFonts w:asciiTheme="minorHAnsi" w:hAnsiTheme="minorHAnsi" w:cs="Calibri Light"/>
        </w:rPr>
        <w:t xml:space="preserve"> </w:t>
      </w:r>
    </w:p>
    <w:p w14:paraId="6D7BF4F0" w14:textId="77777777" w:rsidR="00403788" w:rsidRPr="00403788" w:rsidRDefault="00403788" w:rsidP="008D7EB7">
      <w:pPr>
        <w:spacing w:before="120"/>
        <w:jc w:val="both"/>
        <w:textAlignment w:val="baseline"/>
        <w:rPr>
          <w:rFonts w:asciiTheme="minorHAnsi" w:hAnsiTheme="minorHAnsi" w:cs="Calibri Light"/>
        </w:rPr>
      </w:pPr>
      <w:r w:rsidRPr="00403788">
        <w:rPr>
          <w:rFonts w:asciiTheme="minorHAnsi" w:hAnsiTheme="minorHAnsi" w:cs="Calibri Light"/>
        </w:rPr>
        <w:t>Une demande en procédure « super » urgente n’est pas possible pour la délivrance de titres de voyage pour étranger.</w:t>
      </w:r>
    </w:p>
    <w:p w14:paraId="3C9020D5" w14:textId="54DA9860" w:rsidR="008B2E20" w:rsidRDefault="008B2E20" w:rsidP="008D7EB7">
      <w:pPr>
        <w:spacing w:before="120"/>
        <w:jc w:val="both"/>
        <w:textAlignment w:val="baseline"/>
        <w:rPr>
          <w:rFonts w:asciiTheme="minorHAnsi" w:hAnsiTheme="minorHAnsi" w:cs="Calibri Light"/>
        </w:rPr>
      </w:pPr>
      <w:r w:rsidRPr="008B2E20">
        <w:rPr>
          <w:rFonts w:asciiTheme="minorHAnsi" w:hAnsiTheme="minorHAnsi" w:cs="Calibri Light"/>
        </w:rPr>
        <w:t>Comme pour la délivrance des passeports, j’invite les communes à ne percevoir aucune taxe communale pour la délivrance d’un titre de voyage pour réfugié, apatride ou étranger à une personne de moins de 18 ans.</w:t>
      </w:r>
    </w:p>
    <w:p w14:paraId="61AFD8B4" w14:textId="77777777" w:rsidR="00403788" w:rsidRPr="00403788" w:rsidRDefault="00403788" w:rsidP="008D7EB7">
      <w:pPr>
        <w:spacing w:before="120"/>
        <w:jc w:val="both"/>
        <w:textAlignment w:val="baseline"/>
        <w:rPr>
          <w:rFonts w:asciiTheme="minorHAnsi" w:hAnsiTheme="minorHAnsi" w:cs="Calibri Light"/>
        </w:rPr>
      </w:pPr>
      <w:r w:rsidRPr="00403788">
        <w:rPr>
          <w:rFonts w:asciiTheme="minorHAnsi" w:hAnsiTheme="minorHAnsi" w:cs="Calibri Light"/>
        </w:rPr>
        <w:t>Bien que les coûts de fabrication dus au SPF Intérieur ne constituent ni une redevance ni une taxe communale et ne doivent pas être repris dans le règlement relatif à la délivrance de documents administratifs, il est recommandé aux Conseils communaux de spécifier à la suite du montant de la taxe, que ce montant ne comprend pas le coût de fabrication dû au SPF Intérieur.</w:t>
      </w:r>
    </w:p>
    <w:p w14:paraId="32195A4B" w14:textId="48C24351" w:rsidR="00403788" w:rsidRPr="00403788" w:rsidRDefault="00403788" w:rsidP="008D7EB7">
      <w:pPr>
        <w:spacing w:before="120"/>
        <w:jc w:val="both"/>
        <w:textAlignment w:val="baseline"/>
        <w:rPr>
          <w:rFonts w:asciiTheme="minorHAnsi" w:hAnsiTheme="minorHAnsi" w:cs="Calibri Light"/>
        </w:rPr>
      </w:pPr>
      <w:r w:rsidRPr="00403788">
        <w:rPr>
          <w:rFonts w:asciiTheme="minorHAnsi" w:hAnsiTheme="minorHAnsi" w:cs="Calibri Light"/>
        </w:rPr>
        <w:t xml:space="preserve">Cependant, le coût de la délivrance du titre de voyage peut comprendre à la fois la taxe communale et les coûts de fabrication dû au SPF Intérieur. Dans une telle hypothèse, il faudra être </w:t>
      </w:r>
      <w:r w:rsidR="001044C0" w:rsidRPr="00403788">
        <w:rPr>
          <w:rFonts w:asciiTheme="minorHAnsi" w:hAnsiTheme="minorHAnsi" w:cs="Calibri Light"/>
        </w:rPr>
        <w:t>attentif à</w:t>
      </w:r>
      <w:r w:rsidRPr="00403788">
        <w:rPr>
          <w:rFonts w:asciiTheme="minorHAnsi" w:hAnsiTheme="minorHAnsi" w:cs="Calibri Light"/>
        </w:rPr>
        <w:t xml:space="preserve"> adapter le coût de la délivrance du titre de voyage si le coût de fabrication dû au SPF Intérieur changeait durant la période de validité du règlement.</w:t>
      </w:r>
    </w:p>
    <w:p w14:paraId="11A9AE1D" w14:textId="5F9D662C" w:rsidR="00403788" w:rsidRPr="00403788" w:rsidRDefault="00403788" w:rsidP="008D7EB7">
      <w:pPr>
        <w:spacing w:before="120"/>
        <w:jc w:val="both"/>
        <w:textAlignment w:val="baseline"/>
        <w:rPr>
          <w:rFonts w:asciiTheme="minorHAnsi" w:hAnsiTheme="minorHAnsi" w:cs="Calibri Light"/>
        </w:rPr>
      </w:pPr>
      <w:r w:rsidRPr="00403788">
        <w:rPr>
          <w:rFonts w:asciiTheme="minorHAnsi" w:hAnsiTheme="minorHAnsi" w:cs="Calibri Light"/>
        </w:rPr>
        <w:t>A titre informatif, le prix des titres de voyage</w:t>
      </w:r>
      <w:r w:rsidR="00902733">
        <w:rPr>
          <w:rStyle w:val="Appelnotedebasdep"/>
          <w:rFonts w:asciiTheme="minorHAnsi" w:hAnsiTheme="minorHAnsi" w:cs="Calibri Light"/>
        </w:rPr>
        <w:footnoteReference w:id="131"/>
      </w:r>
      <w:r w:rsidRPr="00403788">
        <w:rPr>
          <w:rFonts w:asciiTheme="minorHAnsi" w:hAnsiTheme="minorHAnsi" w:cs="Calibri Light"/>
        </w:rPr>
        <w:t xml:space="preserve"> (</w:t>
      </w:r>
      <w:r w:rsidRPr="008D7EB7">
        <w:rPr>
          <w:rFonts w:asciiTheme="minorHAnsi" w:hAnsiTheme="minorHAnsi" w:cs="Calibri Light"/>
        </w:rPr>
        <w:t>hors d’une éventuelle taxe communale</w:t>
      </w:r>
      <w:r w:rsidRPr="00403788">
        <w:rPr>
          <w:rFonts w:asciiTheme="minorHAnsi" w:hAnsiTheme="minorHAnsi" w:cs="Calibri Light"/>
        </w:rPr>
        <w:t>) délivrés varie en fonction :</w:t>
      </w:r>
    </w:p>
    <w:p w14:paraId="35895139" w14:textId="77777777" w:rsidR="00403788" w:rsidRPr="00403788" w:rsidRDefault="00403788" w:rsidP="008D7EB7">
      <w:pPr>
        <w:numPr>
          <w:ilvl w:val="0"/>
          <w:numId w:val="118"/>
        </w:numPr>
        <w:tabs>
          <w:tab w:val="left" w:pos="360"/>
          <w:tab w:val="left" w:pos="567"/>
        </w:tabs>
        <w:spacing w:before="120"/>
        <w:ind w:left="924" w:hanging="357"/>
        <w:jc w:val="both"/>
        <w:textAlignment w:val="baseline"/>
        <w:rPr>
          <w:rFonts w:asciiTheme="minorHAnsi" w:hAnsiTheme="minorHAnsi" w:cs="Calibri Light"/>
        </w:rPr>
      </w:pPr>
      <w:proofErr w:type="gramStart"/>
      <w:r w:rsidRPr="00403788">
        <w:rPr>
          <w:rFonts w:asciiTheme="minorHAnsi" w:hAnsiTheme="minorHAnsi" w:cs="Calibri Light"/>
        </w:rPr>
        <w:t>de</w:t>
      </w:r>
      <w:proofErr w:type="gramEnd"/>
      <w:r w:rsidRPr="00403788">
        <w:rPr>
          <w:rFonts w:asciiTheme="minorHAnsi" w:hAnsiTheme="minorHAnsi" w:cs="Calibri Light"/>
        </w:rPr>
        <w:t xml:space="preserve"> l’âge du demandeur (mineur/majeur) ;</w:t>
      </w:r>
    </w:p>
    <w:p w14:paraId="6FFDC482" w14:textId="77777777" w:rsidR="00403788" w:rsidRPr="00403788" w:rsidRDefault="00403788" w:rsidP="008D7EB7">
      <w:pPr>
        <w:numPr>
          <w:ilvl w:val="0"/>
          <w:numId w:val="118"/>
        </w:numPr>
        <w:tabs>
          <w:tab w:val="left" w:pos="360"/>
          <w:tab w:val="left" w:pos="567"/>
        </w:tabs>
        <w:spacing w:before="120"/>
        <w:ind w:left="924" w:hanging="357"/>
        <w:jc w:val="both"/>
        <w:textAlignment w:val="baseline"/>
        <w:rPr>
          <w:rFonts w:asciiTheme="minorHAnsi" w:hAnsiTheme="minorHAnsi" w:cs="Calibri Light"/>
        </w:rPr>
      </w:pPr>
      <w:proofErr w:type="gramStart"/>
      <w:r w:rsidRPr="00403788">
        <w:rPr>
          <w:rFonts w:asciiTheme="minorHAnsi" w:hAnsiTheme="minorHAnsi" w:cs="Calibri Light"/>
        </w:rPr>
        <w:lastRenderedPageBreak/>
        <w:t>de</w:t>
      </w:r>
      <w:proofErr w:type="gramEnd"/>
      <w:r w:rsidRPr="00403788">
        <w:rPr>
          <w:rFonts w:asciiTheme="minorHAnsi" w:hAnsiTheme="minorHAnsi" w:cs="Calibri Light"/>
        </w:rPr>
        <w:t xml:space="preserve"> la procédure de demande (normale, urgente ou super urgente).</w:t>
      </w:r>
    </w:p>
    <w:p w14:paraId="476A76D2" w14:textId="4686880B" w:rsidR="00403788" w:rsidRDefault="00403788" w:rsidP="00403788">
      <w:pPr>
        <w:tabs>
          <w:tab w:val="left" w:pos="360"/>
          <w:tab w:val="left" w:pos="567"/>
        </w:tabs>
        <w:spacing w:before="120"/>
        <w:ind w:left="567"/>
        <w:jc w:val="both"/>
        <w:textAlignment w:val="baseline"/>
        <w:rPr>
          <w:rFonts w:asciiTheme="minorHAnsi" w:hAnsiTheme="minorHAnsi" w:cs="Calibri Light"/>
          <w:lang w:val="fr-BE"/>
        </w:rPr>
      </w:pPr>
      <w:r w:rsidRPr="00403788">
        <w:rPr>
          <w:rFonts w:asciiTheme="minorHAnsi" w:hAnsiTheme="minorHAnsi" w:cs="Calibri Light"/>
          <w:noProof/>
        </w:rPr>
        <w:drawing>
          <wp:inline distT="0" distB="0" distL="0" distR="0" wp14:anchorId="0C0973E5" wp14:editId="11CED6AA">
            <wp:extent cx="5760720" cy="22288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0720" cy="2228850"/>
                    </a:xfrm>
                    <a:prstGeom prst="rect">
                      <a:avLst/>
                    </a:prstGeom>
                    <a:noFill/>
                    <a:ln>
                      <a:noFill/>
                    </a:ln>
                  </pic:spPr>
                </pic:pic>
              </a:graphicData>
            </a:graphic>
          </wp:inline>
        </w:drawing>
      </w:r>
    </w:p>
    <w:p w14:paraId="321DE331" w14:textId="77777777" w:rsidR="006145D3" w:rsidRPr="00403788" w:rsidRDefault="006145D3" w:rsidP="00403788">
      <w:pPr>
        <w:tabs>
          <w:tab w:val="left" w:pos="360"/>
          <w:tab w:val="left" w:pos="567"/>
        </w:tabs>
        <w:spacing w:before="120"/>
        <w:ind w:left="567"/>
        <w:jc w:val="both"/>
        <w:textAlignment w:val="baseline"/>
        <w:rPr>
          <w:rFonts w:asciiTheme="minorHAnsi" w:hAnsiTheme="minorHAnsi" w:cs="Calibri Light"/>
          <w:lang w:val="fr-BE"/>
        </w:rPr>
      </w:pPr>
    </w:p>
    <w:p w14:paraId="7368B94D" w14:textId="34658778" w:rsidR="008B2E20" w:rsidRPr="008D7EB7" w:rsidRDefault="008B2E20" w:rsidP="008D7EB7">
      <w:pPr>
        <w:pStyle w:val="Sam4"/>
        <w:jc w:val="both"/>
        <w:rPr>
          <w:b w:val="0"/>
          <w:i w:val="0"/>
          <w:spacing w:val="11"/>
        </w:rPr>
      </w:pPr>
      <w:bookmarkStart w:id="4961" w:name="_Toc34813738"/>
      <w:bookmarkStart w:id="4962" w:name="_Toc74557725"/>
      <w:r w:rsidRPr="008D7EB7">
        <w:rPr>
          <w:spacing w:val="11"/>
        </w:rPr>
        <w:t>Permis de conduire</w:t>
      </w:r>
      <w:bookmarkEnd w:id="4961"/>
      <w:bookmarkEnd w:id="4962"/>
      <w:r w:rsidRPr="008D7EB7">
        <w:rPr>
          <w:spacing w:val="11"/>
        </w:rPr>
        <w:t> </w:t>
      </w:r>
    </w:p>
    <w:p w14:paraId="1BCD1B3E" w14:textId="77777777" w:rsidR="00403788" w:rsidRPr="008D7EB7" w:rsidRDefault="008B2E20" w:rsidP="008D7EB7">
      <w:pPr>
        <w:spacing w:before="120"/>
        <w:jc w:val="both"/>
        <w:textAlignment w:val="baseline"/>
        <w:rPr>
          <w:rFonts w:asciiTheme="minorHAnsi" w:hAnsiTheme="minorHAnsi" w:cs="Calibri Light"/>
        </w:rPr>
      </w:pPr>
      <w:r w:rsidRPr="008D7EB7">
        <w:rPr>
          <w:rFonts w:asciiTheme="minorHAnsi" w:hAnsiTheme="minorHAnsi" w:cs="Calibri Light"/>
        </w:rPr>
        <w:t>Il est recommandé d’agir de même pour la délivrance d’un permis de conduire modèle « carte bancaire » belge ou international</w:t>
      </w:r>
      <w:r w:rsidR="00403788" w:rsidRPr="008D7EB7">
        <w:rPr>
          <w:rFonts w:asciiTheme="minorHAnsi" w:hAnsiTheme="minorHAnsi" w:cs="Calibri Light"/>
        </w:rPr>
        <w:t>.</w:t>
      </w:r>
    </w:p>
    <w:p w14:paraId="25E818FA" w14:textId="565FE163" w:rsidR="00403788" w:rsidRPr="008D7EB7" w:rsidRDefault="00403788" w:rsidP="008D7EB7">
      <w:pPr>
        <w:spacing w:before="120"/>
        <w:jc w:val="both"/>
        <w:textAlignment w:val="baseline"/>
        <w:rPr>
          <w:rFonts w:asciiTheme="minorHAnsi" w:hAnsiTheme="minorHAnsi" w:cs="Calibri Light"/>
        </w:rPr>
      </w:pPr>
      <w:r w:rsidRPr="008D7EB7">
        <w:rPr>
          <w:rFonts w:asciiTheme="minorHAnsi" w:hAnsiTheme="minorHAnsi" w:cs="Calibri Light"/>
        </w:rPr>
        <w:t>Les coûts de fabrication pour les opérations décrites ci-après donnent lieu au remboursement des sommes prévues en regard de chacune d'elles</w:t>
      </w:r>
      <w:r w:rsidR="00944D1B">
        <w:rPr>
          <w:rStyle w:val="Appelnotedebasdep"/>
          <w:rFonts w:asciiTheme="minorHAnsi" w:hAnsiTheme="minorHAnsi" w:cs="Calibri Light"/>
        </w:rPr>
        <w:footnoteReference w:id="132"/>
      </w:r>
      <w:r w:rsidRPr="008D7EB7">
        <w:rPr>
          <w:rFonts w:asciiTheme="minorHAnsi" w:hAnsiTheme="minorHAnsi" w:cs="Calibri Light"/>
        </w:rPr>
        <w:t> :</w:t>
      </w:r>
    </w:p>
    <w:p w14:paraId="312C5A42" w14:textId="77777777" w:rsidR="00403788" w:rsidRPr="00403788" w:rsidRDefault="00403788" w:rsidP="00403788">
      <w:pPr>
        <w:tabs>
          <w:tab w:val="left" w:pos="567"/>
        </w:tabs>
        <w:spacing w:before="120"/>
        <w:ind w:left="567" w:hanging="567"/>
        <w:jc w:val="both"/>
        <w:textAlignment w:val="baseline"/>
        <w:rPr>
          <w:rFonts w:asciiTheme="minorHAnsi" w:hAnsiTheme="minorHAnsi" w:cs="Calibri Light"/>
          <w:color w:val="0D0D0D"/>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9"/>
        <w:gridCol w:w="2485"/>
      </w:tblGrid>
      <w:tr w:rsidR="00403788" w:rsidRPr="006145D3" w14:paraId="3B974636" w14:textId="77777777" w:rsidTr="008D7EB7">
        <w:trPr>
          <w:jc w:val="center"/>
        </w:trPr>
        <w:tc>
          <w:tcPr>
            <w:tcW w:w="5949" w:type="dxa"/>
            <w:tcMar>
              <w:top w:w="0" w:type="dxa"/>
              <w:left w:w="108" w:type="dxa"/>
              <w:bottom w:w="0" w:type="dxa"/>
              <w:right w:w="108" w:type="dxa"/>
            </w:tcMar>
            <w:hideMark/>
          </w:tcPr>
          <w:p w14:paraId="5412F03B" w14:textId="77777777" w:rsidR="00403788" w:rsidRPr="00576EF5" w:rsidRDefault="00403788" w:rsidP="00403788">
            <w:pPr>
              <w:tabs>
                <w:tab w:val="left" w:pos="567"/>
              </w:tabs>
              <w:spacing w:before="120"/>
              <w:ind w:left="567" w:hanging="567"/>
              <w:jc w:val="both"/>
              <w:textAlignment w:val="baseline"/>
              <w:rPr>
                <w:rFonts w:asciiTheme="minorHAnsi" w:hAnsiTheme="minorHAnsi" w:cs="Calibri Light"/>
                <w:color w:val="0D0D0D"/>
                <w:sz w:val="20"/>
                <w:szCs w:val="20"/>
              </w:rPr>
            </w:pPr>
            <w:bookmarkStart w:id="4963" w:name="_Hlk37766944"/>
            <w:r w:rsidRPr="00576EF5">
              <w:rPr>
                <w:rFonts w:asciiTheme="minorHAnsi" w:hAnsiTheme="minorHAnsi" w:cs="Calibri Light"/>
                <w:color w:val="0D0D0D"/>
                <w:sz w:val="20"/>
                <w:szCs w:val="20"/>
              </w:rPr>
              <w:t>Délivrance d'un permis de conduire provisoire</w:t>
            </w:r>
          </w:p>
        </w:tc>
        <w:tc>
          <w:tcPr>
            <w:tcW w:w="2485" w:type="dxa"/>
            <w:tcMar>
              <w:top w:w="0" w:type="dxa"/>
              <w:left w:w="108" w:type="dxa"/>
              <w:bottom w:w="0" w:type="dxa"/>
              <w:right w:w="108" w:type="dxa"/>
            </w:tcMar>
            <w:hideMark/>
          </w:tcPr>
          <w:p w14:paraId="7596F739" w14:textId="37568767" w:rsidR="00403788" w:rsidRPr="00576EF5" w:rsidRDefault="00403788" w:rsidP="008D7EB7">
            <w:pPr>
              <w:tabs>
                <w:tab w:val="left" w:pos="567"/>
              </w:tabs>
              <w:spacing w:before="120"/>
              <w:ind w:left="567" w:hanging="567"/>
              <w:jc w:val="right"/>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 xml:space="preserve">20,00 </w:t>
            </w:r>
            <w:r w:rsidR="009A56F6" w:rsidRPr="00576EF5">
              <w:rPr>
                <w:rFonts w:asciiTheme="minorHAnsi" w:hAnsiTheme="minorHAnsi" w:cs="Calibri Light"/>
                <w:color w:val="0D0D0D"/>
                <w:sz w:val="20"/>
                <w:szCs w:val="20"/>
              </w:rPr>
              <w:t>euros</w:t>
            </w:r>
          </w:p>
        </w:tc>
      </w:tr>
      <w:tr w:rsidR="00403788" w:rsidRPr="006145D3" w14:paraId="35424BDB" w14:textId="77777777" w:rsidTr="008D7EB7">
        <w:trPr>
          <w:jc w:val="center"/>
        </w:trPr>
        <w:tc>
          <w:tcPr>
            <w:tcW w:w="5949" w:type="dxa"/>
            <w:tcMar>
              <w:top w:w="0" w:type="dxa"/>
              <w:left w:w="108" w:type="dxa"/>
              <w:bottom w:w="0" w:type="dxa"/>
              <w:right w:w="108" w:type="dxa"/>
            </w:tcMar>
            <w:hideMark/>
          </w:tcPr>
          <w:p w14:paraId="356D4CE0" w14:textId="77777777" w:rsidR="00403788" w:rsidRPr="00576EF5" w:rsidRDefault="00403788" w:rsidP="00403788">
            <w:pPr>
              <w:tabs>
                <w:tab w:val="left" w:pos="567"/>
              </w:tabs>
              <w:spacing w:before="120"/>
              <w:ind w:left="567" w:hanging="567"/>
              <w:jc w:val="both"/>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Délivrance d'un nouveau permis de conduire provisoire</w:t>
            </w:r>
          </w:p>
        </w:tc>
        <w:tc>
          <w:tcPr>
            <w:tcW w:w="2485" w:type="dxa"/>
            <w:tcMar>
              <w:top w:w="0" w:type="dxa"/>
              <w:left w:w="108" w:type="dxa"/>
              <w:bottom w:w="0" w:type="dxa"/>
              <w:right w:w="108" w:type="dxa"/>
            </w:tcMar>
            <w:hideMark/>
          </w:tcPr>
          <w:p w14:paraId="3D2AFD40" w14:textId="0D955E9A" w:rsidR="00403788" w:rsidRPr="00576EF5" w:rsidRDefault="00403788" w:rsidP="008D7EB7">
            <w:pPr>
              <w:tabs>
                <w:tab w:val="left" w:pos="567"/>
              </w:tabs>
              <w:spacing w:before="120"/>
              <w:ind w:left="567" w:hanging="567"/>
              <w:jc w:val="right"/>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 xml:space="preserve">20,00 </w:t>
            </w:r>
            <w:r w:rsidR="009A56F6" w:rsidRPr="00576EF5">
              <w:rPr>
                <w:rFonts w:asciiTheme="minorHAnsi" w:hAnsiTheme="minorHAnsi" w:cs="Calibri Light"/>
                <w:color w:val="0D0D0D"/>
                <w:sz w:val="20"/>
                <w:szCs w:val="20"/>
              </w:rPr>
              <w:t>euros</w:t>
            </w:r>
          </w:p>
        </w:tc>
      </w:tr>
      <w:tr w:rsidR="00403788" w:rsidRPr="006145D3" w14:paraId="192C6F87" w14:textId="77777777" w:rsidTr="008D7EB7">
        <w:trPr>
          <w:jc w:val="center"/>
        </w:trPr>
        <w:tc>
          <w:tcPr>
            <w:tcW w:w="5949" w:type="dxa"/>
            <w:tcMar>
              <w:top w:w="0" w:type="dxa"/>
              <w:left w:w="108" w:type="dxa"/>
              <w:bottom w:w="0" w:type="dxa"/>
              <w:right w:w="108" w:type="dxa"/>
            </w:tcMar>
            <w:hideMark/>
          </w:tcPr>
          <w:p w14:paraId="4B64CE99" w14:textId="77777777" w:rsidR="00403788" w:rsidRPr="00576EF5" w:rsidRDefault="00403788" w:rsidP="00403788">
            <w:pPr>
              <w:tabs>
                <w:tab w:val="left" w:pos="567"/>
              </w:tabs>
              <w:spacing w:before="120"/>
              <w:ind w:left="567" w:hanging="567"/>
              <w:jc w:val="both"/>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Délivrance d'un permis de conduire</w:t>
            </w:r>
          </w:p>
        </w:tc>
        <w:tc>
          <w:tcPr>
            <w:tcW w:w="2485" w:type="dxa"/>
            <w:tcMar>
              <w:top w:w="0" w:type="dxa"/>
              <w:left w:w="108" w:type="dxa"/>
              <w:bottom w:w="0" w:type="dxa"/>
              <w:right w:w="108" w:type="dxa"/>
            </w:tcMar>
            <w:hideMark/>
          </w:tcPr>
          <w:p w14:paraId="7556ACB4" w14:textId="365AE7CD" w:rsidR="00403788" w:rsidRPr="00576EF5" w:rsidRDefault="00403788" w:rsidP="008D7EB7">
            <w:pPr>
              <w:tabs>
                <w:tab w:val="left" w:pos="567"/>
              </w:tabs>
              <w:spacing w:before="120"/>
              <w:ind w:left="567" w:hanging="567"/>
              <w:jc w:val="right"/>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 xml:space="preserve">20,00 </w:t>
            </w:r>
            <w:r w:rsidR="009A56F6" w:rsidRPr="00576EF5">
              <w:rPr>
                <w:rFonts w:asciiTheme="minorHAnsi" w:hAnsiTheme="minorHAnsi" w:cs="Calibri Light"/>
                <w:color w:val="0D0D0D"/>
                <w:sz w:val="20"/>
                <w:szCs w:val="20"/>
              </w:rPr>
              <w:t>euros</w:t>
            </w:r>
          </w:p>
        </w:tc>
      </w:tr>
      <w:tr w:rsidR="00403788" w:rsidRPr="006145D3" w14:paraId="6D99BAEC" w14:textId="77777777" w:rsidTr="008D7EB7">
        <w:trPr>
          <w:jc w:val="center"/>
        </w:trPr>
        <w:tc>
          <w:tcPr>
            <w:tcW w:w="5949" w:type="dxa"/>
            <w:tcMar>
              <w:top w:w="0" w:type="dxa"/>
              <w:left w:w="108" w:type="dxa"/>
              <w:bottom w:w="0" w:type="dxa"/>
              <w:right w:w="108" w:type="dxa"/>
            </w:tcMar>
            <w:hideMark/>
          </w:tcPr>
          <w:p w14:paraId="58BF4484" w14:textId="77777777" w:rsidR="00403788" w:rsidRPr="00576EF5" w:rsidRDefault="00403788" w:rsidP="00403788">
            <w:pPr>
              <w:tabs>
                <w:tab w:val="left" w:pos="567"/>
              </w:tabs>
              <w:spacing w:before="120"/>
              <w:ind w:left="567" w:hanging="567"/>
              <w:jc w:val="both"/>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Délivrance d'un nouveau permis de conduire</w:t>
            </w:r>
          </w:p>
        </w:tc>
        <w:tc>
          <w:tcPr>
            <w:tcW w:w="2485" w:type="dxa"/>
            <w:tcMar>
              <w:top w:w="0" w:type="dxa"/>
              <w:left w:w="108" w:type="dxa"/>
              <w:bottom w:w="0" w:type="dxa"/>
              <w:right w:w="108" w:type="dxa"/>
            </w:tcMar>
            <w:hideMark/>
          </w:tcPr>
          <w:p w14:paraId="3CB457D1" w14:textId="587B839B" w:rsidR="00403788" w:rsidRPr="00576EF5" w:rsidRDefault="00403788" w:rsidP="008D7EB7">
            <w:pPr>
              <w:tabs>
                <w:tab w:val="left" w:pos="567"/>
              </w:tabs>
              <w:spacing w:before="120"/>
              <w:ind w:left="567" w:hanging="567"/>
              <w:jc w:val="right"/>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 xml:space="preserve">20,00 </w:t>
            </w:r>
            <w:r w:rsidR="009A56F6" w:rsidRPr="00576EF5">
              <w:rPr>
                <w:rFonts w:asciiTheme="minorHAnsi" w:hAnsiTheme="minorHAnsi" w:cs="Calibri Light"/>
                <w:color w:val="0D0D0D"/>
                <w:sz w:val="20"/>
                <w:szCs w:val="20"/>
              </w:rPr>
              <w:t>euros</w:t>
            </w:r>
          </w:p>
        </w:tc>
      </w:tr>
      <w:tr w:rsidR="00403788" w:rsidRPr="006145D3" w14:paraId="17E9BD65" w14:textId="77777777" w:rsidTr="008D7EB7">
        <w:trPr>
          <w:jc w:val="center"/>
        </w:trPr>
        <w:tc>
          <w:tcPr>
            <w:tcW w:w="5949" w:type="dxa"/>
            <w:tcMar>
              <w:top w:w="0" w:type="dxa"/>
              <w:left w:w="108" w:type="dxa"/>
              <w:bottom w:w="0" w:type="dxa"/>
              <w:right w:w="108" w:type="dxa"/>
            </w:tcMar>
            <w:hideMark/>
          </w:tcPr>
          <w:p w14:paraId="3DA4F34F" w14:textId="77777777" w:rsidR="00403788" w:rsidRPr="00576EF5" w:rsidRDefault="00403788" w:rsidP="00403788">
            <w:pPr>
              <w:tabs>
                <w:tab w:val="left" w:pos="567"/>
              </w:tabs>
              <w:spacing w:before="120"/>
              <w:ind w:left="567" w:hanging="567"/>
              <w:jc w:val="both"/>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Délivrance d'un permis de conduire international</w:t>
            </w:r>
          </w:p>
        </w:tc>
        <w:tc>
          <w:tcPr>
            <w:tcW w:w="2485" w:type="dxa"/>
            <w:tcMar>
              <w:top w:w="0" w:type="dxa"/>
              <w:left w:w="108" w:type="dxa"/>
              <w:bottom w:w="0" w:type="dxa"/>
              <w:right w:w="108" w:type="dxa"/>
            </w:tcMar>
            <w:hideMark/>
          </w:tcPr>
          <w:p w14:paraId="7C16F609" w14:textId="1574ACE0" w:rsidR="00403788" w:rsidRPr="00576EF5" w:rsidRDefault="00403788" w:rsidP="008D7EB7">
            <w:pPr>
              <w:tabs>
                <w:tab w:val="left" w:pos="567"/>
              </w:tabs>
              <w:spacing w:before="120"/>
              <w:ind w:left="567" w:hanging="567"/>
              <w:jc w:val="right"/>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 xml:space="preserve">16,00 </w:t>
            </w:r>
            <w:r w:rsidR="009A56F6" w:rsidRPr="00576EF5">
              <w:rPr>
                <w:rFonts w:asciiTheme="minorHAnsi" w:hAnsiTheme="minorHAnsi" w:cs="Calibri Light"/>
                <w:color w:val="0D0D0D"/>
                <w:sz w:val="20"/>
                <w:szCs w:val="20"/>
              </w:rPr>
              <w:t>euros</w:t>
            </w:r>
          </w:p>
        </w:tc>
      </w:tr>
      <w:tr w:rsidR="00403788" w:rsidRPr="006145D3" w14:paraId="2AE8ECEA" w14:textId="77777777" w:rsidTr="008D7EB7">
        <w:trPr>
          <w:jc w:val="center"/>
        </w:trPr>
        <w:tc>
          <w:tcPr>
            <w:tcW w:w="5949" w:type="dxa"/>
            <w:tcMar>
              <w:top w:w="0" w:type="dxa"/>
              <w:left w:w="108" w:type="dxa"/>
              <w:bottom w:w="0" w:type="dxa"/>
              <w:right w:w="108" w:type="dxa"/>
            </w:tcMar>
            <w:hideMark/>
          </w:tcPr>
          <w:p w14:paraId="7D13848F" w14:textId="77777777" w:rsidR="00403788" w:rsidRPr="00576EF5" w:rsidRDefault="00403788" w:rsidP="00403788">
            <w:pPr>
              <w:tabs>
                <w:tab w:val="left" w:pos="567"/>
              </w:tabs>
              <w:spacing w:before="120"/>
              <w:ind w:left="567" w:hanging="567"/>
              <w:jc w:val="both"/>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Echange d'un permis de conduire</w:t>
            </w:r>
          </w:p>
        </w:tc>
        <w:tc>
          <w:tcPr>
            <w:tcW w:w="2485" w:type="dxa"/>
            <w:tcMar>
              <w:top w:w="0" w:type="dxa"/>
              <w:left w:w="108" w:type="dxa"/>
              <w:bottom w:w="0" w:type="dxa"/>
              <w:right w:w="108" w:type="dxa"/>
            </w:tcMar>
            <w:hideMark/>
          </w:tcPr>
          <w:p w14:paraId="70D15CFB" w14:textId="3818BF81" w:rsidR="00403788" w:rsidRPr="00576EF5" w:rsidRDefault="00403788" w:rsidP="008D7EB7">
            <w:pPr>
              <w:tabs>
                <w:tab w:val="left" w:pos="567"/>
              </w:tabs>
              <w:spacing w:before="120"/>
              <w:ind w:left="567" w:hanging="567"/>
              <w:jc w:val="right"/>
              <w:textAlignment w:val="baseline"/>
              <w:rPr>
                <w:rFonts w:asciiTheme="minorHAnsi" w:hAnsiTheme="minorHAnsi" w:cs="Calibri Light"/>
                <w:color w:val="0D0D0D"/>
                <w:sz w:val="20"/>
                <w:szCs w:val="20"/>
              </w:rPr>
            </w:pPr>
            <w:r w:rsidRPr="00576EF5">
              <w:rPr>
                <w:rFonts w:asciiTheme="minorHAnsi" w:hAnsiTheme="minorHAnsi" w:cs="Calibri Light"/>
                <w:color w:val="0D0D0D"/>
                <w:sz w:val="20"/>
                <w:szCs w:val="20"/>
              </w:rPr>
              <w:t xml:space="preserve">20,00 </w:t>
            </w:r>
            <w:r w:rsidR="009A56F6" w:rsidRPr="00576EF5">
              <w:rPr>
                <w:rFonts w:asciiTheme="minorHAnsi" w:hAnsiTheme="minorHAnsi" w:cs="Calibri Light"/>
                <w:color w:val="0D0D0D"/>
                <w:sz w:val="20"/>
                <w:szCs w:val="20"/>
              </w:rPr>
              <w:t>euros</w:t>
            </w:r>
          </w:p>
        </w:tc>
      </w:tr>
    </w:tbl>
    <w:p w14:paraId="44D59DDB" w14:textId="0B577802" w:rsidR="00403788" w:rsidRPr="008D7EB7" w:rsidRDefault="00403788"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Sauf </w:t>
      </w:r>
      <w:r w:rsidR="001044C0" w:rsidRPr="00C97323">
        <w:rPr>
          <w:rFonts w:asciiTheme="minorHAnsi" w:hAnsiTheme="minorHAnsi" w:cs="Calibri Light"/>
        </w:rPr>
        <w:t>exception, le</w:t>
      </w:r>
      <w:r w:rsidRPr="008D7EB7">
        <w:rPr>
          <w:rFonts w:asciiTheme="minorHAnsi" w:hAnsiTheme="minorHAnsi" w:cs="Calibri Light"/>
        </w:rPr>
        <w:t xml:space="preserve"> renouvellement d'un permis de conduire provisoire ou d'un permis de </w:t>
      </w:r>
      <w:bookmarkEnd w:id="4963"/>
      <w:r w:rsidRPr="008D7EB7">
        <w:rPr>
          <w:rFonts w:asciiTheme="minorHAnsi" w:hAnsiTheme="minorHAnsi" w:cs="Calibri Light"/>
        </w:rPr>
        <w:t>conduire de la catégorie AM, A1, A2, A, B, B+E ou G, pour des raisons d'aptitude médicale ou psychique, visées à l'article 21, § 3, ne donne pas lieu au paiement d'une redevance.</w:t>
      </w:r>
    </w:p>
    <w:p w14:paraId="5215B406" w14:textId="35A3AC36" w:rsidR="00944D1B" w:rsidRDefault="00403788" w:rsidP="00C97323">
      <w:pPr>
        <w:spacing w:before="120"/>
        <w:jc w:val="both"/>
        <w:textAlignment w:val="baseline"/>
        <w:rPr>
          <w:rFonts w:asciiTheme="minorHAnsi" w:hAnsiTheme="minorHAnsi" w:cs="Calibri Light"/>
        </w:rPr>
      </w:pPr>
      <w:r w:rsidRPr="008D7EB7">
        <w:rPr>
          <w:rFonts w:asciiTheme="minorHAnsi" w:hAnsiTheme="minorHAnsi" w:cs="Calibri Light"/>
        </w:rPr>
        <w:t>Comme vous pouvez le constater, il n’est pas possible de demander un duplicata d’un permis de conduire en modèle carte bancaire. Dans ce cas, un nouveau permis de conduire sera délivré.</w:t>
      </w:r>
    </w:p>
    <w:p w14:paraId="6E2AEB11" w14:textId="77777777" w:rsidR="00944D1B" w:rsidRDefault="00944D1B" w:rsidP="00C97323">
      <w:pPr>
        <w:spacing w:before="120"/>
        <w:jc w:val="both"/>
        <w:textAlignment w:val="baseline"/>
        <w:rPr>
          <w:rFonts w:asciiTheme="minorHAnsi" w:hAnsiTheme="minorHAnsi" w:cs="Calibri Light"/>
        </w:rPr>
      </w:pPr>
    </w:p>
    <w:p w14:paraId="3237CEFC" w14:textId="0399E28D" w:rsidR="002017D0" w:rsidRPr="008D7EB7" w:rsidRDefault="002017D0" w:rsidP="008D7EB7">
      <w:pPr>
        <w:pStyle w:val="Sam4"/>
        <w:jc w:val="both"/>
        <w:rPr>
          <w:b w:val="0"/>
          <w:spacing w:val="11"/>
        </w:rPr>
      </w:pPr>
      <w:bookmarkStart w:id="4964" w:name="_Toc40185486"/>
      <w:bookmarkStart w:id="4965" w:name="_Toc40186221"/>
      <w:bookmarkStart w:id="4966" w:name="_Toc40185487"/>
      <w:bookmarkStart w:id="4967" w:name="_Toc40186222"/>
      <w:bookmarkStart w:id="4968" w:name="_Toc40185488"/>
      <w:bookmarkStart w:id="4969" w:name="_Toc40186223"/>
      <w:bookmarkStart w:id="4970" w:name="_Toc40185489"/>
      <w:bookmarkStart w:id="4971" w:name="_Toc40186224"/>
      <w:bookmarkStart w:id="4972" w:name="_Toc74557726"/>
      <w:bookmarkEnd w:id="4964"/>
      <w:bookmarkEnd w:id="4965"/>
      <w:bookmarkEnd w:id="4966"/>
      <w:bookmarkEnd w:id="4967"/>
      <w:bookmarkEnd w:id="4968"/>
      <w:bookmarkEnd w:id="4969"/>
      <w:bookmarkEnd w:id="4970"/>
      <w:bookmarkEnd w:id="4971"/>
      <w:r w:rsidRPr="008D7EB7">
        <w:rPr>
          <w:spacing w:val="11"/>
        </w:rPr>
        <w:t>Redevance pour changement de prénom</w:t>
      </w:r>
      <w:bookmarkEnd w:id="4972"/>
    </w:p>
    <w:p w14:paraId="220C6C32" w14:textId="5D7CA9A1" w:rsidR="002017D0" w:rsidRPr="008D7EB7" w:rsidRDefault="002017D0" w:rsidP="008D7EB7">
      <w:pPr>
        <w:spacing w:before="120"/>
        <w:jc w:val="both"/>
        <w:textAlignment w:val="baseline"/>
        <w:rPr>
          <w:rFonts w:asciiTheme="minorHAnsi" w:hAnsiTheme="minorHAnsi" w:cs="Calibri Light"/>
        </w:rPr>
      </w:pPr>
      <w:r w:rsidRPr="008D7EB7">
        <w:rPr>
          <w:rFonts w:asciiTheme="minorHAnsi" w:hAnsiTheme="minorHAnsi" w:cs="Calibri Light"/>
        </w:rPr>
        <w:t>La loi du 18 juin 2018</w:t>
      </w:r>
      <w:r w:rsidR="00C97323">
        <w:rPr>
          <w:rStyle w:val="Appelnotedebasdep"/>
          <w:rFonts w:asciiTheme="minorHAnsi" w:hAnsiTheme="minorHAnsi" w:cs="Calibri Light"/>
        </w:rPr>
        <w:footnoteReference w:id="133"/>
      </w:r>
      <w:r w:rsidRPr="008D7EB7">
        <w:rPr>
          <w:rFonts w:asciiTheme="minorHAnsi" w:hAnsiTheme="minorHAnsi" w:cs="Calibri Light"/>
        </w:rPr>
        <w:t xml:space="preserve"> portant dispositions diverses en matière de droit civil et des dispositions en vue de promouvoir des formes alternatives de résolution de litiges modifie en son titre 3, chapitre </w:t>
      </w:r>
      <w:r w:rsidR="00944D1B" w:rsidRPr="008D7EB7">
        <w:rPr>
          <w:rFonts w:asciiTheme="minorHAnsi" w:hAnsiTheme="minorHAnsi" w:cs="Calibri Light"/>
        </w:rPr>
        <w:t>1</w:t>
      </w:r>
      <w:r w:rsidR="00944D1B" w:rsidRPr="008D7EB7">
        <w:rPr>
          <w:rFonts w:asciiTheme="minorHAnsi" w:hAnsiTheme="minorHAnsi" w:cs="Calibri Light"/>
          <w:vertAlign w:val="superscript"/>
        </w:rPr>
        <w:t>er</w:t>
      </w:r>
      <w:r w:rsidRPr="008D7EB7">
        <w:rPr>
          <w:rFonts w:asciiTheme="minorHAnsi" w:hAnsiTheme="minorHAnsi" w:cs="Calibri Light"/>
        </w:rPr>
        <w:t xml:space="preserve">, la loi du 15 mai 1987 relative aux noms et prénoms. </w:t>
      </w:r>
    </w:p>
    <w:p w14:paraId="24878F09" w14:textId="5C839E47" w:rsidR="00C97323" w:rsidRDefault="002017D0" w:rsidP="00C97323">
      <w:pPr>
        <w:spacing w:before="120"/>
        <w:jc w:val="both"/>
        <w:textAlignment w:val="baseline"/>
        <w:rPr>
          <w:rFonts w:asciiTheme="minorHAnsi" w:hAnsiTheme="minorHAnsi" w:cs="Calibri Light"/>
        </w:rPr>
      </w:pPr>
      <w:r w:rsidRPr="009315DC">
        <w:rPr>
          <w:rFonts w:asciiTheme="minorHAnsi" w:hAnsiTheme="minorHAnsi" w:cs="Calibri Light"/>
        </w:rPr>
        <w:lastRenderedPageBreak/>
        <w:t>Cette loi a été suivie d’une circulaire explicative du 11 juillet 2018</w:t>
      </w:r>
      <w:r w:rsidR="00C97323" w:rsidRPr="00256E9F">
        <w:rPr>
          <w:vertAlign w:val="superscript"/>
        </w:rPr>
        <w:footnoteReference w:id="134"/>
      </w:r>
      <w:r w:rsidRPr="009315DC">
        <w:rPr>
          <w:rFonts w:asciiTheme="minorHAnsi" w:hAnsiTheme="minorHAnsi" w:cs="Calibri Light"/>
        </w:rPr>
        <w:t xml:space="preserve"> dont les points VI et VII sont particulièrement intéressants puisqu’ils parlent de la redevance et de l’entrée en vigueur de la loi au 1</w:t>
      </w:r>
      <w:r w:rsidR="00944D1B" w:rsidRPr="008D7EB7">
        <w:rPr>
          <w:rFonts w:asciiTheme="minorHAnsi" w:hAnsiTheme="minorHAnsi" w:cs="Calibri Light"/>
          <w:vertAlign w:val="superscript"/>
        </w:rPr>
        <w:t>er</w:t>
      </w:r>
      <w:r w:rsidR="00944D1B">
        <w:rPr>
          <w:rFonts w:asciiTheme="minorHAnsi" w:hAnsiTheme="minorHAnsi" w:cs="Calibri Light"/>
        </w:rPr>
        <w:t xml:space="preserve"> </w:t>
      </w:r>
      <w:r w:rsidR="00C97323">
        <w:rPr>
          <w:rFonts w:asciiTheme="minorHAnsi" w:hAnsiTheme="minorHAnsi" w:cs="Calibri Light"/>
        </w:rPr>
        <w:t xml:space="preserve">août </w:t>
      </w:r>
      <w:r w:rsidRPr="009315DC">
        <w:rPr>
          <w:rFonts w:asciiTheme="minorHAnsi" w:hAnsiTheme="minorHAnsi" w:cs="Calibri Light"/>
        </w:rPr>
        <w:t>2018.</w:t>
      </w:r>
    </w:p>
    <w:p w14:paraId="2047FD0C" w14:textId="07CD9D3E" w:rsidR="00322FF3" w:rsidRPr="008D7EB7" w:rsidRDefault="00322FF3"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Cette circulaire rappelle qu’il convient de distinguer le changement de prénoms </w:t>
      </w:r>
      <w:r w:rsidRPr="00900C39">
        <w:rPr>
          <w:rFonts w:asciiTheme="minorHAnsi" w:hAnsiTheme="minorHAnsi" w:cs="Calibri Light"/>
          <w:i/>
        </w:rPr>
        <w:t>stricto sensu</w:t>
      </w:r>
      <w:r w:rsidRPr="008D7EB7">
        <w:rPr>
          <w:rFonts w:asciiTheme="minorHAnsi" w:hAnsiTheme="minorHAnsi" w:cs="Calibri Light"/>
        </w:rPr>
        <w:t xml:space="preserve"> de la rectification de prénoms. Lors de l'élaboration de la loi du 15 mai 1987, le législateur a rappelé que « rectifier, c'est dire le droit »</w:t>
      </w:r>
      <w:r w:rsidR="00C97323">
        <w:rPr>
          <w:rStyle w:val="Appelnotedebasdep"/>
          <w:rFonts w:asciiTheme="minorHAnsi" w:hAnsiTheme="minorHAnsi" w:cs="Calibri Light"/>
        </w:rPr>
        <w:footnoteReference w:id="135"/>
      </w:r>
      <w:r w:rsidRPr="008D7EB7">
        <w:rPr>
          <w:rFonts w:asciiTheme="minorHAnsi" w:hAnsiTheme="minorHAnsi" w:cs="Calibri Light"/>
        </w:rPr>
        <w:t xml:space="preserve">, c'est-à-dire remédier à une erreur affectant les prénoms. En revanche, le changement de prénoms suppose que les prénoms soient correctement déterminés mais doivent être modifiés pour une raison quelconque. Le changement de prénoms par cette voie implique l'exercice d'un pouvoir d'appréciation de la demande. De la même manière, en matière de nom, la jurisprudence a pu préciser que « Les tribunaux sont seuls compétents pour ordonner toutes les rectifications qui n'ont pour objet que d'établir ou de rétablir le nom véritable, tandis que l'autorité administrative est compétente pour autoriser </w:t>
      </w:r>
      <w:r w:rsidR="00622B11" w:rsidRPr="008D7EB7">
        <w:rPr>
          <w:rFonts w:asciiTheme="minorHAnsi" w:hAnsiTheme="minorHAnsi" w:cs="Calibri Light"/>
        </w:rPr>
        <w:t xml:space="preserve">tout changement </w:t>
      </w:r>
      <w:r w:rsidRPr="008D7EB7">
        <w:rPr>
          <w:rFonts w:asciiTheme="minorHAnsi" w:hAnsiTheme="minorHAnsi" w:cs="Calibri Light"/>
        </w:rPr>
        <w:t>de ce nom</w:t>
      </w:r>
      <w:r w:rsidR="00C97323">
        <w:rPr>
          <w:rStyle w:val="Appelnotedebasdep"/>
          <w:rFonts w:asciiTheme="minorHAnsi" w:hAnsiTheme="minorHAnsi" w:cs="Calibri Light"/>
        </w:rPr>
        <w:footnoteReference w:id="136"/>
      </w:r>
      <w:r w:rsidRPr="008D7EB7">
        <w:rPr>
          <w:rFonts w:asciiTheme="minorHAnsi" w:hAnsiTheme="minorHAnsi" w:cs="Calibri Light"/>
        </w:rPr>
        <w:t xml:space="preserve">. » </w:t>
      </w:r>
    </w:p>
    <w:p w14:paraId="04C374C1" w14:textId="4B252347" w:rsidR="00322FF3" w:rsidRPr="008D7EB7" w:rsidRDefault="00322FF3" w:rsidP="008D7EB7">
      <w:pPr>
        <w:spacing w:before="120"/>
        <w:jc w:val="both"/>
        <w:textAlignment w:val="baseline"/>
        <w:rPr>
          <w:rFonts w:asciiTheme="minorHAnsi" w:hAnsiTheme="minorHAnsi" w:cs="Calibri Light"/>
        </w:rPr>
      </w:pPr>
      <w:r w:rsidRPr="008D7EB7">
        <w:rPr>
          <w:rFonts w:asciiTheme="minorHAnsi" w:hAnsiTheme="minorHAnsi" w:cs="Calibri Light"/>
        </w:rPr>
        <w:t>L'officier de l'état civil compétent en matière de changement de prénoms est, par principe, celui de la commune où la personne concernée par le changement de prénoms - et non ses représentants légaux - est inscrite dans les registres de la population. Dans les cas exceptionnels dans lesquels une demande de changement de prénoms peut valablement être formulée par une personne reconnue comme réfugiée ou apatride, ou par une personne de nationalité étrangère qui est dépourvue de prénoms et a introduit une procédure d'acquisition de la nationalité belge (cf. supra), l'officier de l'état civil compétent sera celui de la commune dans laquelle la personne concernée est inscrite dans le registre des étrangers ou le registre d'attente.</w:t>
      </w:r>
    </w:p>
    <w:p w14:paraId="3B0D9F83" w14:textId="48DAE68E" w:rsidR="00322FF3" w:rsidRPr="008D7EB7" w:rsidRDefault="00322FF3"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Il est libre d'arrêter un montant fixe ou de prévoir des cas de réduction ou d'exemption. À ce titre, la loi </w:t>
      </w:r>
      <w:r w:rsidR="00A35B8B" w:rsidRPr="008D7EB7">
        <w:rPr>
          <w:rFonts w:asciiTheme="minorHAnsi" w:hAnsiTheme="minorHAnsi" w:cs="Calibri Light"/>
        </w:rPr>
        <w:t xml:space="preserve">du 15 mai </w:t>
      </w:r>
      <w:r w:rsidRPr="008D7EB7">
        <w:rPr>
          <w:rFonts w:asciiTheme="minorHAnsi" w:hAnsiTheme="minorHAnsi" w:cs="Calibri Light"/>
        </w:rPr>
        <w:t>1987 prévoyait la possibilité de réduire le montant de la redevance, uniquement dans les cas suivants : si le prénom dont la modification est demandée présente par lui-même ou par son association avec le nom, un caractère ridicule ou odieux, est de consonance étrangère ou de nature à prêter à confusion, si la modification consiste en un ajout ou en la suppression d’un signe de ponctuation ou d’un signe qui en modifie la prononciation ainsi que pour les cas des prénoms abrégés.</w:t>
      </w:r>
    </w:p>
    <w:p w14:paraId="14AD4806" w14:textId="7223EE1C" w:rsidR="00322FF3" w:rsidRPr="008D7EB7" w:rsidRDefault="00322FF3" w:rsidP="008D7EB7">
      <w:pPr>
        <w:spacing w:before="120"/>
        <w:jc w:val="both"/>
        <w:textAlignment w:val="baseline"/>
        <w:rPr>
          <w:rFonts w:asciiTheme="minorHAnsi" w:hAnsiTheme="minorHAnsi" w:cs="Calibri Light"/>
        </w:rPr>
      </w:pPr>
      <w:r w:rsidRPr="008D7EB7">
        <w:rPr>
          <w:rFonts w:asciiTheme="minorHAnsi" w:hAnsiTheme="minorHAnsi" w:cs="Calibri Light"/>
        </w:rPr>
        <w:t>En vertu de l'article 170, § 4, alinéa 2 de la Constitution, le législateur</w:t>
      </w:r>
      <w:r w:rsidR="00944D1B">
        <w:rPr>
          <w:rStyle w:val="Appelnotedebasdep"/>
          <w:rFonts w:asciiTheme="minorHAnsi" w:hAnsiTheme="minorHAnsi" w:cs="Calibri Light"/>
        </w:rPr>
        <w:footnoteReference w:id="137"/>
      </w:r>
      <w:r w:rsidR="00944D1B">
        <w:rPr>
          <w:rFonts w:asciiTheme="minorHAnsi" w:hAnsiTheme="minorHAnsi" w:cs="Calibri Light"/>
        </w:rPr>
        <w:t xml:space="preserve"> </w:t>
      </w:r>
      <w:r w:rsidRPr="008D7EB7">
        <w:rPr>
          <w:rFonts w:asciiTheme="minorHAnsi" w:hAnsiTheme="minorHAnsi" w:cs="Calibri Light"/>
        </w:rPr>
        <w:t>apporte des restrictions à l'autonomie fiscale communale dans deux cas :</w:t>
      </w:r>
    </w:p>
    <w:p w14:paraId="7CC82F28" w14:textId="77777777" w:rsidR="00322FF3" w:rsidRPr="008D7EB7" w:rsidRDefault="00322FF3" w:rsidP="008D7EB7">
      <w:pPr>
        <w:pStyle w:val="Paragraphedeliste"/>
        <w:tabs>
          <w:tab w:val="left" w:pos="360"/>
        </w:tabs>
        <w:ind w:left="720"/>
        <w:jc w:val="both"/>
        <w:rPr>
          <w:rFonts w:asciiTheme="minorHAnsi" w:hAnsiTheme="minorHAnsi" w:cs="Calibri Light"/>
          <w:bCs/>
          <w:color w:val="0D0D0D"/>
        </w:rPr>
      </w:pPr>
    </w:p>
    <w:p w14:paraId="56B0C314" w14:textId="77777777" w:rsidR="00322FF3" w:rsidRPr="008D7EB7" w:rsidRDefault="00322FF3" w:rsidP="008D7EB7">
      <w:pPr>
        <w:pStyle w:val="Paragraphedeliste"/>
        <w:numPr>
          <w:ilvl w:val="0"/>
          <w:numId w:val="119"/>
        </w:numPr>
        <w:tabs>
          <w:tab w:val="left" w:pos="360"/>
        </w:tabs>
        <w:ind w:left="1094" w:hanging="357"/>
        <w:jc w:val="both"/>
        <w:rPr>
          <w:rFonts w:asciiTheme="minorHAnsi" w:hAnsiTheme="minorHAnsi" w:cs="Calibri Light"/>
          <w:bCs/>
          <w:color w:val="0D0D0D"/>
          <w:lang w:val="fr-BE"/>
        </w:rPr>
      </w:pPr>
      <w:proofErr w:type="gramStart"/>
      <w:r w:rsidRPr="008D7EB7">
        <w:rPr>
          <w:rFonts w:asciiTheme="minorHAnsi" w:hAnsiTheme="minorHAnsi" w:cs="Calibri Light"/>
          <w:bCs/>
          <w:color w:val="0D0D0D"/>
          <w:lang w:val="fr-BE"/>
        </w:rPr>
        <w:t>la</w:t>
      </w:r>
      <w:proofErr w:type="gramEnd"/>
      <w:r w:rsidRPr="008D7EB7">
        <w:rPr>
          <w:rFonts w:asciiTheme="minorHAnsi" w:hAnsiTheme="minorHAnsi" w:cs="Calibri Light"/>
          <w:bCs/>
          <w:color w:val="0D0D0D"/>
          <w:lang w:val="fr-BE"/>
        </w:rPr>
        <w:t xml:space="preserve"> redevance due par les personnes transgenres ne peut pas excéder plus de 10% du tarif ordinaire déterminé par la commune. Si le montant de la redevance communale ordinaire vaut 1, la personne transgenre ne peut pas se voir réclamer une redevance supérieure à 1/10ème de ce montant ;</w:t>
      </w:r>
    </w:p>
    <w:p w14:paraId="5638B93F" w14:textId="77777777" w:rsidR="00322FF3" w:rsidRPr="008D7EB7" w:rsidRDefault="00322FF3" w:rsidP="008D7EB7">
      <w:pPr>
        <w:pStyle w:val="Paragraphedeliste"/>
        <w:numPr>
          <w:ilvl w:val="0"/>
          <w:numId w:val="119"/>
        </w:numPr>
        <w:tabs>
          <w:tab w:val="left" w:pos="360"/>
        </w:tabs>
        <w:ind w:left="1094" w:hanging="357"/>
        <w:jc w:val="both"/>
        <w:rPr>
          <w:rFonts w:asciiTheme="minorHAnsi" w:hAnsiTheme="minorHAnsi" w:cs="Calibri Light"/>
          <w:bCs/>
          <w:color w:val="0D0D0D"/>
          <w:lang w:val="fr-BE"/>
        </w:rPr>
      </w:pPr>
      <w:proofErr w:type="gramStart"/>
      <w:r w:rsidRPr="008D7EB7">
        <w:rPr>
          <w:rFonts w:asciiTheme="minorHAnsi" w:hAnsiTheme="minorHAnsi" w:cs="Calibri Light"/>
          <w:bCs/>
          <w:color w:val="0D0D0D"/>
          <w:lang w:val="fr-BE"/>
        </w:rPr>
        <w:t>les</w:t>
      </w:r>
      <w:proofErr w:type="gramEnd"/>
      <w:r w:rsidRPr="008D7EB7">
        <w:rPr>
          <w:rFonts w:asciiTheme="minorHAnsi" w:hAnsiTheme="minorHAnsi" w:cs="Calibri Light"/>
          <w:bCs/>
          <w:color w:val="0D0D0D"/>
          <w:lang w:val="fr-BE"/>
        </w:rPr>
        <w:t xml:space="preserve"> personnes de nationalité étrangère qui ont formulé une demande d'acquisition de la nationalité belge et qui sont dénuées de prénom(s) lors de la demande d'adjonction de prénom(s) sont exemptées de toute redevance afin d'y remédier. </w:t>
      </w:r>
    </w:p>
    <w:p w14:paraId="4B71AE16" w14:textId="1116C4C4" w:rsidR="002017D0" w:rsidRDefault="002017D0" w:rsidP="008D7EB7">
      <w:pPr>
        <w:spacing w:before="120"/>
        <w:jc w:val="both"/>
        <w:textAlignment w:val="baseline"/>
        <w:rPr>
          <w:rFonts w:asciiTheme="minorHAnsi" w:hAnsiTheme="minorHAnsi" w:cs="Calibri Light"/>
        </w:rPr>
      </w:pPr>
      <w:r w:rsidRPr="009315DC">
        <w:rPr>
          <w:rFonts w:asciiTheme="minorHAnsi" w:hAnsiTheme="minorHAnsi" w:cs="Calibri Light"/>
        </w:rPr>
        <w:t xml:space="preserve">Le taux maximum recommandé est de </w:t>
      </w:r>
      <w:r w:rsidR="00197051" w:rsidRPr="008D7EB7">
        <w:rPr>
          <w:rFonts w:asciiTheme="minorHAnsi" w:hAnsiTheme="minorHAnsi" w:cs="Calibri Light"/>
        </w:rPr>
        <w:t>500</w:t>
      </w:r>
      <w:r w:rsidR="00C97323">
        <w:rPr>
          <w:rFonts w:asciiTheme="minorHAnsi" w:hAnsiTheme="minorHAnsi" w:cs="Calibri Light"/>
        </w:rPr>
        <w:t>,00</w:t>
      </w:r>
      <w:r w:rsidRPr="009315DC">
        <w:rPr>
          <w:rFonts w:asciiTheme="minorHAnsi" w:hAnsiTheme="minorHAnsi" w:cs="Calibri Light"/>
        </w:rPr>
        <w:t xml:space="preserve"> euros</w:t>
      </w:r>
      <w:r w:rsidR="00C97323" w:rsidRPr="008D7EB7">
        <w:rPr>
          <w:rFonts w:asciiTheme="minorHAnsi" w:hAnsiTheme="minorHAnsi" w:cs="Calibri Light"/>
        </w:rPr>
        <w:t>.</w:t>
      </w:r>
    </w:p>
    <w:p w14:paraId="3421248D" w14:textId="77777777" w:rsidR="00322FF3" w:rsidRPr="00322FF3" w:rsidRDefault="00322FF3" w:rsidP="008D7EB7">
      <w:pPr>
        <w:spacing w:before="120"/>
        <w:jc w:val="both"/>
        <w:textAlignment w:val="baseline"/>
        <w:rPr>
          <w:rFonts w:asciiTheme="minorHAnsi" w:hAnsiTheme="minorHAnsi" w:cs="Calibri Light"/>
        </w:rPr>
      </w:pPr>
      <w:r w:rsidRPr="00322FF3">
        <w:rPr>
          <w:rFonts w:asciiTheme="minorHAnsi" w:hAnsiTheme="minorHAnsi" w:cs="Calibri Light"/>
        </w:rPr>
        <w:lastRenderedPageBreak/>
        <w:t xml:space="preserve">Le montant de la redevance peut être exigé soit lors de la demande, soit lorsque l’autorisation en elle-même est donnée. Il paraît cependant plus sécurisant et plus pratique de percevoir le montant au moment de la demande. </w:t>
      </w:r>
    </w:p>
    <w:p w14:paraId="7683FE6D" w14:textId="22356267" w:rsidR="00322FF3" w:rsidRDefault="00322FF3">
      <w:pPr>
        <w:spacing w:before="120"/>
        <w:jc w:val="both"/>
        <w:textAlignment w:val="baseline"/>
        <w:rPr>
          <w:rFonts w:asciiTheme="minorHAnsi" w:hAnsiTheme="minorHAnsi" w:cs="Calibri Light"/>
        </w:rPr>
      </w:pPr>
      <w:r w:rsidRPr="00322FF3">
        <w:rPr>
          <w:rFonts w:asciiTheme="minorHAnsi" w:hAnsiTheme="minorHAnsi" w:cs="Calibri Light"/>
        </w:rPr>
        <w:t>Je vous invite à adopter un règlement redevance spécifique sur la demande de changement de prénom et ce, d’autant plus, que la perception dès la demande peut avoir un effet direct sur le nombre de demandes introduites et est de nature à éviter une certaine légèreté dans le chef du demandeur. </w:t>
      </w:r>
    </w:p>
    <w:p w14:paraId="750CD458" w14:textId="77777777" w:rsidR="004672E1" w:rsidRPr="00322FF3" w:rsidRDefault="004672E1" w:rsidP="008D7EB7">
      <w:pPr>
        <w:spacing w:before="120"/>
        <w:jc w:val="both"/>
        <w:textAlignment w:val="baseline"/>
        <w:rPr>
          <w:rFonts w:asciiTheme="minorHAnsi" w:hAnsiTheme="minorHAnsi" w:cs="Calibri Light"/>
        </w:rPr>
      </w:pPr>
    </w:p>
    <w:p w14:paraId="1A647FBF" w14:textId="4F34BFF9" w:rsidR="008B2E20" w:rsidRPr="008D7EB7" w:rsidRDefault="009B153C" w:rsidP="008D7EB7">
      <w:pPr>
        <w:pStyle w:val="Sam4"/>
        <w:jc w:val="both"/>
        <w:rPr>
          <w:b w:val="0"/>
          <w:spacing w:val="11"/>
        </w:rPr>
      </w:pPr>
      <w:bookmarkStart w:id="4973" w:name="_Toc40185491"/>
      <w:bookmarkStart w:id="4974" w:name="_Toc40186226"/>
      <w:bookmarkStart w:id="4975" w:name="_Toc40185492"/>
      <w:bookmarkStart w:id="4976" w:name="_Toc40186227"/>
      <w:bookmarkStart w:id="4977" w:name="_Toc40185493"/>
      <w:bookmarkStart w:id="4978" w:name="_Toc40186228"/>
      <w:bookmarkStart w:id="4979" w:name="_Toc40185494"/>
      <w:bookmarkStart w:id="4980" w:name="_Toc40186229"/>
      <w:bookmarkStart w:id="4981" w:name="_Toc40185495"/>
      <w:bookmarkStart w:id="4982" w:name="_Toc40186230"/>
      <w:bookmarkStart w:id="4983" w:name="_Toc40185496"/>
      <w:bookmarkStart w:id="4984" w:name="_Toc40186231"/>
      <w:bookmarkStart w:id="4985" w:name="_Toc40185497"/>
      <w:bookmarkStart w:id="4986" w:name="_Toc40186232"/>
      <w:bookmarkStart w:id="4987" w:name="_Toc40185498"/>
      <w:bookmarkStart w:id="4988" w:name="_Toc40186233"/>
      <w:bookmarkStart w:id="4989" w:name="_Toc40185499"/>
      <w:bookmarkStart w:id="4990" w:name="_Toc40186234"/>
      <w:bookmarkStart w:id="4991" w:name="_Toc74557727"/>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r w:rsidRPr="008D7EB7">
        <w:rPr>
          <w:spacing w:val="11"/>
        </w:rPr>
        <w:t>Documents et travaux urbanistiques</w:t>
      </w:r>
      <w:bookmarkEnd w:id="4991"/>
      <w:r w:rsidRPr="008D7EB7">
        <w:rPr>
          <w:spacing w:val="11"/>
        </w:rPr>
        <w:t xml:space="preserve"> </w:t>
      </w:r>
    </w:p>
    <w:p w14:paraId="2F59BFD4" w14:textId="7D62AA89" w:rsidR="009B153C" w:rsidRDefault="009B153C" w:rsidP="008B2E20">
      <w:pPr>
        <w:tabs>
          <w:tab w:val="left" w:pos="360"/>
        </w:tabs>
        <w:spacing w:before="120"/>
        <w:jc w:val="both"/>
        <w:rPr>
          <w:rFonts w:asciiTheme="minorHAnsi" w:hAnsiTheme="minorHAnsi" w:cs="Calibri Light"/>
          <w:spacing w:val="1"/>
        </w:rPr>
      </w:pPr>
      <w:r w:rsidRPr="008B2E20">
        <w:rPr>
          <w:rFonts w:asciiTheme="minorHAnsi" w:hAnsiTheme="minorHAnsi" w:cs="Calibri Light"/>
          <w:spacing w:val="1"/>
        </w:rPr>
        <w:t>cf. infra 040/361-48 : Prestations communales administratives ou techniques en général.</w:t>
      </w:r>
    </w:p>
    <w:p w14:paraId="4D353F68" w14:textId="77777777" w:rsidR="004672E1" w:rsidRDefault="004672E1" w:rsidP="008B2E20">
      <w:pPr>
        <w:tabs>
          <w:tab w:val="left" w:pos="360"/>
        </w:tabs>
        <w:spacing w:before="120"/>
        <w:jc w:val="both"/>
        <w:rPr>
          <w:rFonts w:asciiTheme="minorHAnsi" w:hAnsiTheme="minorHAnsi" w:cs="Calibri Light"/>
          <w:spacing w:val="1"/>
        </w:rPr>
      </w:pPr>
    </w:p>
    <w:p w14:paraId="157B80C4" w14:textId="0F2BAE92" w:rsidR="008B2E20" w:rsidRPr="008D7EB7" w:rsidRDefault="009B153C" w:rsidP="008D7EB7">
      <w:pPr>
        <w:pStyle w:val="Sam4"/>
        <w:jc w:val="both"/>
        <w:rPr>
          <w:spacing w:val="11"/>
        </w:rPr>
      </w:pPr>
      <w:bookmarkStart w:id="4992" w:name="_Toc40185501"/>
      <w:bookmarkStart w:id="4993" w:name="_Toc40186236"/>
      <w:bookmarkStart w:id="4994" w:name="_Toc74557728"/>
      <w:bookmarkEnd w:id="4992"/>
      <w:bookmarkEnd w:id="4993"/>
      <w:r w:rsidRPr="008D7EB7">
        <w:rPr>
          <w:spacing w:val="11"/>
        </w:rPr>
        <w:t>Informations pour un notaire</w:t>
      </w:r>
      <w:bookmarkEnd w:id="4994"/>
      <w:r w:rsidRPr="008D7EB7">
        <w:rPr>
          <w:spacing w:val="11"/>
        </w:rPr>
        <w:t xml:space="preserve"> </w:t>
      </w:r>
    </w:p>
    <w:p w14:paraId="2120EF80" w14:textId="13D736B7" w:rsidR="009B153C" w:rsidRDefault="009B153C" w:rsidP="008B2E20">
      <w:pPr>
        <w:tabs>
          <w:tab w:val="left" w:pos="360"/>
        </w:tabs>
        <w:spacing w:before="120"/>
        <w:jc w:val="both"/>
        <w:rPr>
          <w:rFonts w:asciiTheme="minorHAnsi" w:hAnsiTheme="minorHAnsi" w:cs="Calibri Light"/>
        </w:rPr>
      </w:pPr>
      <w:r w:rsidRPr="00DA6BD2">
        <w:rPr>
          <w:rFonts w:asciiTheme="minorHAnsi" w:hAnsiTheme="minorHAnsi" w:cs="Calibri Light"/>
        </w:rPr>
        <w:t xml:space="preserve">Aucun impôt ou redevance ne peut être levé sur les informations fournies aux notaires quand ils interpellent les communes conformément aux articles 433 et 434 du </w:t>
      </w:r>
      <w:r w:rsidR="008D4481">
        <w:rPr>
          <w:rFonts w:asciiTheme="minorHAnsi" w:hAnsiTheme="minorHAnsi" w:cs="Calibri Light"/>
        </w:rPr>
        <w:t>code des impôts sur les revenus</w:t>
      </w:r>
      <w:r w:rsidR="008D4481" w:rsidRPr="00DA6BD2">
        <w:rPr>
          <w:rFonts w:asciiTheme="minorHAnsi" w:hAnsiTheme="minorHAnsi" w:cs="Calibri Light"/>
        </w:rPr>
        <w:t xml:space="preserve"> </w:t>
      </w:r>
      <w:r w:rsidRPr="00DA6BD2">
        <w:rPr>
          <w:rFonts w:asciiTheme="minorHAnsi" w:hAnsiTheme="minorHAnsi" w:cs="Calibri Light"/>
        </w:rPr>
        <w:t>(renseignements de nature fiscale).</w:t>
      </w:r>
    </w:p>
    <w:p w14:paraId="387E8EF0" w14:textId="77777777" w:rsidR="004672E1" w:rsidRDefault="004672E1" w:rsidP="008B2E20">
      <w:pPr>
        <w:tabs>
          <w:tab w:val="left" w:pos="360"/>
        </w:tabs>
        <w:spacing w:before="120"/>
        <w:jc w:val="both"/>
        <w:rPr>
          <w:rFonts w:asciiTheme="minorHAnsi" w:hAnsiTheme="minorHAnsi" w:cs="Calibri Light"/>
        </w:rPr>
      </w:pPr>
    </w:p>
    <w:p w14:paraId="68E27B5E" w14:textId="2DAC37E3" w:rsidR="008B2E20" w:rsidRPr="008D7EB7" w:rsidRDefault="009B153C" w:rsidP="008D7EB7">
      <w:pPr>
        <w:pStyle w:val="Sam4"/>
        <w:jc w:val="both"/>
        <w:rPr>
          <w:spacing w:val="11"/>
        </w:rPr>
      </w:pPr>
      <w:bookmarkStart w:id="4995" w:name="_Toc40185503"/>
      <w:bookmarkStart w:id="4996" w:name="_Toc40186238"/>
      <w:bookmarkStart w:id="4997" w:name="_Toc74557729"/>
      <w:bookmarkEnd w:id="4995"/>
      <w:bookmarkEnd w:id="4996"/>
      <w:r w:rsidRPr="008D7EB7">
        <w:rPr>
          <w:spacing w:val="11"/>
        </w:rPr>
        <w:t xml:space="preserve">Inhumation et </w:t>
      </w:r>
      <w:r w:rsidR="002017D0" w:rsidRPr="008D7EB7">
        <w:rPr>
          <w:spacing w:val="11"/>
        </w:rPr>
        <w:t>crémation</w:t>
      </w:r>
      <w:bookmarkEnd w:id="4997"/>
      <w:r w:rsidR="002017D0" w:rsidRPr="008D7EB7">
        <w:rPr>
          <w:spacing w:val="11"/>
        </w:rPr>
        <w:t xml:space="preserve"> </w:t>
      </w:r>
    </w:p>
    <w:p w14:paraId="0790BFEB" w14:textId="396E7DA1" w:rsidR="009B153C" w:rsidRDefault="008B2E20">
      <w:pPr>
        <w:tabs>
          <w:tab w:val="left" w:pos="360"/>
        </w:tabs>
        <w:spacing w:before="120"/>
        <w:jc w:val="both"/>
        <w:rPr>
          <w:rFonts w:asciiTheme="minorHAnsi" w:hAnsiTheme="minorHAnsi" w:cs="Calibri Light"/>
        </w:rPr>
      </w:pPr>
      <w:r w:rsidRPr="008D7EB7">
        <w:rPr>
          <w:rFonts w:asciiTheme="minorHAnsi" w:hAnsiTheme="minorHAnsi" w:cs="Calibri Light"/>
        </w:rPr>
        <w:t>Selon les articles L1232-17bis et L1232</w:t>
      </w:r>
      <w:r w:rsidR="000006B0" w:rsidRPr="008D7EB7">
        <w:rPr>
          <w:rFonts w:asciiTheme="minorHAnsi" w:hAnsiTheme="minorHAnsi" w:cs="Calibri Light"/>
        </w:rPr>
        <w:t>-</w:t>
      </w:r>
      <w:r w:rsidRPr="008D7EB7">
        <w:rPr>
          <w:rFonts w:asciiTheme="minorHAnsi" w:hAnsiTheme="minorHAnsi" w:cs="Calibri Light"/>
        </w:rPr>
        <w:t>22 du CDLD</w:t>
      </w:r>
      <w:r w:rsidRPr="008D7EB7">
        <w:rPr>
          <w:rStyle w:val="Appelnotedebasdep"/>
          <w:rFonts w:asciiTheme="minorHAnsi" w:hAnsiTheme="minorHAnsi" w:cs="Calibri Light"/>
        </w:rPr>
        <w:footnoteReference w:id="138"/>
      </w:r>
      <w:r w:rsidRPr="008D7EB7">
        <w:rPr>
          <w:rFonts w:asciiTheme="minorHAnsi" w:hAnsiTheme="minorHAnsi" w:cs="Calibri Light"/>
        </w:rPr>
        <w:t>, l'inhumation et la crémation sont subordonnées à une autorisation gratuite, qui ne peut être délivrée, au minimum 24 heures après le décès, que par l'officier de l'état civil du lieu de décès, si la personne est décédée dans une commune de la région de langue française.</w:t>
      </w:r>
    </w:p>
    <w:p w14:paraId="5D3FDD6F" w14:textId="77777777" w:rsidR="004672E1" w:rsidRPr="008D4481" w:rsidRDefault="004672E1">
      <w:pPr>
        <w:tabs>
          <w:tab w:val="left" w:pos="360"/>
        </w:tabs>
        <w:spacing w:before="120"/>
        <w:jc w:val="both"/>
        <w:rPr>
          <w:rFonts w:asciiTheme="minorHAnsi" w:hAnsiTheme="minorHAnsi" w:cs="Calibri Light"/>
        </w:rPr>
      </w:pPr>
    </w:p>
    <w:p w14:paraId="3F92F3D3" w14:textId="60712D69" w:rsidR="008B2E20" w:rsidRPr="008D7EB7" w:rsidRDefault="009B153C" w:rsidP="008D7EB7">
      <w:pPr>
        <w:pStyle w:val="Sam4"/>
        <w:jc w:val="both"/>
        <w:rPr>
          <w:spacing w:val="11"/>
        </w:rPr>
      </w:pPr>
      <w:bookmarkStart w:id="4998" w:name="_Toc40185505"/>
      <w:bookmarkStart w:id="4999" w:name="_Toc40186240"/>
      <w:bookmarkStart w:id="5000" w:name="_Toc74557730"/>
      <w:bookmarkEnd w:id="4998"/>
      <w:bookmarkEnd w:id="4999"/>
      <w:r w:rsidRPr="008D7EB7">
        <w:rPr>
          <w:spacing w:val="11"/>
        </w:rPr>
        <w:t>Légalisation</w:t>
      </w:r>
      <w:r w:rsidR="008B2E20" w:rsidRPr="008D7EB7">
        <w:rPr>
          <w:spacing w:val="11"/>
        </w:rPr>
        <w:t xml:space="preserve"> d’un document</w:t>
      </w:r>
      <w:bookmarkEnd w:id="5000"/>
      <w:r w:rsidR="00ED21A0" w:rsidRPr="008D7EB7">
        <w:rPr>
          <w:spacing w:val="11"/>
        </w:rPr>
        <w:t> </w:t>
      </w:r>
      <w:r w:rsidRPr="008D7EB7">
        <w:rPr>
          <w:spacing w:val="11"/>
        </w:rPr>
        <w:t xml:space="preserve"> </w:t>
      </w:r>
    </w:p>
    <w:p w14:paraId="571F599C" w14:textId="5ECD3EEF" w:rsidR="009B153C" w:rsidRDefault="00322FF3" w:rsidP="008B2E20">
      <w:pPr>
        <w:tabs>
          <w:tab w:val="left" w:pos="360"/>
        </w:tabs>
        <w:spacing w:before="120"/>
        <w:jc w:val="both"/>
        <w:rPr>
          <w:rFonts w:asciiTheme="minorHAnsi" w:hAnsiTheme="minorHAnsi" w:cs="Calibri Light"/>
        </w:rPr>
      </w:pPr>
      <w:r w:rsidRPr="008D7EB7">
        <w:rPr>
          <w:rFonts w:asciiTheme="minorHAnsi" w:hAnsiTheme="minorHAnsi" w:cs="Calibri Light"/>
        </w:rPr>
        <w:t xml:space="preserve">Le Conseil communal peut soumettre toute légalisation au paiement d’un montant forfaitaire. </w:t>
      </w:r>
      <w:r w:rsidR="008B2E20" w:rsidRPr="008D7EB7">
        <w:rPr>
          <w:rFonts w:asciiTheme="minorHAnsi" w:hAnsiTheme="minorHAnsi" w:cs="Calibri Light"/>
        </w:rPr>
        <w:t>L</w:t>
      </w:r>
      <w:r w:rsidRPr="008D7EB7">
        <w:rPr>
          <w:rFonts w:asciiTheme="minorHAnsi" w:hAnsiTheme="minorHAnsi" w:cs="Calibri Light"/>
        </w:rPr>
        <w:t>e</w:t>
      </w:r>
      <w:r w:rsidR="008B2E20" w:rsidRPr="008D7EB7">
        <w:rPr>
          <w:rFonts w:asciiTheme="minorHAnsi" w:hAnsiTheme="minorHAnsi" w:cs="Calibri Light"/>
        </w:rPr>
        <w:t xml:space="preserve"> montant </w:t>
      </w:r>
      <w:r w:rsidRPr="008D7EB7">
        <w:rPr>
          <w:rFonts w:asciiTheme="minorHAnsi" w:hAnsiTheme="minorHAnsi" w:cs="Calibri Light"/>
        </w:rPr>
        <w:t xml:space="preserve">forfaitaire </w:t>
      </w:r>
      <w:r w:rsidR="008B2E20" w:rsidRPr="008D7EB7">
        <w:rPr>
          <w:rFonts w:asciiTheme="minorHAnsi" w:hAnsiTheme="minorHAnsi" w:cs="Calibri Light"/>
        </w:rPr>
        <w:t xml:space="preserve">maximum recommandé </w:t>
      </w:r>
      <w:r w:rsidRPr="008D7EB7">
        <w:rPr>
          <w:rFonts w:asciiTheme="minorHAnsi" w:hAnsiTheme="minorHAnsi" w:cs="Calibri Light"/>
        </w:rPr>
        <w:t xml:space="preserve">de la taxe </w:t>
      </w:r>
      <w:r w:rsidR="008B2E20" w:rsidRPr="008D7EB7">
        <w:rPr>
          <w:rFonts w:asciiTheme="minorHAnsi" w:hAnsiTheme="minorHAnsi" w:cs="Calibri Light"/>
        </w:rPr>
        <w:t xml:space="preserve">est fixé </w:t>
      </w:r>
      <w:r w:rsidRPr="008D7EB7">
        <w:rPr>
          <w:rFonts w:asciiTheme="minorHAnsi" w:hAnsiTheme="minorHAnsi" w:cs="Calibri Light"/>
        </w:rPr>
        <w:t>à un montant de base de</w:t>
      </w:r>
      <w:r w:rsidR="009B153C" w:rsidRPr="008D4481">
        <w:rPr>
          <w:rFonts w:asciiTheme="minorHAnsi" w:hAnsiTheme="minorHAnsi" w:cs="Calibri Light"/>
        </w:rPr>
        <w:t xml:space="preserve"> </w:t>
      </w:r>
      <w:r w:rsidR="00197051" w:rsidRPr="008D7EB7">
        <w:rPr>
          <w:rFonts w:asciiTheme="minorHAnsi" w:hAnsiTheme="minorHAnsi" w:cs="Calibri Light"/>
        </w:rPr>
        <w:t>5</w:t>
      </w:r>
      <w:r w:rsidR="008D4481" w:rsidRPr="008D4481">
        <w:rPr>
          <w:rFonts w:asciiTheme="minorHAnsi" w:hAnsiTheme="minorHAnsi" w:cs="Calibri Light"/>
        </w:rPr>
        <w:t>,00</w:t>
      </w:r>
      <w:r w:rsidR="00197051" w:rsidRPr="008D4481">
        <w:rPr>
          <w:rFonts w:asciiTheme="minorHAnsi" w:hAnsiTheme="minorHAnsi" w:cs="Calibri Light"/>
        </w:rPr>
        <w:t xml:space="preserve"> </w:t>
      </w:r>
      <w:r w:rsidR="001044C0" w:rsidRPr="008D4481">
        <w:rPr>
          <w:rFonts w:asciiTheme="minorHAnsi" w:hAnsiTheme="minorHAnsi" w:cs="Calibri Light"/>
        </w:rPr>
        <w:t>euro</w:t>
      </w:r>
      <w:r w:rsidR="008D4481" w:rsidRPr="008D4481">
        <w:rPr>
          <w:rFonts w:asciiTheme="minorHAnsi" w:hAnsiTheme="minorHAnsi" w:cs="Calibri Light"/>
        </w:rPr>
        <w:t>s</w:t>
      </w:r>
      <w:r w:rsidR="009B153C" w:rsidRPr="008D4481">
        <w:rPr>
          <w:rFonts w:asciiTheme="minorHAnsi" w:hAnsiTheme="minorHAnsi" w:cs="Calibri Light"/>
        </w:rPr>
        <w:t>.</w:t>
      </w:r>
    </w:p>
    <w:p w14:paraId="32ABC454" w14:textId="77777777" w:rsidR="006B47EE" w:rsidRDefault="006B47EE" w:rsidP="008B2E20">
      <w:pPr>
        <w:tabs>
          <w:tab w:val="left" w:pos="360"/>
        </w:tabs>
        <w:spacing w:before="120"/>
        <w:jc w:val="both"/>
        <w:rPr>
          <w:rFonts w:asciiTheme="minorHAnsi" w:hAnsiTheme="minorHAnsi" w:cs="Calibri Light"/>
        </w:rPr>
      </w:pPr>
    </w:p>
    <w:p w14:paraId="7808379E" w14:textId="249A8E53" w:rsidR="006638E5" w:rsidRPr="008D7EB7" w:rsidRDefault="009B153C" w:rsidP="008D7EB7">
      <w:pPr>
        <w:pStyle w:val="Sam4"/>
        <w:jc w:val="both"/>
        <w:rPr>
          <w:spacing w:val="11"/>
        </w:rPr>
      </w:pPr>
      <w:bookmarkStart w:id="5001" w:name="_Toc40185507"/>
      <w:bookmarkStart w:id="5002" w:name="_Toc40186242"/>
      <w:bookmarkStart w:id="5003" w:name="_Toc40185508"/>
      <w:bookmarkStart w:id="5004" w:name="_Toc40186243"/>
      <w:bookmarkStart w:id="5005" w:name="_Toc74557731"/>
      <w:bookmarkEnd w:id="5001"/>
      <w:bookmarkEnd w:id="5002"/>
      <w:bookmarkEnd w:id="5003"/>
      <w:bookmarkEnd w:id="5004"/>
      <w:r w:rsidRPr="008D7EB7">
        <w:rPr>
          <w:spacing w:val="11"/>
        </w:rPr>
        <w:t>Mariage et cohabitation légale :</w:t>
      </w:r>
      <w:bookmarkEnd w:id="5005"/>
      <w:r w:rsidRPr="008D7EB7">
        <w:rPr>
          <w:spacing w:val="11"/>
        </w:rPr>
        <w:t xml:space="preserve"> </w:t>
      </w:r>
    </w:p>
    <w:p w14:paraId="6B98021C" w14:textId="02F450A9" w:rsidR="00300305" w:rsidRDefault="006638E5" w:rsidP="006638E5">
      <w:pPr>
        <w:tabs>
          <w:tab w:val="left" w:pos="360"/>
        </w:tabs>
        <w:spacing w:before="120"/>
        <w:jc w:val="both"/>
        <w:rPr>
          <w:rFonts w:asciiTheme="minorHAnsi" w:hAnsiTheme="minorHAnsi" w:cs="Calibri Light"/>
        </w:rPr>
      </w:pPr>
      <w:r w:rsidRPr="006638E5">
        <w:rPr>
          <w:rFonts w:asciiTheme="minorHAnsi" w:hAnsiTheme="minorHAnsi" w:cs="Calibri Light"/>
        </w:rPr>
        <w:t>Par la création de la Banque de Données des Actes d’</w:t>
      </w:r>
      <w:r w:rsidR="00EC520F" w:rsidRPr="006638E5">
        <w:rPr>
          <w:rFonts w:asciiTheme="minorHAnsi" w:hAnsiTheme="minorHAnsi" w:cs="Calibri Light"/>
        </w:rPr>
        <w:t>État</w:t>
      </w:r>
      <w:r w:rsidRPr="006638E5">
        <w:rPr>
          <w:rFonts w:asciiTheme="minorHAnsi" w:hAnsiTheme="minorHAnsi" w:cs="Calibri Light"/>
        </w:rPr>
        <w:t xml:space="preserve">-Civil (BAEC), la loi du 18 juin 2018 entend moderniser, informatiser et simplifier l’état-civil en centralisant dans un unique registre et sous forme électronique, l’ensemble des registres d’actes de l’état-civil établis par les différentes communes belges. Cela concerne tant les nouveaux actes que les actes établis avant l’entrée en vigueur de ladite loi. </w:t>
      </w:r>
    </w:p>
    <w:p w14:paraId="157D7F54" w14:textId="73B46BC9" w:rsidR="006638E5" w:rsidRDefault="006638E5" w:rsidP="006638E5">
      <w:pPr>
        <w:tabs>
          <w:tab w:val="left" w:pos="360"/>
        </w:tabs>
        <w:spacing w:before="120"/>
        <w:jc w:val="both"/>
        <w:rPr>
          <w:rFonts w:asciiTheme="minorHAnsi" w:hAnsiTheme="minorHAnsi" w:cs="Calibri Light"/>
        </w:rPr>
      </w:pPr>
      <w:r w:rsidRPr="006638E5">
        <w:rPr>
          <w:rFonts w:asciiTheme="minorHAnsi" w:hAnsiTheme="minorHAnsi" w:cs="Calibri Light"/>
        </w:rPr>
        <w:t>Par conséquent, de part cette informatisation, la délivrance d’un carnet de mariage n’existe plus en pratique.</w:t>
      </w:r>
    </w:p>
    <w:p w14:paraId="39726353" w14:textId="71C72434" w:rsidR="00300305" w:rsidRDefault="006638E5" w:rsidP="006638E5">
      <w:pPr>
        <w:tabs>
          <w:tab w:val="left" w:pos="360"/>
        </w:tabs>
        <w:spacing w:before="120"/>
        <w:jc w:val="both"/>
        <w:rPr>
          <w:rFonts w:asciiTheme="minorHAnsi" w:hAnsiTheme="minorHAnsi" w:cs="Calibri Light"/>
        </w:rPr>
      </w:pPr>
      <w:r>
        <w:rPr>
          <w:rFonts w:asciiTheme="minorHAnsi" w:hAnsiTheme="minorHAnsi" w:cs="Calibri Light"/>
        </w:rPr>
        <w:t xml:space="preserve">Toutefois, </w:t>
      </w:r>
      <w:r w:rsidR="009B153C" w:rsidRPr="00DA6BD2">
        <w:rPr>
          <w:rFonts w:asciiTheme="minorHAnsi" w:hAnsiTheme="minorHAnsi" w:cs="Calibri Light"/>
        </w:rPr>
        <w:t xml:space="preserve">la commune </w:t>
      </w:r>
      <w:r>
        <w:rPr>
          <w:rFonts w:asciiTheme="minorHAnsi" w:hAnsiTheme="minorHAnsi" w:cs="Calibri Light"/>
        </w:rPr>
        <w:t xml:space="preserve">peut toujours </w:t>
      </w:r>
      <w:r w:rsidR="009B153C" w:rsidRPr="00DA6BD2">
        <w:rPr>
          <w:rFonts w:asciiTheme="minorHAnsi" w:hAnsiTheme="minorHAnsi" w:cs="Calibri Light"/>
        </w:rPr>
        <w:t>prévoi</w:t>
      </w:r>
      <w:r>
        <w:rPr>
          <w:rFonts w:asciiTheme="minorHAnsi" w:hAnsiTheme="minorHAnsi" w:cs="Calibri Light"/>
        </w:rPr>
        <w:t>r</w:t>
      </w:r>
      <w:r w:rsidR="009B153C" w:rsidRPr="00DA6BD2">
        <w:rPr>
          <w:rFonts w:asciiTheme="minorHAnsi" w:hAnsiTheme="minorHAnsi" w:cs="Calibri Light"/>
        </w:rPr>
        <w:t xml:space="preserve"> une redevance pour couvrir les frais administratifs liés au traitement des demandes de mariage ou de cohabitation légale</w:t>
      </w:r>
      <w:r w:rsidR="00300305">
        <w:rPr>
          <w:rFonts w:asciiTheme="minorHAnsi" w:hAnsiTheme="minorHAnsi" w:cs="Calibri Light"/>
        </w:rPr>
        <w:t>. L</w:t>
      </w:r>
      <w:r w:rsidR="009B153C" w:rsidRPr="00DA6BD2">
        <w:rPr>
          <w:rFonts w:asciiTheme="minorHAnsi" w:hAnsiTheme="minorHAnsi" w:cs="Calibri Light"/>
        </w:rPr>
        <w:t xml:space="preserve">e taux de celle-ci doit être établi sur base d'un décompte des frais réels engagés. </w:t>
      </w:r>
    </w:p>
    <w:p w14:paraId="68BD9B33" w14:textId="2CF2A319" w:rsidR="009B153C" w:rsidRDefault="009B153C" w:rsidP="006638E5">
      <w:pPr>
        <w:tabs>
          <w:tab w:val="left" w:pos="360"/>
        </w:tabs>
        <w:spacing w:before="120"/>
        <w:jc w:val="both"/>
        <w:rPr>
          <w:rFonts w:asciiTheme="minorHAnsi" w:hAnsiTheme="minorHAnsi" w:cs="Calibri Light"/>
        </w:rPr>
      </w:pPr>
      <w:r w:rsidRPr="008D4481">
        <w:rPr>
          <w:rFonts w:asciiTheme="minorHAnsi" w:hAnsiTheme="minorHAnsi" w:cs="Calibri Light"/>
        </w:rPr>
        <w:t xml:space="preserve">Lorsque la commune instaure un taux forfaitaire, le taux maximum recommandé est </w:t>
      </w:r>
      <w:r w:rsidRPr="008D7EB7">
        <w:rPr>
          <w:rFonts w:asciiTheme="minorHAnsi" w:hAnsiTheme="minorHAnsi" w:cs="Calibri Light"/>
        </w:rPr>
        <w:t xml:space="preserve">de </w:t>
      </w:r>
      <w:r w:rsidR="00197051" w:rsidRPr="008D7EB7">
        <w:rPr>
          <w:rFonts w:asciiTheme="minorHAnsi" w:hAnsiTheme="minorHAnsi" w:cs="Calibri Light"/>
        </w:rPr>
        <w:t>50</w:t>
      </w:r>
      <w:r w:rsidR="008D4481" w:rsidRPr="008D7EB7">
        <w:rPr>
          <w:rFonts w:asciiTheme="minorHAnsi" w:hAnsiTheme="minorHAnsi" w:cs="Calibri Light"/>
        </w:rPr>
        <w:t>,00</w:t>
      </w:r>
      <w:r w:rsidR="00197051" w:rsidRPr="008D7EB7">
        <w:rPr>
          <w:rFonts w:asciiTheme="minorHAnsi" w:hAnsiTheme="minorHAnsi" w:cs="Calibri Light"/>
        </w:rPr>
        <w:t xml:space="preserve"> </w:t>
      </w:r>
      <w:r w:rsidRPr="008D7EB7">
        <w:rPr>
          <w:rFonts w:asciiTheme="minorHAnsi" w:hAnsiTheme="minorHAnsi" w:cs="Calibri Light"/>
        </w:rPr>
        <w:t>euros</w:t>
      </w:r>
      <w:r w:rsidR="000006B0" w:rsidRPr="008D4481">
        <w:rPr>
          <w:rFonts w:asciiTheme="minorHAnsi" w:hAnsiTheme="minorHAnsi" w:cs="Calibri Light"/>
        </w:rPr>
        <w:t xml:space="preserve"> </w:t>
      </w:r>
      <w:r w:rsidRPr="008D4481">
        <w:rPr>
          <w:rFonts w:asciiTheme="minorHAnsi" w:hAnsiTheme="minorHAnsi" w:cs="Calibri Light"/>
        </w:rPr>
        <w:t>pour le traitement des demandes</w:t>
      </w:r>
      <w:r w:rsidRPr="00DA6BD2">
        <w:rPr>
          <w:rFonts w:asciiTheme="minorHAnsi" w:hAnsiTheme="minorHAnsi" w:cs="Calibri Light"/>
        </w:rPr>
        <w:t>.</w:t>
      </w:r>
    </w:p>
    <w:p w14:paraId="53570410" w14:textId="2550CD0E" w:rsidR="006638E5" w:rsidRDefault="006638E5" w:rsidP="006638E5">
      <w:pPr>
        <w:tabs>
          <w:tab w:val="left" w:pos="360"/>
        </w:tabs>
        <w:spacing w:before="120"/>
        <w:jc w:val="both"/>
        <w:rPr>
          <w:rFonts w:asciiTheme="minorHAnsi" w:hAnsiTheme="minorHAnsi" w:cs="Calibri Light"/>
        </w:rPr>
      </w:pPr>
      <w:r w:rsidRPr="006638E5">
        <w:rPr>
          <w:rFonts w:asciiTheme="minorHAnsi" w:hAnsiTheme="minorHAnsi" w:cs="Calibri Light"/>
        </w:rPr>
        <w:lastRenderedPageBreak/>
        <w:t>La commune peut également prévoir une redevance pour la délivrance d’un carnet de mariage sur demande expresse des futurs mariés et cela afin qu’ils conservent un souvenir.</w:t>
      </w:r>
    </w:p>
    <w:p w14:paraId="27D761F6" w14:textId="77777777" w:rsidR="004672E1" w:rsidRPr="00DA6BD2" w:rsidRDefault="004672E1" w:rsidP="006638E5">
      <w:pPr>
        <w:tabs>
          <w:tab w:val="left" w:pos="360"/>
        </w:tabs>
        <w:spacing w:before="120"/>
        <w:jc w:val="both"/>
        <w:rPr>
          <w:rFonts w:asciiTheme="minorHAnsi" w:hAnsiTheme="minorHAnsi" w:cs="Calibri Light"/>
        </w:rPr>
      </w:pPr>
    </w:p>
    <w:p w14:paraId="6992BAF5" w14:textId="19586460" w:rsidR="006638E5" w:rsidRPr="008D7EB7" w:rsidRDefault="009B153C" w:rsidP="008D7EB7">
      <w:pPr>
        <w:pStyle w:val="Sam4"/>
        <w:jc w:val="both"/>
        <w:rPr>
          <w:spacing w:val="11"/>
        </w:rPr>
      </w:pPr>
      <w:bookmarkStart w:id="5006" w:name="_Toc40185513"/>
      <w:bookmarkStart w:id="5007" w:name="_Toc40186248"/>
      <w:bookmarkStart w:id="5008" w:name="_Toc40185514"/>
      <w:bookmarkStart w:id="5009" w:name="_Toc40186249"/>
      <w:bookmarkStart w:id="5010" w:name="_Toc40185515"/>
      <w:bookmarkStart w:id="5011" w:name="_Toc40186250"/>
      <w:bookmarkStart w:id="5012" w:name="_Toc40185516"/>
      <w:bookmarkStart w:id="5013" w:name="_Toc40186251"/>
      <w:bookmarkStart w:id="5014" w:name="_Toc74557732"/>
      <w:bookmarkEnd w:id="5006"/>
      <w:bookmarkEnd w:id="5007"/>
      <w:bookmarkEnd w:id="5008"/>
      <w:bookmarkEnd w:id="5009"/>
      <w:bookmarkEnd w:id="5010"/>
      <w:bookmarkEnd w:id="5011"/>
      <w:bookmarkEnd w:id="5012"/>
      <w:bookmarkEnd w:id="5013"/>
      <w:r w:rsidRPr="008D7EB7">
        <w:rPr>
          <w:spacing w:val="11"/>
        </w:rPr>
        <w:t>Permis de Location</w:t>
      </w:r>
      <w:bookmarkEnd w:id="5014"/>
      <w:r w:rsidRPr="008D7EB7">
        <w:rPr>
          <w:spacing w:val="11"/>
        </w:rPr>
        <w:t xml:space="preserve">  </w:t>
      </w:r>
    </w:p>
    <w:p w14:paraId="350F49ED" w14:textId="2F663425" w:rsidR="009B153C" w:rsidRDefault="009B153C">
      <w:pPr>
        <w:tabs>
          <w:tab w:val="left" w:pos="360"/>
        </w:tabs>
        <w:spacing w:before="120"/>
        <w:jc w:val="both"/>
        <w:rPr>
          <w:rFonts w:asciiTheme="minorHAnsi" w:hAnsiTheme="minorHAnsi" w:cs="Calibri Light"/>
        </w:rPr>
      </w:pPr>
      <w:r w:rsidRPr="00DA6BD2">
        <w:rPr>
          <w:rFonts w:asciiTheme="minorHAnsi" w:hAnsiTheme="minorHAnsi" w:cs="Calibri Light"/>
        </w:rPr>
        <w:t xml:space="preserve">L'arrêté du Gouvernement wallon du </w:t>
      </w:r>
      <w:r w:rsidR="008144FA">
        <w:rPr>
          <w:rFonts w:asciiTheme="minorHAnsi" w:hAnsiTheme="minorHAnsi" w:cs="Calibri Light"/>
        </w:rPr>
        <w:t>3 décembre 2020</w:t>
      </w:r>
      <w:r w:rsidRPr="00DA6BD2">
        <w:rPr>
          <w:rFonts w:asciiTheme="minorHAnsi" w:hAnsiTheme="minorHAnsi" w:cs="Calibri Light"/>
        </w:rPr>
        <w:t xml:space="preserve"> relatif au permis de location</w:t>
      </w:r>
      <w:r w:rsidR="00ED21A0">
        <w:rPr>
          <w:rStyle w:val="Appelnotedebasdep"/>
          <w:rFonts w:asciiTheme="minorHAnsi" w:hAnsiTheme="minorHAnsi" w:cs="Calibri Light"/>
        </w:rPr>
        <w:footnoteReference w:id="139"/>
      </w:r>
      <w:r w:rsidR="00ED21A0">
        <w:rPr>
          <w:rFonts w:asciiTheme="minorHAnsi" w:hAnsiTheme="minorHAnsi" w:cs="Calibri Light"/>
        </w:rPr>
        <w:t xml:space="preserve"> </w:t>
      </w:r>
      <w:r w:rsidRPr="00DA6BD2">
        <w:rPr>
          <w:rFonts w:asciiTheme="minorHAnsi" w:hAnsiTheme="minorHAnsi" w:cs="Calibri Light"/>
        </w:rPr>
        <w:t>dispose, en son article 5, qu'une commune ne peut exiger, du bailleur, pour une enquête menée dans le cadre de l'octroi d'un permis de location, une rémunération qui excède :</w:t>
      </w:r>
    </w:p>
    <w:p w14:paraId="50885376" w14:textId="77777777" w:rsidR="00300305" w:rsidRPr="00300305" w:rsidRDefault="00300305" w:rsidP="00300305">
      <w:pPr>
        <w:tabs>
          <w:tab w:val="left" w:pos="360"/>
        </w:tabs>
        <w:spacing w:before="120"/>
        <w:jc w:val="both"/>
        <w:rPr>
          <w:rFonts w:asciiTheme="minorHAnsi" w:hAnsiTheme="minorHAnsi"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551"/>
        <w:gridCol w:w="2263"/>
      </w:tblGrid>
      <w:tr w:rsidR="00300305" w:rsidRPr="00300305" w14:paraId="23A22E82" w14:textId="77777777" w:rsidTr="006145D3">
        <w:trPr>
          <w:jc w:val="center"/>
        </w:trPr>
        <w:tc>
          <w:tcPr>
            <w:tcW w:w="4248" w:type="dxa"/>
            <w:tcMar>
              <w:top w:w="0" w:type="dxa"/>
              <w:left w:w="108" w:type="dxa"/>
              <w:bottom w:w="0" w:type="dxa"/>
              <w:right w:w="108" w:type="dxa"/>
            </w:tcMar>
          </w:tcPr>
          <w:p w14:paraId="18F6B448" w14:textId="77777777" w:rsidR="00300305" w:rsidRPr="008D7EB7" w:rsidRDefault="00300305" w:rsidP="00300305">
            <w:pPr>
              <w:tabs>
                <w:tab w:val="left" w:pos="360"/>
              </w:tabs>
              <w:spacing w:before="120"/>
              <w:jc w:val="both"/>
              <w:rPr>
                <w:rFonts w:asciiTheme="minorHAnsi" w:hAnsiTheme="minorHAnsi" w:cs="Calibri Light"/>
                <w:sz w:val="22"/>
                <w:szCs w:val="22"/>
              </w:rPr>
            </w:pPr>
          </w:p>
        </w:tc>
        <w:tc>
          <w:tcPr>
            <w:tcW w:w="2551" w:type="dxa"/>
            <w:tcMar>
              <w:top w:w="0" w:type="dxa"/>
              <w:left w:w="108" w:type="dxa"/>
              <w:bottom w:w="0" w:type="dxa"/>
              <w:right w:w="108" w:type="dxa"/>
            </w:tcMar>
            <w:hideMark/>
          </w:tcPr>
          <w:p w14:paraId="4B6EDC89" w14:textId="77777777" w:rsidR="00300305" w:rsidRPr="008D7EB7" w:rsidRDefault="00300305" w:rsidP="00300305">
            <w:pPr>
              <w:tabs>
                <w:tab w:val="left" w:pos="360"/>
              </w:tabs>
              <w:spacing w:before="120"/>
              <w:jc w:val="both"/>
              <w:rPr>
                <w:rFonts w:asciiTheme="minorHAnsi" w:hAnsiTheme="minorHAnsi" w:cs="Calibri Light"/>
                <w:sz w:val="22"/>
                <w:szCs w:val="22"/>
              </w:rPr>
            </w:pPr>
            <w:r w:rsidRPr="008D7EB7">
              <w:rPr>
                <w:rFonts w:asciiTheme="minorHAnsi" w:hAnsiTheme="minorHAnsi" w:cs="Calibri Light"/>
                <w:sz w:val="22"/>
                <w:szCs w:val="22"/>
              </w:rPr>
              <w:t xml:space="preserve">Montant de base </w:t>
            </w:r>
          </w:p>
        </w:tc>
        <w:tc>
          <w:tcPr>
            <w:tcW w:w="2263" w:type="dxa"/>
            <w:tcMar>
              <w:top w:w="0" w:type="dxa"/>
              <w:left w:w="108" w:type="dxa"/>
              <w:bottom w:w="0" w:type="dxa"/>
              <w:right w:w="108" w:type="dxa"/>
            </w:tcMar>
            <w:hideMark/>
          </w:tcPr>
          <w:p w14:paraId="770F5E51" w14:textId="7EEB3A71" w:rsidR="00300305" w:rsidRPr="008D7EB7" w:rsidRDefault="00300305" w:rsidP="00300305">
            <w:pPr>
              <w:tabs>
                <w:tab w:val="left" w:pos="360"/>
              </w:tabs>
              <w:spacing w:before="120"/>
              <w:jc w:val="both"/>
              <w:rPr>
                <w:rFonts w:asciiTheme="minorHAnsi" w:hAnsiTheme="minorHAnsi" w:cs="Calibri Light"/>
                <w:sz w:val="22"/>
                <w:szCs w:val="22"/>
              </w:rPr>
            </w:pPr>
            <w:r w:rsidRPr="008D7EB7">
              <w:rPr>
                <w:rFonts w:asciiTheme="minorHAnsi" w:hAnsiTheme="minorHAnsi" w:cs="Calibri Light"/>
                <w:sz w:val="22"/>
                <w:szCs w:val="22"/>
              </w:rPr>
              <w:t>Montant indexé (Année 202</w:t>
            </w:r>
            <w:r w:rsidR="008144FA">
              <w:rPr>
                <w:rFonts w:asciiTheme="minorHAnsi" w:hAnsiTheme="minorHAnsi" w:cs="Calibri Light"/>
                <w:sz w:val="22"/>
                <w:szCs w:val="22"/>
              </w:rPr>
              <w:t>2</w:t>
            </w:r>
            <w:r w:rsidRPr="008D7EB7">
              <w:rPr>
                <w:rFonts w:asciiTheme="minorHAnsi" w:hAnsiTheme="minorHAnsi" w:cs="Calibri Light"/>
                <w:sz w:val="22"/>
                <w:szCs w:val="22"/>
              </w:rPr>
              <w:t>)</w:t>
            </w:r>
          </w:p>
        </w:tc>
      </w:tr>
      <w:tr w:rsidR="00300305" w:rsidRPr="00300305" w14:paraId="43EDF6C4" w14:textId="77777777" w:rsidTr="006145D3">
        <w:trPr>
          <w:trHeight w:val="721"/>
          <w:jc w:val="center"/>
        </w:trPr>
        <w:tc>
          <w:tcPr>
            <w:tcW w:w="4248" w:type="dxa"/>
            <w:tcMar>
              <w:top w:w="0" w:type="dxa"/>
              <w:left w:w="108" w:type="dxa"/>
              <w:bottom w:w="0" w:type="dxa"/>
              <w:right w:w="108" w:type="dxa"/>
            </w:tcMar>
            <w:hideMark/>
          </w:tcPr>
          <w:p w14:paraId="1FDEE60E" w14:textId="77777777" w:rsidR="00300305" w:rsidRPr="008D7EB7" w:rsidRDefault="00300305" w:rsidP="00300305">
            <w:pPr>
              <w:numPr>
                <w:ilvl w:val="0"/>
                <w:numId w:val="120"/>
              </w:numPr>
              <w:tabs>
                <w:tab w:val="left" w:pos="360"/>
              </w:tabs>
              <w:spacing w:before="120"/>
              <w:jc w:val="both"/>
              <w:rPr>
                <w:rFonts w:asciiTheme="minorHAnsi" w:hAnsiTheme="minorHAnsi" w:cs="Calibri Light"/>
                <w:sz w:val="22"/>
                <w:szCs w:val="22"/>
              </w:rPr>
            </w:pPr>
            <w:proofErr w:type="gramStart"/>
            <w:r w:rsidRPr="008D7EB7">
              <w:rPr>
                <w:rFonts w:asciiTheme="minorHAnsi" w:hAnsiTheme="minorHAnsi" w:cs="Calibri Light"/>
                <w:sz w:val="22"/>
                <w:szCs w:val="22"/>
              </w:rPr>
              <w:t>en</w:t>
            </w:r>
            <w:proofErr w:type="gramEnd"/>
            <w:r w:rsidRPr="008D7EB7">
              <w:rPr>
                <w:rFonts w:asciiTheme="minorHAnsi" w:hAnsiTheme="minorHAnsi" w:cs="Calibri Light"/>
                <w:sz w:val="22"/>
                <w:szCs w:val="22"/>
              </w:rPr>
              <w:t xml:space="preserve"> cas de logement individuel</w:t>
            </w:r>
          </w:p>
        </w:tc>
        <w:tc>
          <w:tcPr>
            <w:tcW w:w="2551" w:type="dxa"/>
            <w:tcMar>
              <w:top w:w="0" w:type="dxa"/>
              <w:left w:w="108" w:type="dxa"/>
              <w:bottom w:w="0" w:type="dxa"/>
              <w:right w:w="108" w:type="dxa"/>
            </w:tcMar>
            <w:hideMark/>
          </w:tcPr>
          <w:p w14:paraId="452C5CBC" w14:textId="6F0F719E" w:rsidR="00300305" w:rsidRPr="008D7EB7" w:rsidRDefault="00300305" w:rsidP="008D7EB7">
            <w:pPr>
              <w:tabs>
                <w:tab w:val="left" w:pos="360"/>
              </w:tabs>
              <w:spacing w:before="120"/>
              <w:jc w:val="right"/>
              <w:rPr>
                <w:rFonts w:asciiTheme="minorHAnsi" w:hAnsiTheme="minorHAnsi" w:cs="Calibri Light"/>
                <w:sz w:val="22"/>
                <w:szCs w:val="22"/>
              </w:rPr>
            </w:pPr>
            <w:r w:rsidRPr="008D7EB7">
              <w:rPr>
                <w:rFonts w:asciiTheme="minorHAnsi" w:hAnsiTheme="minorHAnsi" w:cs="Calibri Light"/>
                <w:sz w:val="22"/>
                <w:szCs w:val="22"/>
              </w:rPr>
              <w:t xml:space="preserve">125,00 </w:t>
            </w:r>
            <w:r w:rsidR="009A56F6">
              <w:rPr>
                <w:rFonts w:asciiTheme="minorHAnsi" w:hAnsiTheme="minorHAnsi" w:cs="Calibri Light"/>
                <w:sz w:val="22"/>
                <w:szCs w:val="22"/>
              </w:rPr>
              <w:t>euros</w:t>
            </w:r>
          </w:p>
        </w:tc>
        <w:tc>
          <w:tcPr>
            <w:tcW w:w="2263" w:type="dxa"/>
            <w:tcMar>
              <w:top w:w="0" w:type="dxa"/>
              <w:left w:w="108" w:type="dxa"/>
              <w:bottom w:w="0" w:type="dxa"/>
              <w:right w:w="108" w:type="dxa"/>
            </w:tcMar>
            <w:hideMark/>
          </w:tcPr>
          <w:p w14:paraId="51EE743C" w14:textId="212DFA70" w:rsidR="00300305" w:rsidRPr="008D7EB7" w:rsidRDefault="00FB44D7" w:rsidP="008D7EB7">
            <w:pPr>
              <w:tabs>
                <w:tab w:val="left" w:pos="360"/>
              </w:tabs>
              <w:spacing w:before="120"/>
              <w:jc w:val="right"/>
              <w:rPr>
                <w:rFonts w:asciiTheme="minorHAnsi" w:hAnsiTheme="minorHAnsi" w:cs="Calibri Light"/>
                <w:sz w:val="22"/>
                <w:szCs w:val="22"/>
              </w:rPr>
            </w:pPr>
            <w:r w:rsidRPr="008D7EB7">
              <w:rPr>
                <w:rFonts w:asciiTheme="minorHAnsi" w:hAnsiTheme="minorHAnsi" w:cs="Calibri Light"/>
                <w:sz w:val="22"/>
                <w:szCs w:val="22"/>
              </w:rPr>
              <w:t>1</w:t>
            </w:r>
            <w:r w:rsidR="008144FA">
              <w:rPr>
                <w:rFonts w:asciiTheme="minorHAnsi" w:hAnsiTheme="minorHAnsi" w:cs="Calibri Light"/>
                <w:sz w:val="22"/>
                <w:szCs w:val="22"/>
              </w:rPr>
              <w:t>70</w:t>
            </w:r>
            <w:r w:rsidR="008D4481">
              <w:rPr>
                <w:rFonts w:asciiTheme="minorHAnsi" w:hAnsiTheme="minorHAnsi" w:cs="Calibri Light"/>
                <w:sz w:val="22"/>
                <w:szCs w:val="22"/>
              </w:rPr>
              <w:t>,00</w:t>
            </w:r>
            <w:r w:rsidRPr="008D7EB7">
              <w:rPr>
                <w:rFonts w:asciiTheme="minorHAnsi" w:hAnsiTheme="minorHAnsi" w:cs="Calibri Light"/>
                <w:sz w:val="22"/>
                <w:szCs w:val="22"/>
              </w:rPr>
              <w:t xml:space="preserve"> </w:t>
            </w:r>
            <w:r w:rsidR="009A56F6">
              <w:rPr>
                <w:rFonts w:asciiTheme="minorHAnsi" w:hAnsiTheme="minorHAnsi" w:cs="Calibri Light"/>
                <w:sz w:val="22"/>
                <w:szCs w:val="22"/>
              </w:rPr>
              <w:t>euros</w:t>
            </w:r>
          </w:p>
        </w:tc>
      </w:tr>
      <w:tr w:rsidR="00300305" w:rsidRPr="00300305" w14:paraId="0F4CA1FE" w14:textId="77777777" w:rsidTr="00576EF5">
        <w:trPr>
          <w:trHeight w:val="1408"/>
          <w:jc w:val="center"/>
        </w:trPr>
        <w:tc>
          <w:tcPr>
            <w:tcW w:w="4248" w:type="dxa"/>
            <w:tcMar>
              <w:top w:w="0" w:type="dxa"/>
              <w:left w:w="108" w:type="dxa"/>
              <w:bottom w:w="0" w:type="dxa"/>
              <w:right w:w="108" w:type="dxa"/>
            </w:tcMar>
            <w:hideMark/>
          </w:tcPr>
          <w:p w14:paraId="1B20964C" w14:textId="77777777" w:rsidR="00300305" w:rsidRPr="008D7EB7" w:rsidRDefault="00300305" w:rsidP="00576EF5">
            <w:pPr>
              <w:numPr>
                <w:ilvl w:val="0"/>
                <w:numId w:val="120"/>
              </w:numPr>
              <w:tabs>
                <w:tab w:val="left" w:pos="360"/>
              </w:tabs>
              <w:jc w:val="both"/>
              <w:rPr>
                <w:rFonts w:asciiTheme="minorHAnsi" w:hAnsiTheme="minorHAnsi" w:cs="Calibri Light"/>
                <w:sz w:val="22"/>
                <w:szCs w:val="22"/>
              </w:rPr>
            </w:pPr>
            <w:proofErr w:type="gramStart"/>
            <w:r w:rsidRPr="008D7EB7">
              <w:rPr>
                <w:rFonts w:asciiTheme="minorHAnsi" w:hAnsiTheme="minorHAnsi" w:cs="Calibri Light"/>
                <w:sz w:val="22"/>
                <w:szCs w:val="22"/>
              </w:rPr>
              <w:t>en</w:t>
            </w:r>
            <w:proofErr w:type="gramEnd"/>
            <w:r w:rsidRPr="008D7EB7">
              <w:rPr>
                <w:rFonts w:asciiTheme="minorHAnsi" w:hAnsiTheme="minorHAnsi" w:cs="Calibri Light"/>
                <w:sz w:val="22"/>
                <w:szCs w:val="22"/>
              </w:rPr>
              <w:t xml:space="preserve"> cas de logement collectif</w:t>
            </w:r>
          </w:p>
        </w:tc>
        <w:tc>
          <w:tcPr>
            <w:tcW w:w="2551" w:type="dxa"/>
            <w:tcMar>
              <w:top w:w="0" w:type="dxa"/>
              <w:left w:w="108" w:type="dxa"/>
              <w:bottom w:w="0" w:type="dxa"/>
              <w:right w:w="108" w:type="dxa"/>
            </w:tcMar>
            <w:hideMark/>
          </w:tcPr>
          <w:p w14:paraId="4C3293F6" w14:textId="4E479F02" w:rsidR="00300305" w:rsidRPr="008D7EB7" w:rsidRDefault="00300305" w:rsidP="00576EF5">
            <w:pPr>
              <w:tabs>
                <w:tab w:val="left" w:pos="360"/>
              </w:tabs>
              <w:jc w:val="right"/>
              <w:rPr>
                <w:rFonts w:asciiTheme="minorHAnsi" w:hAnsiTheme="minorHAnsi" w:cs="Calibri Light"/>
                <w:sz w:val="22"/>
                <w:szCs w:val="22"/>
              </w:rPr>
            </w:pPr>
            <w:r w:rsidRPr="008D7EB7">
              <w:rPr>
                <w:rFonts w:asciiTheme="minorHAnsi" w:hAnsiTheme="minorHAnsi" w:cs="Calibri Light"/>
                <w:sz w:val="22"/>
                <w:szCs w:val="22"/>
              </w:rPr>
              <w:t xml:space="preserve">125,00 </w:t>
            </w:r>
            <w:r w:rsidR="009A56F6">
              <w:rPr>
                <w:rFonts w:asciiTheme="minorHAnsi" w:hAnsiTheme="minorHAnsi" w:cs="Calibri Light"/>
                <w:sz w:val="22"/>
                <w:szCs w:val="22"/>
              </w:rPr>
              <w:t>euros</w:t>
            </w:r>
          </w:p>
          <w:p w14:paraId="4B63209B" w14:textId="2CABE2E6" w:rsidR="00300305" w:rsidRPr="008D7EB7" w:rsidRDefault="00300305" w:rsidP="00576EF5">
            <w:pPr>
              <w:tabs>
                <w:tab w:val="left" w:pos="360"/>
              </w:tabs>
              <w:jc w:val="both"/>
              <w:rPr>
                <w:rFonts w:asciiTheme="minorHAnsi" w:hAnsiTheme="minorHAnsi" w:cs="Calibri Light"/>
                <w:sz w:val="22"/>
                <w:szCs w:val="22"/>
              </w:rPr>
            </w:pPr>
            <w:proofErr w:type="gramStart"/>
            <w:r w:rsidRPr="008D7EB7">
              <w:rPr>
                <w:rFonts w:asciiTheme="minorHAnsi" w:hAnsiTheme="minorHAnsi" w:cs="Calibri Light"/>
                <w:sz w:val="22"/>
                <w:szCs w:val="22"/>
              </w:rPr>
              <w:t>à</w:t>
            </w:r>
            <w:proofErr w:type="gramEnd"/>
            <w:r w:rsidRPr="008D7EB7">
              <w:rPr>
                <w:rFonts w:asciiTheme="minorHAnsi" w:hAnsiTheme="minorHAnsi" w:cs="Calibri Light"/>
                <w:sz w:val="22"/>
                <w:szCs w:val="22"/>
              </w:rPr>
              <w:t xml:space="preserve"> majorer de 25,00 </w:t>
            </w:r>
            <w:r w:rsidR="009A56F6">
              <w:rPr>
                <w:rFonts w:asciiTheme="minorHAnsi" w:hAnsiTheme="minorHAnsi" w:cs="Calibri Light"/>
                <w:sz w:val="22"/>
                <w:szCs w:val="22"/>
              </w:rPr>
              <w:t>euros</w:t>
            </w:r>
            <w:r w:rsidRPr="008D7EB7">
              <w:rPr>
                <w:rFonts w:asciiTheme="minorHAnsi" w:hAnsiTheme="minorHAnsi" w:cs="Calibri Light"/>
                <w:sz w:val="22"/>
                <w:szCs w:val="22"/>
              </w:rPr>
              <w:t xml:space="preserve"> par pièce d'habitation à usage individuel</w:t>
            </w:r>
          </w:p>
        </w:tc>
        <w:tc>
          <w:tcPr>
            <w:tcW w:w="2263" w:type="dxa"/>
            <w:tcMar>
              <w:top w:w="0" w:type="dxa"/>
              <w:left w:w="108" w:type="dxa"/>
              <w:bottom w:w="0" w:type="dxa"/>
              <w:right w:w="108" w:type="dxa"/>
            </w:tcMar>
          </w:tcPr>
          <w:p w14:paraId="25DEF2C9" w14:textId="77777777" w:rsidR="006A269D" w:rsidRDefault="007D66F9" w:rsidP="00256E9F">
            <w:pPr>
              <w:tabs>
                <w:tab w:val="left" w:pos="360"/>
              </w:tabs>
              <w:jc w:val="right"/>
              <w:rPr>
                <w:rFonts w:asciiTheme="minorHAnsi" w:hAnsiTheme="minorHAnsi" w:cs="Calibri Light"/>
                <w:sz w:val="22"/>
                <w:szCs w:val="22"/>
              </w:rPr>
            </w:pPr>
            <w:r>
              <w:rPr>
                <w:rFonts w:asciiTheme="minorHAnsi" w:hAnsiTheme="minorHAnsi" w:cs="Calibri Light"/>
                <w:sz w:val="22"/>
                <w:szCs w:val="22"/>
              </w:rPr>
              <w:t>170,00 euros</w:t>
            </w:r>
          </w:p>
          <w:p w14:paraId="34E6A4CA" w14:textId="5B7EADD0" w:rsidR="00FB44D7" w:rsidRPr="008D7EB7" w:rsidRDefault="007D66F9" w:rsidP="00256E9F">
            <w:pPr>
              <w:tabs>
                <w:tab w:val="left" w:pos="360"/>
              </w:tabs>
              <w:jc w:val="right"/>
              <w:rPr>
                <w:rFonts w:asciiTheme="minorHAnsi" w:hAnsiTheme="minorHAnsi" w:cs="Calibri Light"/>
                <w:sz w:val="22"/>
                <w:szCs w:val="22"/>
              </w:rPr>
            </w:pPr>
            <w:r>
              <w:rPr>
                <w:rFonts w:asciiTheme="minorHAnsi" w:hAnsiTheme="minorHAnsi" w:cs="Calibri Light"/>
                <w:sz w:val="22"/>
                <w:szCs w:val="22"/>
              </w:rPr>
              <w:t>34,00 euros</w:t>
            </w:r>
          </w:p>
        </w:tc>
      </w:tr>
    </w:tbl>
    <w:p w14:paraId="61A3D8BD" w14:textId="13FD5DA7" w:rsidR="009B153C" w:rsidRDefault="009B153C" w:rsidP="00A65F14">
      <w:pPr>
        <w:tabs>
          <w:tab w:val="left" w:pos="360"/>
        </w:tabs>
        <w:spacing w:before="360" w:after="240"/>
        <w:jc w:val="both"/>
        <w:rPr>
          <w:rFonts w:asciiTheme="minorHAnsi" w:hAnsiTheme="minorHAnsi" w:cs="Calibri Light"/>
        </w:rPr>
      </w:pPr>
      <w:r w:rsidRPr="00DA6BD2">
        <w:rPr>
          <w:rFonts w:asciiTheme="minorHAnsi" w:hAnsiTheme="minorHAnsi" w:cs="Calibri Light"/>
        </w:rPr>
        <w:t>Ces montants sont rattachés à l'indice des prix à la consommation de septembre 2003 (</w:t>
      </w:r>
      <w:r w:rsidR="006F7C51">
        <w:rPr>
          <w:rFonts w:asciiTheme="minorHAnsi" w:hAnsiTheme="minorHAnsi" w:cs="Calibri Light"/>
        </w:rPr>
        <w:t xml:space="preserve">80,48 à l’indice </w:t>
      </w:r>
      <w:r w:rsidR="006F7C51" w:rsidRPr="008D7EB7">
        <w:rPr>
          <w:rFonts w:asciiTheme="minorHAnsi" w:hAnsiTheme="minorHAnsi" w:cs="Calibri Light"/>
        </w:rPr>
        <w:t>201</w:t>
      </w:r>
      <w:r w:rsidR="00EC1DA3" w:rsidRPr="008D7EB7">
        <w:rPr>
          <w:rFonts w:asciiTheme="minorHAnsi" w:hAnsiTheme="minorHAnsi" w:cs="Calibri Light"/>
        </w:rPr>
        <w:t>3</w:t>
      </w:r>
      <w:r w:rsidRPr="00DA6BD2">
        <w:rPr>
          <w:rFonts w:asciiTheme="minorHAnsi" w:hAnsiTheme="minorHAnsi" w:cs="Calibri Light"/>
        </w:rPr>
        <w:t xml:space="preserve">) et sont indexés le </w:t>
      </w:r>
      <w:r>
        <w:rPr>
          <w:rFonts w:asciiTheme="minorHAnsi" w:hAnsiTheme="minorHAnsi" w:cs="Calibri Light"/>
        </w:rPr>
        <w:t>1</w:t>
      </w:r>
      <w:r w:rsidRPr="00C047DC">
        <w:rPr>
          <w:rFonts w:asciiTheme="minorHAnsi" w:hAnsiTheme="minorHAnsi" w:cs="Calibri Light"/>
          <w:vertAlign w:val="superscript"/>
        </w:rPr>
        <w:t>er</w:t>
      </w:r>
      <w:r w:rsidRPr="00DA6BD2">
        <w:rPr>
          <w:rFonts w:asciiTheme="minorHAnsi" w:hAnsiTheme="minorHAnsi" w:cs="Calibri Light"/>
        </w:rPr>
        <w:t xml:space="preserve"> janvier de chaque année sur la base de l'indice des prix à la consommation du mois de septembre de l'année précédente</w:t>
      </w:r>
      <w:r w:rsidR="00FA2C51">
        <w:rPr>
          <w:rFonts w:asciiTheme="minorHAnsi" w:hAnsiTheme="minorHAnsi" w:cs="Calibri Light"/>
        </w:rPr>
        <w:t xml:space="preserve"> (</w:t>
      </w:r>
      <w:r w:rsidR="00243635">
        <w:rPr>
          <w:rFonts w:asciiTheme="minorHAnsi" w:hAnsiTheme="minorHAnsi" w:cs="Calibri Light"/>
        </w:rPr>
        <w:t>112,55</w:t>
      </w:r>
      <w:r w:rsidR="00FA2C51" w:rsidRPr="00FB78F7">
        <w:rPr>
          <w:rFonts w:asciiTheme="minorHAnsi" w:hAnsiTheme="minorHAnsi" w:cs="Calibri Light"/>
        </w:rPr>
        <w:t xml:space="preserve"> à l’indice 201</w:t>
      </w:r>
      <w:r w:rsidR="00FA2C51" w:rsidRPr="008D7EB7">
        <w:rPr>
          <w:rFonts w:asciiTheme="minorHAnsi" w:hAnsiTheme="minorHAnsi" w:cs="Calibri Light"/>
        </w:rPr>
        <w:t>3</w:t>
      </w:r>
      <w:r w:rsidR="00FA2C51" w:rsidRPr="00FB78F7">
        <w:rPr>
          <w:rFonts w:asciiTheme="minorHAnsi" w:hAnsiTheme="minorHAnsi" w:cs="Calibri Light"/>
        </w:rPr>
        <w:t xml:space="preserve"> </w:t>
      </w:r>
      <w:r w:rsidR="00FA2C51" w:rsidRPr="008D7EB7">
        <w:rPr>
          <w:rFonts w:asciiTheme="minorHAnsi" w:hAnsiTheme="minorHAnsi" w:cs="Calibri Light"/>
        </w:rPr>
        <w:t>en septembre</w:t>
      </w:r>
      <w:r w:rsidR="00FA2C51" w:rsidRPr="00FB78F7">
        <w:rPr>
          <w:rFonts w:asciiTheme="minorHAnsi" w:hAnsiTheme="minorHAnsi" w:cs="Calibri Light"/>
        </w:rPr>
        <w:t xml:space="preserve"> 20</w:t>
      </w:r>
      <w:r w:rsidR="00643EAC">
        <w:rPr>
          <w:rFonts w:asciiTheme="minorHAnsi" w:hAnsiTheme="minorHAnsi" w:cs="Calibri Light"/>
        </w:rPr>
        <w:t>2</w:t>
      </w:r>
      <w:r w:rsidR="00243635">
        <w:rPr>
          <w:rFonts w:asciiTheme="minorHAnsi" w:hAnsiTheme="minorHAnsi" w:cs="Calibri Light"/>
        </w:rPr>
        <w:t>1</w:t>
      </w:r>
      <w:r w:rsidR="00FA2C51">
        <w:rPr>
          <w:rFonts w:asciiTheme="minorHAnsi" w:hAnsiTheme="minorHAnsi" w:cs="Calibri Light"/>
        </w:rPr>
        <w:t>)</w:t>
      </w:r>
      <w:r w:rsidRPr="00DA6BD2">
        <w:rPr>
          <w:rFonts w:asciiTheme="minorHAnsi" w:hAnsiTheme="minorHAnsi" w:cs="Calibri Light"/>
        </w:rPr>
        <w:t>.</w:t>
      </w:r>
      <w:r w:rsidR="00243635" w:rsidRPr="00243635">
        <w:t xml:space="preserve"> </w:t>
      </w:r>
      <w:r w:rsidR="00243635" w:rsidRPr="00243635">
        <w:rPr>
          <w:rFonts w:asciiTheme="minorHAnsi" w:hAnsiTheme="minorHAnsi" w:cs="Calibri Light"/>
        </w:rPr>
        <w:t>L’indice de septembre 2022 n’étant pas encore connu au moment de la rédaction de la présente, il conviendra d’en tenir compte pour connaître le montant maximum pour 2023.</w:t>
      </w:r>
    </w:p>
    <w:p w14:paraId="2A9063E9" w14:textId="741F11C1" w:rsidR="00947641" w:rsidRDefault="00947641" w:rsidP="00947641">
      <w:pPr>
        <w:spacing w:before="240" w:after="240"/>
        <w:jc w:val="both"/>
        <w:rPr>
          <w:rFonts w:ascii="Arial" w:hAnsi="Arial" w:cs="Arial"/>
          <w:bCs/>
          <w:sz w:val="22"/>
          <w:szCs w:val="22"/>
          <w:lang w:val="fr-BE"/>
        </w:rPr>
      </w:pPr>
      <w:r>
        <w:rPr>
          <w:rFonts w:ascii="Arial" w:hAnsi="Arial" w:cs="Arial"/>
          <w:bCs/>
          <w:sz w:val="22"/>
          <w:szCs w:val="22"/>
          <w:lang w:val="fr-BE"/>
        </w:rPr>
        <w:t>A</w:t>
      </w:r>
      <w:r w:rsidRPr="00E51840">
        <w:rPr>
          <w:rFonts w:ascii="Arial" w:hAnsi="Arial" w:cs="Arial"/>
          <w:bCs/>
          <w:sz w:val="22"/>
          <w:szCs w:val="22"/>
          <w:lang w:val="fr-BE"/>
        </w:rPr>
        <w:t>vant cette modification de l’arrêté du Gouvernement wallon du 3 juin 2004, les enquêtes étaient effectuées au sein de la commune exclusivement par un enquêteur privé</w:t>
      </w:r>
      <w:r>
        <w:rPr>
          <w:rFonts w:ascii="Arial" w:hAnsi="Arial" w:cs="Arial"/>
          <w:bCs/>
          <w:sz w:val="22"/>
          <w:szCs w:val="22"/>
          <w:lang w:val="fr-BE"/>
        </w:rPr>
        <w:t>. De ce fait, les en</w:t>
      </w:r>
      <w:r w:rsidRPr="00E51840">
        <w:rPr>
          <w:rFonts w:ascii="Arial" w:hAnsi="Arial" w:cs="Arial"/>
          <w:bCs/>
          <w:sz w:val="22"/>
          <w:szCs w:val="22"/>
          <w:lang w:val="fr-BE"/>
        </w:rPr>
        <w:t>quêtes n’étaient donc pas effectuées par un enquêteur communal agré</w:t>
      </w:r>
      <w:r>
        <w:rPr>
          <w:rFonts w:ascii="Arial" w:hAnsi="Arial" w:cs="Arial"/>
          <w:bCs/>
          <w:sz w:val="22"/>
          <w:szCs w:val="22"/>
          <w:lang w:val="fr-BE"/>
        </w:rPr>
        <w:t>é.</w:t>
      </w:r>
      <w:r w:rsidRPr="00E51840">
        <w:rPr>
          <w:rFonts w:ascii="Arial" w:hAnsi="Arial" w:cs="Arial"/>
          <w:bCs/>
          <w:sz w:val="22"/>
          <w:szCs w:val="22"/>
          <w:lang w:val="fr-BE"/>
        </w:rPr>
        <w:t xml:space="preserve"> </w:t>
      </w:r>
    </w:p>
    <w:p w14:paraId="7E2A6023" w14:textId="17B2045E" w:rsidR="00947641" w:rsidRPr="00E51840" w:rsidRDefault="00947641" w:rsidP="00947641">
      <w:pPr>
        <w:spacing w:before="240" w:after="240"/>
        <w:jc w:val="both"/>
        <w:rPr>
          <w:rFonts w:ascii="Arial" w:hAnsi="Arial" w:cs="Arial"/>
          <w:bCs/>
          <w:sz w:val="22"/>
          <w:szCs w:val="22"/>
          <w:lang w:val="fr-BE"/>
        </w:rPr>
      </w:pPr>
      <w:r>
        <w:rPr>
          <w:rFonts w:ascii="Arial" w:hAnsi="Arial" w:cs="Arial"/>
          <w:bCs/>
          <w:sz w:val="22"/>
          <w:szCs w:val="22"/>
          <w:lang w:val="fr-BE"/>
        </w:rPr>
        <w:t xml:space="preserve">Afin de tenir compte de cette réalité, il faut maintenant faire une distinction entre </w:t>
      </w:r>
    </w:p>
    <w:p w14:paraId="3AB7140E" w14:textId="0482E04F" w:rsidR="00947641" w:rsidRPr="00E51840" w:rsidRDefault="00947641" w:rsidP="00947641">
      <w:pPr>
        <w:numPr>
          <w:ilvl w:val="0"/>
          <w:numId w:val="312"/>
        </w:numPr>
        <w:spacing w:before="240" w:after="240"/>
        <w:jc w:val="both"/>
        <w:rPr>
          <w:rFonts w:ascii="Arial" w:hAnsi="Arial" w:cs="Arial"/>
          <w:bCs/>
          <w:sz w:val="22"/>
          <w:szCs w:val="22"/>
          <w:lang w:val="fr-BE"/>
        </w:rPr>
      </w:pPr>
      <w:r w:rsidRPr="00E51840">
        <w:rPr>
          <w:rFonts w:ascii="Arial" w:hAnsi="Arial" w:cs="Arial"/>
          <w:bCs/>
          <w:sz w:val="22"/>
          <w:szCs w:val="22"/>
          <w:lang w:val="fr-BE"/>
        </w:rPr>
        <w:t xml:space="preserve">L’enquête </w:t>
      </w:r>
      <w:r>
        <w:rPr>
          <w:rFonts w:ascii="Arial" w:hAnsi="Arial" w:cs="Arial"/>
          <w:bCs/>
          <w:sz w:val="22"/>
          <w:szCs w:val="22"/>
          <w:lang w:val="fr-BE"/>
        </w:rPr>
        <w:t xml:space="preserve">qui </w:t>
      </w:r>
      <w:r w:rsidRPr="00E51840">
        <w:rPr>
          <w:rFonts w:ascii="Arial" w:hAnsi="Arial" w:cs="Arial"/>
          <w:bCs/>
          <w:sz w:val="22"/>
          <w:szCs w:val="22"/>
          <w:lang w:val="fr-BE"/>
        </w:rPr>
        <w:t>est effectuée par un fonctionnaire communal</w:t>
      </w:r>
      <w:r>
        <w:rPr>
          <w:rFonts w:ascii="Arial" w:hAnsi="Arial" w:cs="Arial"/>
          <w:bCs/>
          <w:sz w:val="22"/>
          <w:szCs w:val="22"/>
          <w:lang w:val="fr-BE"/>
        </w:rPr>
        <w:t xml:space="preserve"> : </w:t>
      </w:r>
      <w:r w:rsidRPr="00E51840">
        <w:rPr>
          <w:rFonts w:ascii="Arial" w:hAnsi="Arial" w:cs="Arial"/>
          <w:bCs/>
          <w:sz w:val="22"/>
          <w:szCs w:val="22"/>
          <w:lang w:val="fr-BE"/>
        </w:rPr>
        <w:t xml:space="preserve"> dans ce cas, les taux </w:t>
      </w:r>
      <w:r>
        <w:rPr>
          <w:rFonts w:ascii="Arial" w:hAnsi="Arial" w:cs="Arial"/>
          <w:bCs/>
          <w:sz w:val="22"/>
          <w:szCs w:val="22"/>
          <w:lang w:val="fr-BE"/>
        </w:rPr>
        <w:t xml:space="preserve">doivent être </w:t>
      </w:r>
      <w:r w:rsidRPr="00E51840">
        <w:rPr>
          <w:rFonts w:ascii="Arial" w:hAnsi="Arial" w:cs="Arial"/>
          <w:bCs/>
          <w:sz w:val="22"/>
          <w:szCs w:val="22"/>
          <w:lang w:val="fr-BE"/>
        </w:rPr>
        <w:t>conformes à l’</w:t>
      </w:r>
      <w:r>
        <w:rPr>
          <w:rFonts w:ascii="Arial" w:hAnsi="Arial" w:cs="Arial"/>
          <w:bCs/>
          <w:sz w:val="22"/>
          <w:szCs w:val="22"/>
          <w:lang w:val="fr-BE"/>
        </w:rPr>
        <w:t>a</w:t>
      </w:r>
      <w:r w:rsidRPr="00E51840">
        <w:rPr>
          <w:rFonts w:ascii="Arial" w:hAnsi="Arial" w:cs="Arial"/>
          <w:bCs/>
          <w:sz w:val="22"/>
          <w:szCs w:val="22"/>
          <w:lang w:val="fr-BE"/>
        </w:rPr>
        <w:t xml:space="preserve">rrêté du gouvernement du 3 </w:t>
      </w:r>
      <w:r>
        <w:rPr>
          <w:rFonts w:ascii="Arial" w:hAnsi="Arial" w:cs="Arial"/>
          <w:bCs/>
          <w:sz w:val="22"/>
          <w:szCs w:val="22"/>
          <w:lang w:val="fr-BE"/>
        </w:rPr>
        <w:t>décembre 2020</w:t>
      </w:r>
      <w:r w:rsidRPr="00E51840">
        <w:rPr>
          <w:rFonts w:ascii="Arial" w:hAnsi="Arial" w:cs="Arial"/>
          <w:bCs/>
          <w:sz w:val="22"/>
          <w:szCs w:val="22"/>
          <w:lang w:val="fr-BE"/>
        </w:rPr>
        <w:t xml:space="preserve"> précité. Etant donné que l’enquête est effectuée par un fonctionnaire communal agré</w:t>
      </w:r>
      <w:r>
        <w:rPr>
          <w:rFonts w:ascii="Arial" w:hAnsi="Arial" w:cs="Arial"/>
          <w:bCs/>
          <w:sz w:val="22"/>
          <w:szCs w:val="22"/>
          <w:lang w:val="fr-BE"/>
        </w:rPr>
        <w:t>é</w:t>
      </w:r>
      <w:r w:rsidRPr="00E51840">
        <w:rPr>
          <w:rFonts w:ascii="Arial" w:hAnsi="Arial" w:cs="Arial"/>
          <w:bCs/>
          <w:sz w:val="22"/>
          <w:szCs w:val="22"/>
          <w:lang w:val="fr-BE"/>
        </w:rPr>
        <w:t>, le coût administratif de l’analyse des documents est inclus dans les taux établis</w:t>
      </w:r>
      <w:r>
        <w:rPr>
          <w:rFonts w:ascii="Arial" w:hAnsi="Arial" w:cs="Arial"/>
          <w:bCs/>
          <w:sz w:val="22"/>
          <w:szCs w:val="22"/>
          <w:lang w:val="fr-BE"/>
        </w:rPr>
        <w:t>. ;</w:t>
      </w:r>
    </w:p>
    <w:p w14:paraId="1C8921F3" w14:textId="79FE8277" w:rsidR="00947641" w:rsidRDefault="00947641" w:rsidP="00947641">
      <w:pPr>
        <w:numPr>
          <w:ilvl w:val="0"/>
          <w:numId w:val="312"/>
        </w:numPr>
        <w:spacing w:before="240" w:after="240"/>
        <w:jc w:val="both"/>
        <w:rPr>
          <w:rFonts w:ascii="Arial" w:hAnsi="Arial" w:cs="Arial"/>
          <w:bCs/>
          <w:sz w:val="22"/>
          <w:szCs w:val="22"/>
          <w:lang w:val="fr-BE"/>
        </w:rPr>
      </w:pPr>
      <w:r w:rsidRPr="00E51840">
        <w:rPr>
          <w:rFonts w:ascii="Arial" w:hAnsi="Arial" w:cs="Arial"/>
          <w:bCs/>
          <w:sz w:val="22"/>
          <w:szCs w:val="22"/>
          <w:lang w:val="fr-BE"/>
        </w:rPr>
        <w:t>L’enquête est effectuée par un fonctionnaire privé agré</w:t>
      </w:r>
      <w:r>
        <w:rPr>
          <w:rFonts w:ascii="Arial" w:hAnsi="Arial" w:cs="Arial"/>
          <w:bCs/>
          <w:sz w:val="22"/>
          <w:szCs w:val="22"/>
          <w:lang w:val="fr-BE"/>
        </w:rPr>
        <w:t>é</w:t>
      </w:r>
      <w:r w:rsidRPr="00E51840">
        <w:rPr>
          <w:rFonts w:ascii="Arial" w:hAnsi="Arial" w:cs="Arial"/>
          <w:bCs/>
          <w:sz w:val="22"/>
          <w:szCs w:val="22"/>
          <w:lang w:val="fr-BE"/>
        </w:rPr>
        <w:t xml:space="preserve">, dans ce cas, seul le coût administratif de la délivrance du permis de location est exigé au redevable puisque la commune </w:t>
      </w:r>
      <w:r w:rsidR="001E537F">
        <w:rPr>
          <w:rFonts w:ascii="Arial" w:hAnsi="Arial" w:cs="Arial"/>
          <w:bCs/>
          <w:sz w:val="22"/>
          <w:szCs w:val="22"/>
          <w:lang w:val="fr-BE"/>
        </w:rPr>
        <w:t>ne fait que vérifier</w:t>
      </w:r>
      <w:r w:rsidRPr="00E51840">
        <w:rPr>
          <w:rFonts w:ascii="Arial" w:hAnsi="Arial" w:cs="Arial"/>
          <w:bCs/>
          <w:sz w:val="22"/>
          <w:szCs w:val="22"/>
          <w:lang w:val="fr-BE"/>
        </w:rPr>
        <w:t xml:space="preserve"> l’ensemble des documents remis par le demandeur afin d’octroyer (ou non) le permis</w:t>
      </w:r>
      <w:r>
        <w:rPr>
          <w:rFonts w:ascii="Arial" w:hAnsi="Arial" w:cs="Arial"/>
          <w:bCs/>
          <w:sz w:val="22"/>
          <w:szCs w:val="22"/>
          <w:lang w:val="fr-BE"/>
        </w:rPr>
        <w:t xml:space="preserve">. </w:t>
      </w:r>
    </w:p>
    <w:p w14:paraId="46FEDB14" w14:textId="77777777" w:rsidR="001E537F" w:rsidRDefault="001E537F" w:rsidP="001E537F">
      <w:pPr>
        <w:spacing w:before="240" w:after="240"/>
        <w:jc w:val="both"/>
        <w:rPr>
          <w:rFonts w:ascii="Arial" w:hAnsi="Arial" w:cs="Arial"/>
          <w:bCs/>
          <w:sz w:val="22"/>
          <w:szCs w:val="22"/>
          <w:lang w:val="fr-BE"/>
        </w:rPr>
      </w:pPr>
      <w:r w:rsidRPr="004404AA">
        <w:rPr>
          <w:rFonts w:ascii="Arial" w:hAnsi="Arial" w:cs="Arial"/>
          <w:bCs/>
          <w:sz w:val="22"/>
          <w:szCs w:val="22"/>
          <w:lang w:val="fr-BE"/>
        </w:rPr>
        <w:t xml:space="preserve">Pour plus d’information sur le permis de location, il y a lieu de consulter le site du SPW-ARNE à </w:t>
      </w:r>
      <w:r w:rsidRPr="00256E9F">
        <w:rPr>
          <w:rFonts w:ascii="Arial" w:hAnsi="Arial" w:cs="Arial"/>
          <w:bCs/>
          <w:sz w:val="22"/>
          <w:szCs w:val="22"/>
          <w:lang w:val="fr-BE"/>
        </w:rPr>
        <w:t>l’adresse suivante :</w:t>
      </w:r>
    </w:p>
    <w:p w14:paraId="53C39C0C" w14:textId="3A2755F9" w:rsidR="001E537F" w:rsidRDefault="001E537F" w:rsidP="001E537F">
      <w:pPr>
        <w:spacing w:before="240" w:after="240"/>
        <w:jc w:val="both"/>
        <w:rPr>
          <w:rFonts w:ascii="Arial" w:hAnsi="Arial" w:cs="Arial"/>
          <w:bCs/>
          <w:sz w:val="22"/>
          <w:szCs w:val="22"/>
          <w:lang w:val="fr-BE"/>
        </w:rPr>
      </w:pPr>
      <w:r w:rsidRPr="004404AA">
        <w:rPr>
          <w:rFonts w:ascii="Arial" w:hAnsi="Arial" w:cs="Arial"/>
          <w:bCs/>
          <w:sz w:val="22"/>
          <w:szCs w:val="22"/>
          <w:lang w:val="fr-BE"/>
        </w:rPr>
        <w:t>http://lampspw.wallonie.be/dgo4/site_logement//site/divers?page=location.</w:t>
      </w:r>
    </w:p>
    <w:p w14:paraId="4B512F27" w14:textId="427D6AB7" w:rsidR="000006B0" w:rsidRPr="00DA6BD2" w:rsidRDefault="000006B0" w:rsidP="008D7EB7">
      <w:pPr>
        <w:rPr>
          <w:rFonts w:asciiTheme="minorHAnsi" w:hAnsiTheme="minorHAnsi" w:cs="Calibri Light"/>
        </w:rPr>
      </w:pPr>
    </w:p>
    <w:p w14:paraId="623A404F" w14:textId="56A1CEE6" w:rsidR="009B153C" w:rsidRPr="008D7EB7" w:rsidRDefault="009B153C" w:rsidP="008D7EB7">
      <w:pPr>
        <w:pStyle w:val="Sam4"/>
        <w:jc w:val="both"/>
        <w:rPr>
          <w:b w:val="0"/>
          <w:spacing w:val="11"/>
        </w:rPr>
      </w:pPr>
      <w:bookmarkStart w:id="5015" w:name="_Toc74557733"/>
      <w:r w:rsidRPr="008D7EB7">
        <w:rPr>
          <w:spacing w:val="11"/>
        </w:rPr>
        <w:lastRenderedPageBreak/>
        <w:t>Publicité active de l’administration – délivrance d’une copie d’un acte administratif (Obligatoirement sous forme de redevance)</w:t>
      </w:r>
      <w:bookmarkEnd w:id="5015"/>
    </w:p>
    <w:p w14:paraId="6FC21387" w14:textId="465B6F38" w:rsidR="009B153C" w:rsidRPr="00DA6BD2" w:rsidRDefault="009B153C" w:rsidP="008D7EB7">
      <w:pPr>
        <w:tabs>
          <w:tab w:val="left" w:pos="360"/>
        </w:tabs>
        <w:spacing w:before="120"/>
        <w:jc w:val="both"/>
        <w:rPr>
          <w:rFonts w:asciiTheme="minorHAnsi" w:hAnsiTheme="minorHAnsi" w:cs="Calibri Light"/>
        </w:rPr>
      </w:pPr>
      <w:r w:rsidRPr="00DA6BD2">
        <w:rPr>
          <w:rFonts w:asciiTheme="minorHAnsi" w:hAnsiTheme="minorHAnsi" w:cs="Calibri Light"/>
        </w:rPr>
        <w:t xml:space="preserve">Cette matière </w:t>
      </w:r>
      <w:r w:rsidRPr="000E1CF9">
        <w:rPr>
          <w:rFonts w:asciiTheme="minorHAnsi" w:hAnsiTheme="minorHAnsi" w:cs="Calibri Light"/>
        </w:rPr>
        <w:t xml:space="preserve">est régie par les articles L3211-1 à L3231-9 du CDLD mais </w:t>
      </w:r>
      <w:r w:rsidRPr="00E063FD">
        <w:rPr>
          <w:rFonts w:asciiTheme="minorHAnsi" w:hAnsiTheme="minorHAnsi" w:cs="Calibri Light"/>
        </w:rPr>
        <w:t>ceux-ci se contentent de préciser que la copie doit être délivrée au prix coûtant.</w:t>
      </w:r>
    </w:p>
    <w:p w14:paraId="0374136A" w14:textId="1EE167F6" w:rsidR="009B153C" w:rsidRPr="00DA6BD2" w:rsidRDefault="009B153C" w:rsidP="008D7EB7">
      <w:pPr>
        <w:tabs>
          <w:tab w:val="left" w:pos="360"/>
        </w:tabs>
        <w:spacing w:before="120"/>
        <w:jc w:val="both"/>
        <w:rPr>
          <w:rFonts w:asciiTheme="minorHAnsi" w:hAnsiTheme="minorHAnsi" w:cs="Calibri Light"/>
        </w:rPr>
      </w:pPr>
      <w:r w:rsidRPr="00DA6BD2">
        <w:rPr>
          <w:rFonts w:asciiTheme="minorHAnsi" w:hAnsiTheme="minorHAnsi" w:cs="Calibri Light"/>
        </w:rPr>
        <w:t xml:space="preserve">Il est habituellement admis que ce coût comprend le prix de revient de la copie, à savoir le coût du </w:t>
      </w:r>
      <w:r w:rsidRPr="000E1CF9">
        <w:rPr>
          <w:rFonts w:asciiTheme="minorHAnsi" w:hAnsiTheme="minorHAnsi" w:cs="Calibri Light"/>
        </w:rPr>
        <w:t>papier, l'amortissement et l'entretien de la machine et, le cas échéant, les frais d'envoi, mais ne comprend ni les frais de personnel, ni les frais de recherche des documents, ni les frais engendrés pour la tenue de la base de données, ces frais étant inhérents au fonctionnement</w:t>
      </w:r>
      <w:r w:rsidRPr="00DA6BD2">
        <w:rPr>
          <w:rFonts w:asciiTheme="minorHAnsi" w:hAnsiTheme="minorHAnsi" w:cs="Calibri Light"/>
        </w:rPr>
        <w:t xml:space="preserve"> du service public. Ainsi, il n’est pas possible de réclamer le paiement d'une redevance couvrant les heures de prestations de travail d'un agent communal.</w:t>
      </w:r>
    </w:p>
    <w:p w14:paraId="1719763E" w14:textId="77F57400" w:rsidR="009B153C" w:rsidRDefault="009B153C" w:rsidP="008D7EB7">
      <w:pPr>
        <w:tabs>
          <w:tab w:val="left" w:pos="360"/>
        </w:tabs>
        <w:spacing w:before="120"/>
        <w:jc w:val="both"/>
        <w:rPr>
          <w:rFonts w:asciiTheme="minorHAnsi" w:hAnsiTheme="minorHAnsi" w:cs="Calibri Light"/>
        </w:rPr>
      </w:pPr>
      <w:r w:rsidRPr="00DA6BD2">
        <w:rPr>
          <w:rFonts w:asciiTheme="minorHAnsi" w:hAnsiTheme="minorHAnsi" w:cs="Calibri Light"/>
        </w:rPr>
        <w:t>Le point de référence pour apprécier le prix coûtant est le montant de la rétribution qui peut être réclamée à l'occasion de la délivrance d'une copie d'un document administratif en application du décret du 30 mars 1995 relatif à la publicité de l'administration, lesquels montants ne peuvent être supérieurs au prix coûtant</w:t>
      </w:r>
      <w:r w:rsidR="00FB78F7">
        <w:rPr>
          <w:rStyle w:val="Appelnotedebasdep"/>
          <w:rFonts w:asciiTheme="minorHAnsi" w:hAnsiTheme="minorHAnsi" w:cs="Calibri Light"/>
        </w:rPr>
        <w:footnoteReference w:id="140"/>
      </w:r>
      <w:r w:rsidRPr="00DA6BD2">
        <w:rPr>
          <w:rFonts w:asciiTheme="minorHAnsi" w:hAnsiTheme="minorHAnsi" w:cs="Calibri Light"/>
        </w:rPr>
        <w:t xml:space="preserve">. En vertu de l'article 3, 1° à 5°, de l'arrêté du gouvernement wallon du 9 juillet 1998 fixant les modèles de documents à utiliser et le montant de la rétribution à réclamer, le prix de la photocopie sur les documents suivants est fixé comme suit : </w:t>
      </w:r>
    </w:p>
    <w:p w14:paraId="7B3DEB0D" w14:textId="77777777" w:rsidR="00CF3029" w:rsidRPr="00CF3029" w:rsidRDefault="00CF3029" w:rsidP="00CF3029">
      <w:pPr>
        <w:tabs>
          <w:tab w:val="left" w:pos="360"/>
          <w:tab w:val="left" w:pos="504"/>
        </w:tabs>
        <w:spacing w:before="120"/>
        <w:ind w:left="567" w:hanging="567"/>
        <w:jc w:val="both"/>
        <w:textAlignment w:val="baseline"/>
        <w:rPr>
          <w:rFonts w:asciiTheme="minorHAnsi" w:hAnsiTheme="minorHAnsi" w:cs="Calibri Light"/>
        </w:rPr>
      </w:pPr>
    </w:p>
    <w:tbl>
      <w:tblPr>
        <w:tblW w:w="8921" w:type="dxa"/>
        <w:tblInd w:w="242" w:type="dxa"/>
        <w:tblCellMar>
          <w:left w:w="0" w:type="dxa"/>
          <w:right w:w="0" w:type="dxa"/>
        </w:tblCellMar>
        <w:tblLook w:val="04A0" w:firstRow="1" w:lastRow="0" w:firstColumn="1" w:lastColumn="0" w:noHBand="0" w:noVBand="1"/>
      </w:tblPr>
      <w:tblGrid>
        <w:gridCol w:w="5985"/>
        <w:gridCol w:w="2936"/>
      </w:tblGrid>
      <w:tr w:rsidR="00CF3029" w:rsidRPr="00B05546" w14:paraId="19C2AAD6" w14:textId="77777777" w:rsidTr="00B05546">
        <w:tc>
          <w:tcPr>
            <w:tcW w:w="5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6F5B85" w14:textId="77777777" w:rsidR="00CF3029" w:rsidRPr="00B05546" w:rsidRDefault="00CF3029" w:rsidP="00B05546">
            <w:pPr>
              <w:tabs>
                <w:tab w:val="left" w:pos="360"/>
                <w:tab w:val="left" w:pos="504"/>
              </w:tabs>
              <w:ind w:left="567" w:hanging="567"/>
              <w:jc w:val="both"/>
              <w:textAlignment w:val="baseline"/>
              <w:rPr>
                <w:rFonts w:asciiTheme="minorHAnsi" w:hAnsiTheme="minorHAnsi" w:cs="Calibri Light"/>
                <w:sz w:val="20"/>
                <w:szCs w:val="20"/>
              </w:rPr>
            </w:pP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6B24A" w14:textId="77777777" w:rsidR="00CF3029" w:rsidRPr="00B05546" w:rsidRDefault="00CF3029" w:rsidP="00B05546">
            <w:pPr>
              <w:tabs>
                <w:tab w:val="left" w:pos="360"/>
                <w:tab w:val="left" w:pos="504"/>
              </w:tabs>
              <w:ind w:left="567" w:hanging="567"/>
              <w:jc w:val="both"/>
              <w:textAlignment w:val="baseline"/>
              <w:rPr>
                <w:rFonts w:asciiTheme="minorHAnsi" w:hAnsiTheme="minorHAnsi" w:cs="Calibri Light"/>
                <w:sz w:val="20"/>
                <w:szCs w:val="20"/>
              </w:rPr>
            </w:pPr>
            <w:r w:rsidRPr="00B05546">
              <w:rPr>
                <w:rFonts w:asciiTheme="minorHAnsi" w:hAnsiTheme="minorHAnsi" w:cs="Calibri Light"/>
                <w:sz w:val="20"/>
                <w:szCs w:val="20"/>
              </w:rPr>
              <w:t>Prix de la photocopie par page</w:t>
            </w:r>
          </w:p>
        </w:tc>
      </w:tr>
      <w:tr w:rsidR="00CF3029" w:rsidRPr="00B05546" w14:paraId="33F9F897"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08139" w14:textId="77777777" w:rsidR="00CF3029" w:rsidRPr="00B05546"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B05546">
              <w:rPr>
                <w:rFonts w:asciiTheme="minorHAnsi" w:hAnsiTheme="minorHAnsi" w:cs="Calibri Light"/>
                <w:sz w:val="20"/>
                <w:szCs w:val="20"/>
              </w:rPr>
              <w:t>du</w:t>
            </w:r>
            <w:proofErr w:type="gramEnd"/>
            <w:r w:rsidRPr="00B05546">
              <w:rPr>
                <w:rFonts w:asciiTheme="minorHAnsi" w:hAnsiTheme="minorHAnsi" w:cs="Calibri Light"/>
                <w:sz w:val="20"/>
                <w:szCs w:val="20"/>
              </w:rPr>
              <w:t xml:space="preserve"> papier blanc et impression noire format A4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660A4B5C" w14:textId="1E702AA6" w:rsidR="00CF3029" w:rsidRPr="00B05546"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B05546">
              <w:rPr>
                <w:rFonts w:asciiTheme="minorHAnsi" w:hAnsiTheme="minorHAnsi" w:cs="Calibri Light"/>
                <w:sz w:val="20"/>
                <w:szCs w:val="20"/>
              </w:rPr>
              <w:t xml:space="preserve">0,15 </w:t>
            </w:r>
            <w:r w:rsidR="009A56F6" w:rsidRPr="00B05546">
              <w:rPr>
                <w:rFonts w:asciiTheme="minorHAnsi" w:hAnsiTheme="minorHAnsi" w:cs="Calibri Light"/>
                <w:sz w:val="20"/>
                <w:szCs w:val="20"/>
              </w:rPr>
              <w:t>euros</w:t>
            </w:r>
          </w:p>
        </w:tc>
      </w:tr>
      <w:tr w:rsidR="00CF3029" w:rsidRPr="00B05546" w14:paraId="0AE15B56"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28F7A" w14:textId="77777777" w:rsidR="00CF3029" w:rsidRPr="00B05546"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B05546">
              <w:rPr>
                <w:rFonts w:asciiTheme="minorHAnsi" w:hAnsiTheme="minorHAnsi" w:cs="Calibri Light"/>
                <w:sz w:val="20"/>
                <w:szCs w:val="20"/>
              </w:rPr>
              <w:t>du</w:t>
            </w:r>
            <w:proofErr w:type="gramEnd"/>
            <w:r w:rsidRPr="00B05546">
              <w:rPr>
                <w:rFonts w:asciiTheme="minorHAnsi" w:hAnsiTheme="minorHAnsi" w:cs="Calibri Light"/>
                <w:sz w:val="20"/>
                <w:szCs w:val="20"/>
              </w:rPr>
              <w:t xml:space="preserve"> papier blanc et impression noire format A3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1E06EDE6" w14:textId="5020E584" w:rsidR="00CF3029" w:rsidRPr="00B05546"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B05546">
              <w:rPr>
                <w:rFonts w:asciiTheme="minorHAnsi" w:hAnsiTheme="minorHAnsi" w:cs="Calibri Light"/>
                <w:sz w:val="20"/>
                <w:szCs w:val="20"/>
              </w:rPr>
              <w:t xml:space="preserve">0,17 </w:t>
            </w:r>
            <w:r w:rsidR="009A56F6" w:rsidRPr="00B05546">
              <w:rPr>
                <w:rFonts w:asciiTheme="minorHAnsi" w:hAnsiTheme="minorHAnsi" w:cs="Calibri Light"/>
                <w:sz w:val="20"/>
                <w:szCs w:val="20"/>
              </w:rPr>
              <w:t>euros</w:t>
            </w:r>
          </w:p>
        </w:tc>
      </w:tr>
      <w:tr w:rsidR="00CF3029" w:rsidRPr="00B05546" w14:paraId="7E073ED1"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9B05D" w14:textId="77777777" w:rsidR="00CF3029" w:rsidRPr="00B05546"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B05546">
              <w:rPr>
                <w:rFonts w:asciiTheme="minorHAnsi" w:hAnsiTheme="minorHAnsi" w:cs="Calibri Light"/>
                <w:sz w:val="20"/>
                <w:szCs w:val="20"/>
              </w:rPr>
              <w:t>du</w:t>
            </w:r>
            <w:proofErr w:type="gramEnd"/>
            <w:r w:rsidRPr="00B05546">
              <w:rPr>
                <w:rFonts w:asciiTheme="minorHAnsi" w:hAnsiTheme="minorHAnsi" w:cs="Calibri Light"/>
                <w:sz w:val="20"/>
                <w:szCs w:val="20"/>
              </w:rPr>
              <w:t xml:space="preserve"> papier blanc et impression en couleur format A4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116F8328" w14:textId="1911D02C" w:rsidR="00CF3029" w:rsidRPr="00B05546"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B05546">
              <w:rPr>
                <w:rFonts w:asciiTheme="minorHAnsi" w:hAnsiTheme="minorHAnsi" w:cs="Calibri Light"/>
                <w:sz w:val="20"/>
                <w:szCs w:val="20"/>
              </w:rPr>
              <w:t xml:space="preserve">0,62 </w:t>
            </w:r>
            <w:r w:rsidR="009A56F6" w:rsidRPr="00B05546">
              <w:rPr>
                <w:rFonts w:asciiTheme="minorHAnsi" w:hAnsiTheme="minorHAnsi" w:cs="Calibri Light"/>
                <w:sz w:val="20"/>
                <w:szCs w:val="20"/>
              </w:rPr>
              <w:t>euros</w:t>
            </w:r>
          </w:p>
        </w:tc>
      </w:tr>
      <w:tr w:rsidR="00CF3029" w:rsidRPr="00B05546" w14:paraId="3FEA7971"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1CBFD" w14:textId="77777777" w:rsidR="00CF3029" w:rsidRPr="00B05546"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B05546">
              <w:rPr>
                <w:rFonts w:asciiTheme="minorHAnsi" w:hAnsiTheme="minorHAnsi" w:cs="Calibri Light"/>
                <w:sz w:val="20"/>
                <w:szCs w:val="20"/>
              </w:rPr>
              <w:t>du</w:t>
            </w:r>
            <w:proofErr w:type="gramEnd"/>
            <w:r w:rsidRPr="00B05546">
              <w:rPr>
                <w:rFonts w:asciiTheme="minorHAnsi" w:hAnsiTheme="minorHAnsi" w:cs="Calibri Light"/>
                <w:sz w:val="20"/>
                <w:szCs w:val="20"/>
              </w:rPr>
              <w:t xml:space="preserve"> papier blanc et impression en couleur format A3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1AFB90B0" w14:textId="5B6BEBF1" w:rsidR="00CF3029" w:rsidRPr="00B05546"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B05546">
              <w:rPr>
                <w:rFonts w:asciiTheme="minorHAnsi" w:hAnsiTheme="minorHAnsi" w:cs="Calibri Light"/>
                <w:sz w:val="20"/>
                <w:szCs w:val="20"/>
              </w:rPr>
              <w:t xml:space="preserve">1,04 </w:t>
            </w:r>
            <w:r w:rsidR="009A56F6" w:rsidRPr="00B05546">
              <w:rPr>
                <w:rFonts w:asciiTheme="minorHAnsi" w:hAnsiTheme="minorHAnsi" w:cs="Calibri Light"/>
                <w:sz w:val="20"/>
                <w:szCs w:val="20"/>
              </w:rPr>
              <w:t>euros</w:t>
            </w:r>
          </w:p>
        </w:tc>
      </w:tr>
      <w:tr w:rsidR="00CF3029" w:rsidRPr="00B05546" w14:paraId="656E1848"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C529" w14:textId="77777777" w:rsidR="00CF3029" w:rsidRPr="00B05546"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B05546">
              <w:rPr>
                <w:rFonts w:asciiTheme="minorHAnsi" w:hAnsiTheme="minorHAnsi" w:cs="Calibri Light"/>
                <w:sz w:val="20"/>
                <w:szCs w:val="20"/>
              </w:rPr>
              <w:t>d’un</w:t>
            </w:r>
            <w:proofErr w:type="gramEnd"/>
            <w:r w:rsidRPr="00B05546">
              <w:rPr>
                <w:rFonts w:asciiTheme="minorHAnsi" w:hAnsiTheme="minorHAnsi" w:cs="Calibri Light"/>
                <w:sz w:val="20"/>
                <w:szCs w:val="20"/>
              </w:rPr>
              <w:t xml:space="preserve"> plan sur papier blanc et impression noire de 90 cm sur 1 m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733578F4" w14:textId="56477316" w:rsidR="00CF3029" w:rsidRPr="00B05546"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B05546">
              <w:rPr>
                <w:rFonts w:asciiTheme="minorHAnsi" w:hAnsiTheme="minorHAnsi" w:cs="Calibri Light"/>
                <w:sz w:val="20"/>
                <w:szCs w:val="20"/>
              </w:rPr>
              <w:t xml:space="preserve">0,92 </w:t>
            </w:r>
            <w:r w:rsidR="009A56F6" w:rsidRPr="00B05546">
              <w:rPr>
                <w:rFonts w:asciiTheme="minorHAnsi" w:hAnsiTheme="minorHAnsi" w:cs="Calibri Light"/>
                <w:sz w:val="20"/>
                <w:szCs w:val="20"/>
              </w:rPr>
              <w:t>euros</w:t>
            </w:r>
          </w:p>
        </w:tc>
      </w:tr>
    </w:tbl>
    <w:p w14:paraId="3B710EAF" w14:textId="77777777" w:rsidR="00CF3029" w:rsidRPr="00DA6BD2" w:rsidRDefault="00CF3029" w:rsidP="00E063FD">
      <w:pPr>
        <w:tabs>
          <w:tab w:val="left" w:pos="360"/>
          <w:tab w:val="left" w:pos="504"/>
        </w:tabs>
        <w:spacing w:before="120"/>
        <w:ind w:left="567" w:hanging="567"/>
        <w:jc w:val="both"/>
        <w:textAlignment w:val="baseline"/>
        <w:rPr>
          <w:rFonts w:asciiTheme="minorHAnsi" w:hAnsiTheme="minorHAnsi" w:cs="Calibri Light"/>
        </w:rPr>
      </w:pPr>
    </w:p>
    <w:p w14:paraId="1C7D6EF5" w14:textId="123D9ABD" w:rsidR="009B153C" w:rsidRDefault="009B153C" w:rsidP="008D7EB7">
      <w:pPr>
        <w:tabs>
          <w:tab w:val="right" w:pos="8352"/>
        </w:tabs>
        <w:spacing w:before="120"/>
        <w:jc w:val="both"/>
        <w:textAlignment w:val="baseline"/>
        <w:rPr>
          <w:rFonts w:asciiTheme="minorHAnsi" w:hAnsiTheme="minorHAnsi" w:cs="Calibri Light"/>
        </w:rPr>
      </w:pPr>
      <w:r w:rsidRPr="00DA6BD2">
        <w:rPr>
          <w:rFonts w:asciiTheme="minorHAnsi" w:hAnsiTheme="minorHAnsi" w:cs="Calibri Light"/>
        </w:rPr>
        <w:t>En ce qui concerne les frais d'envoi, il y a lieu de se conformer aux tarifs postaux en vigueur.</w:t>
      </w:r>
    </w:p>
    <w:p w14:paraId="70A0E797" w14:textId="2FCB76D3" w:rsidR="00CF3029" w:rsidRDefault="00CF3029">
      <w:pPr>
        <w:tabs>
          <w:tab w:val="right" w:pos="8352"/>
        </w:tabs>
        <w:spacing w:before="120"/>
        <w:jc w:val="both"/>
        <w:textAlignment w:val="baseline"/>
        <w:rPr>
          <w:rFonts w:asciiTheme="minorHAnsi" w:hAnsiTheme="minorHAnsi" w:cs="Calibri Light"/>
        </w:rPr>
      </w:pPr>
      <w:r w:rsidRPr="00CF3029">
        <w:rPr>
          <w:rFonts w:asciiTheme="minorHAnsi" w:hAnsiTheme="minorHAnsi" w:cs="Calibri Light"/>
        </w:rPr>
        <w:t>L’article 4 dudit arrêté précise que la rétribution est payée, par virement ou versement, préalablement à la transmission des copies demandées.</w:t>
      </w:r>
    </w:p>
    <w:p w14:paraId="2B9A3779" w14:textId="77777777" w:rsidR="004672E1" w:rsidRPr="00CF3029" w:rsidRDefault="004672E1" w:rsidP="008D7EB7">
      <w:pPr>
        <w:tabs>
          <w:tab w:val="right" w:pos="8352"/>
        </w:tabs>
        <w:spacing w:before="120"/>
        <w:jc w:val="both"/>
        <w:textAlignment w:val="baseline"/>
        <w:rPr>
          <w:rFonts w:asciiTheme="minorHAnsi" w:hAnsiTheme="minorHAnsi" w:cs="Calibri Light"/>
        </w:rPr>
      </w:pPr>
    </w:p>
    <w:p w14:paraId="13166714" w14:textId="44E2A85C" w:rsidR="009B153C" w:rsidRPr="008D7EB7" w:rsidRDefault="009B153C" w:rsidP="008D7EB7">
      <w:pPr>
        <w:pStyle w:val="Sam4"/>
        <w:jc w:val="both"/>
        <w:rPr>
          <w:b w:val="0"/>
          <w:spacing w:val="11"/>
        </w:rPr>
      </w:pPr>
      <w:bookmarkStart w:id="5016" w:name="_Toc40185519"/>
      <w:bookmarkStart w:id="5017" w:name="_Toc40186254"/>
      <w:bookmarkStart w:id="5018" w:name="_Toc74557734"/>
      <w:bookmarkEnd w:id="5016"/>
      <w:bookmarkEnd w:id="5017"/>
      <w:r w:rsidRPr="008D7EB7">
        <w:rPr>
          <w:spacing w:val="11"/>
        </w:rPr>
        <w:t>Publicité active de l’administration en matière d’environnement (Obligatoirement sous forme de redevance)</w:t>
      </w:r>
      <w:bookmarkEnd w:id="5018"/>
    </w:p>
    <w:p w14:paraId="5D7D14F9" w14:textId="4661AC9C" w:rsidR="009B153C" w:rsidRPr="00DA6BD2" w:rsidRDefault="009B153C" w:rsidP="008D7EB7">
      <w:pPr>
        <w:tabs>
          <w:tab w:val="left" w:pos="360"/>
        </w:tabs>
        <w:spacing w:before="120"/>
        <w:jc w:val="both"/>
        <w:rPr>
          <w:rFonts w:asciiTheme="minorHAnsi" w:hAnsiTheme="minorHAnsi" w:cs="Calibri Light"/>
          <w:color w:val="0D0D0D"/>
        </w:rPr>
      </w:pPr>
      <w:r w:rsidRPr="00DA6BD2">
        <w:rPr>
          <w:rFonts w:asciiTheme="minorHAnsi" w:hAnsiTheme="minorHAnsi" w:cs="Calibri Light"/>
          <w:color w:val="0D0D0D"/>
        </w:rPr>
        <w:t>En cette matière c’est l’article D.13 d</w:t>
      </w:r>
      <w:r w:rsidR="000006B0">
        <w:rPr>
          <w:rFonts w:asciiTheme="minorHAnsi" w:hAnsiTheme="minorHAnsi" w:cs="Calibri Light"/>
          <w:color w:val="0D0D0D"/>
        </w:rPr>
        <w:t>u</w:t>
      </w:r>
      <w:r w:rsidRPr="00DA6BD2">
        <w:rPr>
          <w:rFonts w:asciiTheme="minorHAnsi" w:hAnsiTheme="minorHAnsi" w:cs="Calibri Light"/>
          <w:color w:val="0D0D0D"/>
        </w:rPr>
        <w:t xml:space="preserve"> </w:t>
      </w:r>
      <w:r w:rsidR="00ED21A0">
        <w:rPr>
          <w:rFonts w:asciiTheme="minorHAnsi" w:hAnsiTheme="minorHAnsi" w:cs="Calibri Light"/>
          <w:color w:val="0D0D0D"/>
        </w:rPr>
        <w:t>C</w:t>
      </w:r>
      <w:r w:rsidRPr="00DA6BD2">
        <w:rPr>
          <w:rFonts w:asciiTheme="minorHAnsi" w:hAnsiTheme="minorHAnsi" w:cs="Calibri Light"/>
          <w:color w:val="0D0D0D"/>
        </w:rPr>
        <w:t>ode</w:t>
      </w:r>
      <w:r w:rsidR="000006B0">
        <w:rPr>
          <w:rFonts w:asciiTheme="minorHAnsi" w:hAnsiTheme="minorHAnsi" w:cs="Calibri Light"/>
          <w:color w:val="0D0D0D"/>
        </w:rPr>
        <w:t xml:space="preserve"> de l’Environnement</w:t>
      </w:r>
      <w:r w:rsidRPr="00DA6BD2">
        <w:rPr>
          <w:rFonts w:asciiTheme="minorHAnsi" w:hAnsiTheme="minorHAnsi" w:cs="Calibri Light"/>
          <w:color w:val="0D0D0D"/>
        </w:rPr>
        <w:t xml:space="preserve"> qui est d’application</w:t>
      </w:r>
      <w:r w:rsidR="0067312E">
        <w:rPr>
          <w:rFonts w:asciiTheme="minorHAnsi" w:hAnsiTheme="minorHAnsi" w:cs="Calibri Light"/>
          <w:color w:val="0D0D0D"/>
        </w:rPr>
        <w:t>,</w:t>
      </w:r>
      <w:r w:rsidRPr="00DA6BD2">
        <w:rPr>
          <w:rFonts w:asciiTheme="minorHAnsi" w:hAnsiTheme="minorHAnsi" w:cs="Calibri Light"/>
          <w:color w:val="0D0D0D"/>
        </w:rPr>
        <w:t xml:space="preserve"> lequel dispose que « la consultation sur place des informations est gratuite, tandis qu'un prix peut être réclamé lorsque le demandeur souhaite que l'information lui soit adressée. Ce prix ne peut toutefois pas dépasser le </w:t>
      </w:r>
      <w:r w:rsidRPr="00DA6BD2">
        <w:rPr>
          <w:rFonts w:asciiTheme="minorHAnsi" w:hAnsiTheme="minorHAnsi" w:cs="Calibri Light"/>
          <w:b/>
          <w:color w:val="0D0D0D"/>
          <w:u w:val="single"/>
        </w:rPr>
        <w:t>coût du support</w:t>
      </w:r>
      <w:r w:rsidRPr="00DA6BD2">
        <w:rPr>
          <w:rFonts w:asciiTheme="minorHAnsi" w:hAnsiTheme="minorHAnsi" w:cs="Calibri Light"/>
          <w:color w:val="0D0D0D"/>
        </w:rPr>
        <w:t xml:space="preserve"> de l'information </w:t>
      </w:r>
      <w:r w:rsidRPr="00DA6BD2">
        <w:rPr>
          <w:rFonts w:asciiTheme="minorHAnsi" w:hAnsiTheme="minorHAnsi" w:cs="Calibri Light"/>
          <w:b/>
          <w:color w:val="0D0D0D"/>
          <w:u w:val="single"/>
        </w:rPr>
        <w:t>et de sa communication</w:t>
      </w:r>
      <w:r w:rsidRPr="00DA6BD2">
        <w:rPr>
          <w:rFonts w:asciiTheme="minorHAnsi" w:hAnsiTheme="minorHAnsi" w:cs="Calibri Light"/>
          <w:color w:val="0D0D0D"/>
        </w:rPr>
        <w:t xml:space="preserve">, </w:t>
      </w:r>
      <w:r w:rsidRPr="00DA6BD2">
        <w:rPr>
          <w:rFonts w:asciiTheme="minorHAnsi" w:hAnsiTheme="minorHAnsi" w:cs="Calibri Light"/>
          <w:b/>
          <w:color w:val="0D0D0D"/>
        </w:rPr>
        <w:t>et doit être</w:t>
      </w:r>
      <w:r w:rsidRPr="00DA6BD2">
        <w:rPr>
          <w:rFonts w:asciiTheme="minorHAnsi" w:hAnsiTheme="minorHAnsi" w:cs="Calibri Light"/>
          <w:color w:val="0D0D0D"/>
        </w:rPr>
        <w:t xml:space="preserve"> </w:t>
      </w:r>
      <w:r w:rsidRPr="00DA6BD2">
        <w:rPr>
          <w:rFonts w:asciiTheme="minorHAnsi" w:hAnsiTheme="minorHAnsi" w:cs="Calibri Light"/>
          <w:b/>
          <w:color w:val="0D0D0D"/>
        </w:rPr>
        <w:t>communiqué</w:t>
      </w:r>
      <w:r w:rsidRPr="00DA6BD2">
        <w:rPr>
          <w:rFonts w:asciiTheme="minorHAnsi" w:hAnsiTheme="minorHAnsi" w:cs="Calibri Light"/>
          <w:color w:val="0D0D0D"/>
        </w:rPr>
        <w:t xml:space="preserve"> au demandeur </w:t>
      </w:r>
      <w:r w:rsidRPr="00DA6BD2">
        <w:rPr>
          <w:rFonts w:asciiTheme="minorHAnsi" w:hAnsiTheme="minorHAnsi" w:cs="Calibri Light"/>
          <w:b/>
          <w:color w:val="0D0D0D"/>
          <w:u w:val="single"/>
        </w:rPr>
        <w:t>au moment de sa demande</w:t>
      </w:r>
      <w:r w:rsidRPr="00DA6BD2">
        <w:rPr>
          <w:rFonts w:asciiTheme="minorHAnsi" w:hAnsiTheme="minorHAnsi" w:cs="Calibri Light"/>
          <w:color w:val="0D0D0D"/>
        </w:rPr>
        <w:t xml:space="preserve"> »</w:t>
      </w:r>
    </w:p>
    <w:p w14:paraId="229A82D4" w14:textId="2C27B8AF" w:rsidR="009B153C" w:rsidRDefault="00A547FE">
      <w:pPr>
        <w:tabs>
          <w:tab w:val="left" w:pos="360"/>
        </w:tabs>
        <w:spacing w:before="120"/>
        <w:jc w:val="both"/>
        <w:rPr>
          <w:rFonts w:asciiTheme="minorHAnsi" w:hAnsiTheme="minorHAnsi" w:cs="Calibri Light"/>
          <w:color w:val="0D0D0D"/>
        </w:rPr>
      </w:pPr>
      <w:r>
        <w:rPr>
          <w:rFonts w:asciiTheme="minorHAnsi" w:hAnsiTheme="minorHAnsi" w:cs="Calibri Light"/>
          <w:color w:val="0D0D0D"/>
        </w:rPr>
        <w:t>L</w:t>
      </w:r>
      <w:r w:rsidR="00ED21A0" w:rsidRPr="00DA6BD2">
        <w:rPr>
          <w:rFonts w:asciiTheme="minorHAnsi" w:hAnsiTheme="minorHAnsi" w:cs="Calibri Light"/>
          <w:color w:val="0D0D0D"/>
        </w:rPr>
        <w:t>orsqu'une copie de documents contenant des informations à caractère environnemental est sollicitée auprès d'une autorité publique au sens du Livre 1</w:t>
      </w:r>
      <w:r w:rsidR="00ED21A0" w:rsidRPr="00E063FD">
        <w:rPr>
          <w:rFonts w:asciiTheme="minorHAnsi" w:hAnsiTheme="minorHAnsi" w:cs="Calibri Light"/>
          <w:color w:val="0D0D0D"/>
        </w:rPr>
        <w:t>er</w:t>
      </w:r>
      <w:r w:rsidR="00ED21A0" w:rsidRPr="00DA6BD2">
        <w:rPr>
          <w:rFonts w:asciiTheme="minorHAnsi" w:hAnsiTheme="minorHAnsi" w:cs="Calibri Light"/>
          <w:color w:val="0D0D0D"/>
        </w:rPr>
        <w:t xml:space="preserve"> du Code de l'Environnement, cette autorité pourra subordonner l'envoi de ces documents au demandeur au paiement préalable par ce dernier</w:t>
      </w:r>
      <w:r w:rsidR="00ED21A0">
        <w:rPr>
          <w:rFonts w:asciiTheme="minorHAnsi" w:hAnsiTheme="minorHAnsi" w:cs="Calibri Light"/>
          <w:color w:val="0D0D0D"/>
        </w:rPr>
        <w:t xml:space="preserve">. </w:t>
      </w:r>
      <w:r w:rsidR="00ED21A0" w:rsidRPr="00DA6BD2">
        <w:rPr>
          <w:rFonts w:asciiTheme="minorHAnsi" w:hAnsiTheme="minorHAnsi" w:cs="Calibri Light"/>
          <w:color w:val="0D0D0D"/>
        </w:rPr>
        <w:t xml:space="preserve">L'autorité doit avertir le demandeur du montant réclamé et, si le demandeur ne souhaite pas régler le montant réclamé, il lui est loisible de se rendre au siège </w:t>
      </w:r>
      <w:r w:rsidR="00ED21A0" w:rsidRPr="00DA6BD2">
        <w:rPr>
          <w:rFonts w:asciiTheme="minorHAnsi" w:hAnsiTheme="minorHAnsi" w:cs="Calibri Light"/>
          <w:color w:val="0D0D0D"/>
        </w:rPr>
        <w:lastRenderedPageBreak/>
        <w:t>de l'autorité publique pour consulter</w:t>
      </w:r>
      <w:r w:rsidR="0067312E">
        <w:rPr>
          <w:rFonts w:asciiTheme="minorHAnsi" w:hAnsiTheme="minorHAnsi" w:cs="Calibri Light"/>
          <w:color w:val="0D0D0D"/>
        </w:rPr>
        <w:t xml:space="preserve"> les documents sur place, cette </w:t>
      </w:r>
      <w:r w:rsidR="00ED21A0" w:rsidRPr="00DA6BD2">
        <w:rPr>
          <w:rFonts w:asciiTheme="minorHAnsi" w:hAnsiTheme="minorHAnsi" w:cs="Calibri Light"/>
          <w:color w:val="0D0D0D"/>
        </w:rPr>
        <w:t xml:space="preserve">consultation étant gratuite. </w:t>
      </w:r>
    </w:p>
    <w:p w14:paraId="6343DDD1" w14:textId="032C7C4B" w:rsidR="00434194" w:rsidRDefault="00434194">
      <w:pPr>
        <w:tabs>
          <w:tab w:val="left" w:pos="360"/>
        </w:tabs>
        <w:spacing w:before="120"/>
        <w:jc w:val="both"/>
        <w:rPr>
          <w:rFonts w:asciiTheme="minorHAnsi" w:hAnsiTheme="minorHAnsi" w:cs="Calibri Light"/>
          <w:color w:val="0D0D0D"/>
        </w:rPr>
      </w:pPr>
    </w:p>
    <w:p w14:paraId="1C99C7D9" w14:textId="067B200C" w:rsidR="009B153C" w:rsidRPr="00DA6BD2" w:rsidRDefault="008F37ED" w:rsidP="00256E9F">
      <w:pPr>
        <w:pStyle w:val="Sam3"/>
      </w:pPr>
      <w:bookmarkStart w:id="5019" w:name="_Toc74557735"/>
      <w:r>
        <w:rPr>
          <w:rFonts w:cs="Calibri Light"/>
          <w:color w:val="0D0D0D"/>
        </w:rPr>
        <w:t xml:space="preserve">VII.1.5 </w:t>
      </w:r>
      <w:bookmarkStart w:id="5020" w:name="_Toc512525473"/>
      <w:bookmarkStart w:id="5021" w:name="_Toc515896786"/>
      <w:bookmarkStart w:id="5022" w:name="_Hlk68534160"/>
      <w:r w:rsidR="009B153C" w:rsidRPr="00DA6BD2">
        <w:t>040/361-48 : Prestations communales administratives ou techniques en général</w:t>
      </w:r>
      <w:bookmarkEnd w:id="5019"/>
      <w:bookmarkEnd w:id="5020"/>
      <w:bookmarkEnd w:id="5021"/>
    </w:p>
    <w:bookmarkEnd w:id="5022"/>
    <w:p w14:paraId="52949896" w14:textId="025F06F1"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Il s'impose de tenir compte des coûts réellement engagés (redevance).</w:t>
      </w:r>
    </w:p>
    <w:p w14:paraId="129A0074" w14:textId="77777777" w:rsidR="008F37ED" w:rsidRPr="00DA6BD2" w:rsidRDefault="008F37ED" w:rsidP="00E063FD">
      <w:pPr>
        <w:spacing w:before="120"/>
        <w:jc w:val="both"/>
        <w:textAlignment w:val="baseline"/>
        <w:rPr>
          <w:rFonts w:asciiTheme="minorHAnsi" w:hAnsiTheme="minorHAnsi" w:cs="Calibri Light"/>
        </w:rPr>
      </w:pPr>
    </w:p>
    <w:p w14:paraId="6E780323" w14:textId="7A7D6548" w:rsidR="00964EE9" w:rsidRPr="008D7EB7" w:rsidRDefault="009B153C" w:rsidP="008D7EB7">
      <w:pPr>
        <w:pStyle w:val="Sam4"/>
        <w:numPr>
          <w:ilvl w:val="0"/>
          <w:numId w:val="272"/>
        </w:numPr>
      </w:pPr>
      <w:bookmarkStart w:id="5023" w:name="_Toc74557736"/>
      <w:bookmarkStart w:id="5024" w:name="_Hlk99544811"/>
      <w:r w:rsidRPr="008D7EB7">
        <w:t>Documents et travaux urbanistiques</w:t>
      </w:r>
      <w:bookmarkEnd w:id="5023"/>
      <w:r w:rsidRPr="008D7EB7">
        <w:t xml:space="preserve"> </w:t>
      </w:r>
    </w:p>
    <w:p w14:paraId="2385DD82" w14:textId="77777777" w:rsidR="008F37ED" w:rsidRPr="006B47EE" w:rsidRDefault="008F37ED">
      <w:pPr>
        <w:tabs>
          <w:tab w:val="left" w:pos="360"/>
          <w:tab w:val="left" w:pos="567"/>
        </w:tabs>
        <w:spacing w:before="120"/>
        <w:contextualSpacing/>
        <w:jc w:val="both"/>
        <w:textAlignment w:val="baseline"/>
        <w:rPr>
          <w:rFonts w:asciiTheme="minorHAnsi" w:hAnsiTheme="minorHAnsi" w:cs="Calibri Light"/>
          <w:color w:val="0D0D0D"/>
          <w:spacing w:val="1"/>
          <w:sz w:val="2"/>
          <w:szCs w:val="2"/>
        </w:rPr>
      </w:pPr>
    </w:p>
    <w:p w14:paraId="29AE9AA5" w14:textId="029787E3" w:rsidR="009B153C" w:rsidRPr="008D7EB7" w:rsidRDefault="00EA3B5D" w:rsidP="008D7EB7">
      <w:pPr>
        <w:tabs>
          <w:tab w:val="left" w:pos="360"/>
          <w:tab w:val="left" w:pos="567"/>
        </w:tabs>
        <w:spacing w:before="120"/>
        <w:contextualSpacing/>
        <w:jc w:val="both"/>
        <w:textAlignment w:val="baseline"/>
        <w:rPr>
          <w:rFonts w:asciiTheme="minorHAnsi" w:hAnsiTheme="minorHAnsi" w:cs="Calibri Light"/>
          <w:color w:val="0D0D0D"/>
          <w:spacing w:val="1"/>
        </w:rPr>
      </w:pPr>
      <w:r>
        <w:rPr>
          <w:rFonts w:asciiTheme="minorHAnsi" w:hAnsiTheme="minorHAnsi" w:cs="Calibri Light"/>
          <w:color w:val="0D0D0D"/>
          <w:spacing w:val="1"/>
        </w:rPr>
        <w:t xml:space="preserve">Outre </w:t>
      </w:r>
      <w:r w:rsidR="009B153C" w:rsidRPr="008D7EB7">
        <w:rPr>
          <w:rFonts w:asciiTheme="minorHAnsi" w:hAnsiTheme="minorHAnsi" w:cs="Calibri Light"/>
          <w:color w:val="0D0D0D"/>
          <w:spacing w:val="1"/>
        </w:rPr>
        <w:t>une taxe</w:t>
      </w:r>
      <w:r>
        <w:rPr>
          <w:rFonts w:asciiTheme="minorHAnsi" w:hAnsiTheme="minorHAnsi" w:cs="Calibri Light"/>
          <w:color w:val="0D0D0D"/>
          <w:spacing w:val="1"/>
        </w:rPr>
        <w:t xml:space="preserve"> ou une redevance</w:t>
      </w:r>
      <w:r w:rsidR="009B153C" w:rsidRPr="008D7EB7">
        <w:rPr>
          <w:rFonts w:asciiTheme="minorHAnsi" w:hAnsiTheme="minorHAnsi" w:cs="Calibri Light"/>
          <w:color w:val="0D0D0D"/>
          <w:spacing w:val="1"/>
        </w:rPr>
        <w:t xml:space="preserve"> pour la délivrance d'un document administratif sans caractère répétitif (</w:t>
      </w:r>
      <w:r w:rsidR="001E537F">
        <w:rPr>
          <w:rFonts w:asciiTheme="minorHAnsi" w:hAnsiTheme="minorHAnsi" w:cs="Calibri Light"/>
          <w:color w:val="0D0D0D"/>
          <w:spacing w:val="1"/>
        </w:rPr>
        <w:t>30</w:t>
      </w:r>
      <w:r w:rsidR="000006B0">
        <w:rPr>
          <w:rFonts w:asciiTheme="minorHAnsi" w:hAnsiTheme="minorHAnsi" w:cs="Calibri Light"/>
          <w:color w:val="0D0D0D"/>
          <w:spacing w:val="1"/>
        </w:rPr>
        <w:t>,00 euros)</w:t>
      </w:r>
      <w:r>
        <w:rPr>
          <w:rFonts w:asciiTheme="minorHAnsi" w:hAnsiTheme="minorHAnsi" w:cs="Calibri Light"/>
          <w:color w:val="0D0D0D"/>
          <w:spacing w:val="1"/>
        </w:rPr>
        <w:t>, la commune</w:t>
      </w:r>
      <w:r w:rsidRPr="00EA3B5D">
        <w:t xml:space="preserve"> </w:t>
      </w:r>
      <w:r w:rsidRPr="00EA3B5D">
        <w:rPr>
          <w:rFonts w:asciiTheme="minorHAnsi" w:hAnsiTheme="minorHAnsi" w:cs="Calibri Light"/>
          <w:color w:val="0D0D0D"/>
          <w:spacing w:val="1"/>
        </w:rPr>
        <w:t xml:space="preserve">peut prévoir une redevance pour récupérer le coût des travaux administratifs effectués (coûts réels) </w:t>
      </w:r>
      <w:r>
        <w:rPr>
          <w:rFonts w:asciiTheme="minorHAnsi" w:hAnsiTheme="minorHAnsi" w:cs="Calibri Light"/>
          <w:color w:val="0D0D0D"/>
          <w:spacing w:val="1"/>
        </w:rPr>
        <w:t>pour l’instruction du dossier</w:t>
      </w:r>
      <w:r w:rsidR="009B153C" w:rsidRPr="008D7EB7">
        <w:rPr>
          <w:rFonts w:asciiTheme="minorHAnsi" w:hAnsiTheme="minorHAnsi" w:cs="Calibri Light"/>
          <w:color w:val="0D0D0D"/>
          <w:spacing w:val="1"/>
        </w:rPr>
        <w:t xml:space="preserve">. </w:t>
      </w:r>
    </w:p>
    <w:p w14:paraId="532354FF" w14:textId="77777777" w:rsidR="00964EE9" w:rsidRPr="006B47EE" w:rsidRDefault="00964EE9" w:rsidP="00964EE9">
      <w:pPr>
        <w:tabs>
          <w:tab w:val="left" w:pos="360"/>
          <w:tab w:val="left" w:pos="567"/>
        </w:tabs>
        <w:spacing w:before="120"/>
        <w:contextualSpacing/>
        <w:jc w:val="both"/>
        <w:textAlignment w:val="baseline"/>
        <w:rPr>
          <w:rFonts w:asciiTheme="minorHAnsi" w:hAnsiTheme="minorHAnsi" w:cs="Calibri Light"/>
          <w:color w:val="0D0D0D"/>
          <w:spacing w:val="1"/>
          <w:sz w:val="6"/>
          <w:szCs w:val="6"/>
        </w:rPr>
      </w:pPr>
    </w:p>
    <w:p w14:paraId="2A6F71DA" w14:textId="06EEFB27" w:rsidR="00A547FE" w:rsidRDefault="009B153C">
      <w:pPr>
        <w:tabs>
          <w:tab w:val="left" w:pos="360"/>
          <w:tab w:val="left" w:pos="567"/>
        </w:tabs>
        <w:spacing w:before="120"/>
        <w:contextualSpacing/>
        <w:jc w:val="both"/>
        <w:textAlignment w:val="baseline"/>
        <w:rPr>
          <w:rFonts w:asciiTheme="minorHAnsi" w:hAnsiTheme="minorHAnsi" w:cs="Calibri Light"/>
          <w:spacing w:val="1"/>
        </w:rPr>
      </w:pPr>
      <w:r w:rsidRPr="00DA6BD2">
        <w:rPr>
          <w:rFonts w:asciiTheme="minorHAnsi" w:hAnsiTheme="minorHAnsi" w:cs="Calibri Light"/>
          <w:color w:val="0D0D0D"/>
          <w:spacing w:val="1"/>
        </w:rPr>
        <w:t>Lorsque</w:t>
      </w:r>
      <w:r w:rsidR="00A547FE">
        <w:rPr>
          <w:rFonts w:asciiTheme="minorHAnsi" w:hAnsiTheme="minorHAnsi" w:cs="Calibri Light"/>
          <w:color w:val="0D0D0D"/>
          <w:spacing w:val="1"/>
        </w:rPr>
        <w:t>,</w:t>
      </w:r>
      <w:r w:rsidRPr="00DA6BD2">
        <w:rPr>
          <w:rFonts w:asciiTheme="minorHAnsi" w:hAnsiTheme="minorHAnsi" w:cs="Calibri Light"/>
          <w:color w:val="0D0D0D"/>
          <w:spacing w:val="1"/>
        </w:rPr>
        <w:t xml:space="preserve"> la commune</w:t>
      </w:r>
      <w:r w:rsidRPr="00DA6BD2">
        <w:rPr>
          <w:rFonts w:asciiTheme="minorHAnsi" w:hAnsiTheme="minorHAnsi" w:cs="Calibri Light"/>
          <w:spacing w:val="1"/>
        </w:rPr>
        <w:t xml:space="preserve"> </w:t>
      </w:r>
      <w:r w:rsidR="00B40C62">
        <w:rPr>
          <w:rFonts w:asciiTheme="minorHAnsi" w:hAnsiTheme="minorHAnsi" w:cs="Calibri Light"/>
          <w:spacing w:val="1"/>
        </w:rPr>
        <w:t>établit</w:t>
      </w:r>
      <w:r w:rsidR="000A248A">
        <w:rPr>
          <w:rFonts w:asciiTheme="minorHAnsi" w:hAnsiTheme="minorHAnsi" w:cs="Calibri Light"/>
          <w:spacing w:val="1"/>
        </w:rPr>
        <w:t xml:space="preserve"> sa redevance</w:t>
      </w:r>
      <w:r w:rsidR="001F771B" w:rsidRPr="001F771B">
        <w:t xml:space="preserve"> </w:t>
      </w:r>
      <w:r w:rsidR="001F771B" w:rsidRPr="001F771B">
        <w:rPr>
          <w:rFonts w:asciiTheme="minorHAnsi" w:hAnsiTheme="minorHAnsi" w:cs="Calibri Light"/>
          <w:spacing w:val="1"/>
        </w:rPr>
        <w:t>pour l’instruction du dossier</w:t>
      </w:r>
      <w:r w:rsidR="000A248A" w:rsidRPr="00DA6BD2">
        <w:rPr>
          <w:rFonts w:asciiTheme="minorHAnsi" w:hAnsiTheme="minorHAnsi" w:cs="Calibri Light"/>
          <w:spacing w:val="1"/>
        </w:rPr>
        <w:t xml:space="preserve"> </w:t>
      </w:r>
      <w:r w:rsidR="000A248A">
        <w:rPr>
          <w:rFonts w:asciiTheme="minorHAnsi" w:hAnsiTheme="minorHAnsi" w:cs="Calibri Light"/>
          <w:spacing w:val="1"/>
        </w:rPr>
        <w:t xml:space="preserve">en fixant </w:t>
      </w:r>
      <w:r w:rsidRPr="00DA6BD2">
        <w:rPr>
          <w:rFonts w:asciiTheme="minorHAnsi" w:hAnsiTheme="minorHAnsi" w:cs="Calibri Light"/>
          <w:spacing w:val="1"/>
        </w:rPr>
        <w:t>un taux forfaitaire, le taux maximum recommandé est</w:t>
      </w:r>
      <w:r w:rsidR="00A547FE">
        <w:rPr>
          <w:rFonts w:asciiTheme="minorHAnsi" w:hAnsiTheme="minorHAnsi" w:cs="Calibri Light"/>
          <w:spacing w:val="1"/>
        </w:rPr>
        <w:t> :</w:t>
      </w:r>
    </w:p>
    <w:p w14:paraId="1A9DB5E2" w14:textId="77777777" w:rsidR="00CF3029" w:rsidRPr="00CF3029" w:rsidRDefault="00CF3029" w:rsidP="00CF3029">
      <w:pPr>
        <w:tabs>
          <w:tab w:val="left" w:pos="360"/>
          <w:tab w:val="left" w:pos="567"/>
        </w:tabs>
        <w:spacing w:before="120"/>
        <w:contextualSpacing/>
        <w:jc w:val="both"/>
        <w:textAlignment w:val="baseline"/>
        <w:rPr>
          <w:rFonts w:asciiTheme="minorHAnsi" w:hAnsiTheme="minorHAnsi" w:cs="Calibri Light"/>
          <w:spacing w:val="1"/>
        </w:rPr>
      </w:pPr>
    </w:p>
    <w:tbl>
      <w:tblPr>
        <w:tblW w:w="6504" w:type="dxa"/>
        <w:jc w:val="center"/>
        <w:tblCellMar>
          <w:left w:w="0" w:type="dxa"/>
          <w:right w:w="0" w:type="dxa"/>
        </w:tblCellMar>
        <w:tblLook w:val="04A0" w:firstRow="1" w:lastRow="0" w:firstColumn="1" w:lastColumn="0" w:noHBand="0" w:noVBand="1"/>
      </w:tblPr>
      <w:tblGrid>
        <w:gridCol w:w="4243"/>
        <w:gridCol w:w="2261"/>
      </w:tblGrid>
      <w:tr w:rsidR="00902733" w:rsidRPr="00B05546" w14:paraId="6ED06F96" w14:textId="77777777" w:rsidTr="008D7EB7">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75533" w14:textId="77777777" w:rsidR="00902733" w:rsidRPr="00B05546" w:rsidRDefault="00902733" w:rsidP="00CF3029">
            <w:pPr>
              <w:tabs>
                <w:tab w:val="left" w:pos="360"/>
                <w:tab w:val="left" w:pos="567"/>
              </w:tabs>
              <w:spacing w:before="120"/>
              <w:contextualSpacing/>
              <w:jc w:val="both"/>
              <w:textAlignment w:val="baseline"/>
              <w:rPr>
                <w:rFonts w:asciiTheme="minorHAnsi" w:hAnsiTheme="minorHAnsi" w:cs="Calibri Light"/>
                <w:spacing w:val="1"/>
                <w:sz w:val="20"/>
                <w:szCs w:val="20"/>
              </w:rPr>
            </w:pPr>
          </w:p>
        </w:tc>
        <w:tc>
          <w:tcPr>
            <w:tcW w:w="2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82141" w14:textId="77777777" w:rsidR="00902733" w:rsidRPr="00B05546" w:rsidRDefault="00902733" w:rsidP="00CF3029">
            <w:pPr>
              <w:tabs>
                <w:tab w:val="left" w:pos="360"/>
                <w:tab w:val="left" w:pos="567"/>
              </w:tabs>
              <w:spacing w:before="120"/>
              <w:contextualSpacing/>
              <w:jc w:val="both"/>
              <w:textAlignment w:val="baseline"/>
              <w:rPr>
                <w:rFonts w:asciiTheme="minorHAnsi" w:hAnsiTheme="minorHAnsi" w:cs="Calibri Light"/>
                <w:spacing w:val="1"/>
                <w:sz w:val="20"/>
                <w:szCs w:val="20"/>
              </w:rPr>
            </w:pPr>
            <w:r w:rsidRPr="00B05546">
              <w:rPr>
                <w:rFonts w:asciiTheme="minorHAnsi" w:hAnsiTheme="minorHAnsi" w:cs="Calibri Light"/>
                <w:spacing w:val="1"/>
                <w:sz w:val="20"/>
                <w:szCs w:val="20"/>
              </w:rPr>
              <w:t>Montant indexé (Année 2021)</w:t>
            </w:r>
          </w:p>
        </w:tc>
      </w:tr>
      <w:tr w:rsidR="00902733" w:rsidRPr="00B05546" w14:paraId="4C4717C9" w14:textId="77777777" w:rsidTr="008D7EB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5B771" w14:textId="77777777" w:rsidR="00902733" w:rsidRPr="00B05546" w:rsidRDefault="00902733" w:rsidP="00CF3029">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B05546">
              <w:rPr>
                <w:rFonts w:asciiTheme="minorHAnsi" w:hAnsiTheme="minorHAnsi" w:cs="Calibri Light"/>
                <w:spacing w:val="1"/>
                <w:sz w:val="20"/>
                <w:szCs w:val="20"/>
              </w:rPr>
              <w:t>pour</w:t>
            </w:r>
            <w:proofErr w:type="gramEnd"/>
            <w:r w:rsidRPr="00B05546">
              <w:rPr>
                <w:rFonts w:asciiTheme="minorHAnsi" w:hAnsiTheme="minorHAnsi" w:cs="Calibri Light"/>
                <w:spacing w:val="1"/>
                <w:sz w:val="20"/>
                <w:szCs w:val="20"/>
              </w:rPr>
              <w:t xml:space="preserve"> le traitement des demandes de certificat d’urbanisme n°1 </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25DD8" w14:textId="6A5A9797" w:rsidR="00902733" w:rsidRPr="00B05546" w:rsidRDefault="00902733" w:rsidP="008D7EB7">
            <w:pPr>
              <w:tabs>
                <w:tab w:val="left" w:pos="360"/>
                <w:tab w:val="left" w:pos="567"/>
              </w:tabs>
              <w:spacing w:before="120"/>
              <w:contextualSpacing/>
              <w:jc w:val="right"/>
              <w:textAlignment w:val="baseline"/>
              <w:rPr>
                <w:rFonts w:asciiTheme="minorHAnsi" w:hAnsiTheme="minorHAnsi" w:cs="Calibri Light"/>
                <w:spacing w:val="1"/>
                <w:sz w:val="20"/>
                <w:szCs w:val="20"/>
              </w:rPr>
            </w:pPr>
            <w:r w:rsidRPr="00B05546">
              <w:rPr>
                <w:rFonts w:asciiTheme="minorHAnsi" w:hAnsiTheme="minorHAnsi" w:cs="Calibri Light"/>
                <w:spacing w:val="1"/>
                <w:sz w:val="20"/>
                <w:szCs w:val="20"/>
              </w:rPr>
              <w:t xml:space="preserve">60,00 </w:t>
            </w:r>
            <w:r w:rsidR="009A56F6" w:rsidRPr="00B05546">
              <w:rPr>
                <w:rFonts w:asciiTheme="minorHAnsi" w:hAnsiTheme="minorHAnsi" w:cs="Calibri Light"/>
                <w:spacing w:val="1"/>
                <w:sz w:val="20"/>
                <w:szCs w:val="20"/>
              </w:rPr>
              <w:t>euros</w:t>
            </w:r>
          </w:p>
        </w:tc>
      </w:tr>
      <w:tr w:rsidR="00902733" w:rsidRPr="00B05546" w14:paraId="75AF8BE4" w14:textId="77777777" w:rsidTr="008D7EB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85E92" w14:textId="77777777" w:rsidR="00902733" w:rsidRPr="00B05546" w:rsidRDefault="00902733" w:rsidP="00CF3029">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B05546">
              <w:rPr>
                <w:rFonts w:asciiTheme="minorHAnsi" w:hAnsiTheme="minorHAnsi" w:cs="Calibri Light"/>
                <w:spacing w:val="1"/>
                <w:sz w:val="20"/>
                <w:szCs w:val="20"/>
              </w:rPr>
              <w:t>pour</w:t>
            </w:r>
            <w:proofErr w:type="gramEnd"/>
            <w:r w:rsidRPr="00B05546">
              <w:rPr>
                <w:rFonts w:asciiTheme="minorHAnsi" w:hAnsiTheme="minorHAnsi" w:cs="Calibri Light"/>
                <w:spacing w:val="1"/>
                <w:sz w:val="20"/>
                <w:szCs w:val="20"/>
              </w:rPr>
              <w:t xml:space="preserve"> le traitement des demandes de permis d'urbanisme, de permis d’urbanisation (de lotir) et de certificat d’urbanisme n°2</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0F6F8" w14:textId="7DA97D31" w:rsidR="00902733" w:rsidRPr="00B05546" w:rsidRDefault="00902733" w:rsidP="008D7EB7">
            <w:pPr>
              <w:tabs>
                <w:tab w:val="left" w:pos="360"/>
                <w:tab w:val="left" w:pos="567"/>
              </w:tabs>
              <w:spacing w:before="120"/>
              <w:contextualSpacing/>
              <w:jc w:val="right"/>
              <w:textAlignment w:val="baseline"/>
              <w:rPr>
                <w:rFonts w:asciiTheme="minorHAnsi" w:hAnsiTheme="minorHAnsi" w:cs="Calibri Light"/>
                <w:spacing w:val="1"/>
                <w:sz w:val="20"/>
                <w:szCs w:val="20"/>
              </w:rPr>
            </w:pPr>
            <w:r w:rsidRPr="00B05546">
              <w:rPr>
                <w:rFonts w:asciiTheme="minorHAnsi" w:hAnsiTheme="minorHAnsi" w:cs="Calibri Light"/>
                <w:spacing w:val="1"/>
                <w:sz w:val="20"/>
                <w:szCs w:val="20"/>
              </w:rPr>
              <w:t xml:space="preserve">200,00 </w:t>
            </w:r>
            <w:r w:rsidR="009A56F6" w:rsidRPr="00B05546">
              <w:rPr>
                <w:rFonts w:asciiTheme="minorHAnsi" w:hAnsiTheme="minorHAnsi" w:cs="Calibri Light"/>
                <w:spacing w:val="1"/>
                <w:sz w:val="20"/>
                <w:szCs w:val="20"/>
              </w:rPr>
              <w:t>euros</w:t>
            </w:r>
          </w:p>
        </w:tc>
      </w:tr>
      <w:tr w:rsidR="00902733" w:rsidRPr="00B05546" w14:paraId="53B4448D" w14:textId="77777777" w:rsidTr="008D7EB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69725" w14:textId="77777777" w:rsidR="00902733" w:rsidRPr="00B05546" w:rsidRDefault="00902733" w:rsidP="00CF3029">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B05546">
              <w:rPr>
                <w:rFonts w:asciiTheme="minorHAnsi" w:hAnsiTheme="minorHAnsi" w:cs="Calibri Light"/>
                <w:spacing w:val="1"/>
                <w:sz w:val="20"/>
                <w:szCs w:val="20"/>
              </w:rPr>
              <w:t>pour</w:t>
            </w:r>
            <w:proofErr w:type="gramEnd"/>
            <w:r w:rsidRPr="00B05546">
              <w:rPr>
                <w:rFonts w:asciiTheme="minorHAnsi" w:hAnsiTheme="minorHAnsi" w:cs="Calibri Light"/>
                <w:spacing w:val="1"/>
                <w:sz w:val="20"/>
                <w:szCs w:val="20"/>
              </w:rPr>
              <w:t xml:space="preserve"> le traitement des demandes de permis d’urbanisme de constructions groupées, les permis d’urbanisme ou certificats avec écart du schéma de développement du territoire ou avec dérogation au plan de secteur</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29894" w14:textId="5BCCAA37" w:rsidR="00902733" w:rsidRPr="00B05546" w:rsidRDefault="00902733" w:rsidP="008D7EB7">
            <w:pPr>
              <w:tabs>
                <w:tab w:val="left" w:pos="360"/>
                <w:tab w:val="left" w:pos="567"/>
              </w:tabs>
              <w:spacing w:before="120"/>
              <w:contextualSpacing/>
              <w:jc w:val="right"/>
              <w:textAlignment w:val="baseline"/>
              <w:rPr>
                <w:rFonts w:asciiTheme="minorHAnsi" w:hAnsiTheme="minorHAnsi" w:cs="Calibri Light"/>
                <w:spacing w:val="1"/>
                <w:sz w:val="20"/>
                <w:szCs w:val="20"/>
              </w:rPr>
            </w:pPr>
            <w:r w:rsidRPr="00B05546">
              <w:rPr>
                <w:rFonts w:asciiTheme="minorHAnsi" w:hAnsiTheme="minorHAnsi" w:cs="Calibri Light"/>
                <w:spacing w:val="1"/>
                <w:sz w:val="20"/>
                <w:szCs w:val="20"/>
              </w:rPr>
              <w:t xml:space="preserve">350,00 </w:t>
            </w:r>
            <w:r w:rsidR="009A56F6" w:rsidRPr="00B05546">
              <w:rPr>
                <w:rFonts w:asciiTheme="minorHAnsi" w:hAnsiTheme="minorHAnsi" w:cs="Calibri Light"/>
                <w:spacing w:val="1"/>
                <w:sz w:val="20"/>
                <w:szCs w:val="20"/>
              </w:rPr>
              <w:t>euros</w:t>
            </w:r>
          </w:p>
        </w:tc>
      </w:tr>
      <w:tr w:rsidR="00015403" w:rsidRPr="00B05546" w14:paraId="7A6B1F97" w14:textId="77777777" w:rsidTr="00476138">
        <w:trPr>
          <w:trHeight w:val="781"/>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6A672" w14:textId="202B808A" w:rsidR="00015403" w:rsidRPr="00015403" w:rsidRDefault="00015403" w:rsidP="00015403">
            <w:pPr>
              <w:pStyle w:val="Paragraphedeliste"/>
              <w:numPr>
                <w:ilvl w:val="0"/>
                <w:numId w:val="120"/>
              </w:numPr>
              <w:rPr>
                <w:rFonts w:asciiTheme="minorHAnsi" w:hAnsiTheme="minorHAnsi" w:cs="Calibri Light"/>
                <w:spacing w:val="1"/>
                <w:sz w:val="20"/>
                <w:szCs w:val="20"/>
              </w:rPr>
            </w:pPr>
            <w:proofErr w:type="gramStart"/>
            <w:r w:rsidRPr="00015403">
              <w:rPr>
                <w:rFonts w:asciiTheme="minorHAnsi" w:hAnsiTheme="minorHAnsi" w:cs="Calibri Light"/>
                <w:spacing w:val="1"/>
                <w:sz w:val="20"/>
                <w:szCs w:val="20"/>
              </w:rPr>
              <w:t>pour</w:t>
            </w:r>
            <w:proofErr w:type="gramEnd"/>
            <w:r w:rsidRPr="00015403">
              <w:rPr>
                <w:rFonts w:asciiTheme="minorHAnsi" w:hAnsiTheme="minorHAnsi" w:cs="Calibri Light"/>
                <w:spacing w:val="1"/>
                <w:sz w:val="20"/>
                <w:szCs w:val="20"/>
              </w:rPr>
              <w:t xml:space="preserve"> l'indication sur place de l'implantation et l'établissement du procès-verbal y afférent (visés à l'article D.IV.72 du </w:t>
            </w:r>
            <w:proofErr w:type="spellStart"/>
            <w:r w:rsidRPr="00015403">
              <w:rPr>
                <w:rFonts w:asciiTheme="minorHAnsi" w:hAnsiTheme="minorHAnsi" w:cs="Calibri Light"/>
                <w:spacing w:val="1"/>
                <w:sz w:val="20"/>
                <w:szCs w:val="20"/>
              </w:rPr>
              <w:t>CoDT</w:t>
            </w:r>
            <w:proofErr w:type="spellEnd"/>
            <w:r w:rsidRPr="00015403">
              <w:rPr>
                <w:rFonts w:asciiTheme="minorHAnsi" w:hAnsiTheme="minorHAnsi" w:cs="Calibri Light"/>
                <w:spacing w:val="1"/>
                <w:sz w:val="20"/>
                <w:szCs w:val="20"/>
              </w:rPr>
              <w:t>)</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13F02" w14:textId="04EB89C9" w:rsidR="00015403" w:rsidRPr="00B05546" w:rsidRDefault="00015403" w:rsidP="008D7EB7">
            <w:pPr>
              <w:tabs>
                <w:tab w:val="left" w:pos="360"/>
                <w:tab w:val="left" w:pos="567"/>
              </w:tabs>
              <w:spacing w:before="120"/>
              <w:contextualSpacing/>
              <w:jc w:val="right"/>
              <w:textAlignment w:val="baseline"/>
              <w:rPr>
                <w:rFonts w:asciiTheme="minorHAnsi" w:hAnsiTheme="minorHAnsi" w:cs="Calibri Light"/>
                <w:spacing w:val="1"/>
                <w:sz w:val="20"/>
                <w:szCs w:val="20"/>
              </w:rPr>
            </w:pPr>
            <w:r w:rsidRPr="00015403">
              <w:rPr>
                <w:rFonts w:asciiTheme="minorHAnsi" w:hAnsiTheme="minorHAnsi" w:cs="Calibri Light"/>
                <w:spacing w:val="1"/>
                <w:sz w:val="20"/>
                <w:szCs w:val="20"/>
              </w:rPr>
              <w:t>300,00 euros</w:t>
            </w:r>
          </w:p>
        </w:tc>
      </w:tr>
      <w:tr w:rsidR="00015403" w:rsidRPr="00B05546" w14:paraId="3D0B6E36" w14:textId="77777777" w:rsidTr="00476138">
        <w:trPr>
          <w:trHeight w:val="200"/>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93AD6" w14:textId="31BC36A1" w:rsidR="00015403" w:rsidRPr="00B05546" w:rsidRDefault="00015403" w:rsidP="00CF3029">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Pr>
                <w:rFonts w:asciiTheme="minorHAnsi" w:hAnsiTheme="minorHAnsi" w:cs="Calibri Light"/>
                <w:spacing w:val="1"/>
                <w:sz w:val="20"/>
                <w:szCs w:val="20"/>
              </w:rPr>
              <w:t>pour</w:t>
            </w:r>
            <w:proofErr w:type="gramEnd"/>
            <w:r>
              <w:rPr>
                <w:rFonts w:asciiTheme="minorHAnsi" w:hAnsiTheme="minorHAnsi" w:cs="Calibri Light"/>
                <w:spacing w:val="1"/>
                <w:sz w:val="20"/>
                <w:szCs w:val="20"/>
              </w:rPr>
              <w:t xml:space="preserve"> </w:t>
            </w:r>
            <w:r w:rsidR="000E5E94" w:rsidRPr="000E5E94">
              <w:rPr>
                <w:rFonts w:asciiTheme="minorHAnsi" w:hAnsiTheme="minorHAnsi" w:cs="Calibri Light"/>
                <w:spacing w:val="1"/>
                <w:sz w:val="20"/>
                <w:szCs w:val="20"/>
              </w:rPr>
              <w:t xml:space="preserve">le traitement des demandes de </w:t>
            </w:r>
            <w:r>
              <w:rPr>
                <w:rFonts w:asciiTheme="minorHAnsi" w:hAnsiTheme="minorHAnsi" w:cs="Calibri Light"/>
                <w:spacing w:val="1"/>
                <w:sz w:val="20"/>
                <w:szCs w:val="20"/>
              </w:rPr>
              <w:t xml:space="preserve">permis </w:t>
            </w:r>
            <w:r w:rsidR="000A248A">
              <w:rPr>
                <w:rFonts w:asciiTheme="minorHAnsi" w:hAnsiTheme="minorHAnsi" w:cs="Calibri Light"/>
                <w:spacing w:val="1"/>
                <w:sz w:val="20"/>
                <w:szCs w:val="20"/>
              </w:rPr>
              <w:t xml:space="preserve">d’urbanisme </w:t>
            </w:r>
            <w:r>
              <w:rPr>
                <w:rFonts w:asciiTheme="minorHAnsi" w:hAnsiTheme="minorHAnsi" w:cs="Calibri Light"/>
                <w:spacing w:val="1"/>
                <w:sz w:val="20"/>
                <w:szCs w:val="20"/>
              </w:rPr>
              <w:t>de régularisation</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31077" w14:textId="6A3A4BFF" w:rsidR="00015403" w:rsidRPr="00B05546" w:rsidRDefault="00015403" w:rsidP="008D7EB7">
            <w:pPr>
              <w:tabs>
                <w:tab w:val="left" w:pos="360"/>
                <w:tab w:val="left" w:pos="567"/>
              </w:tabs>
              <w:spacing w:before="120"/>
              <w:contextualSpacing/>
              <w:jc w:val="right"/>
              <w:textAlignment w:val="baseline"/>
              <w:rPr>
                <w:rFonts w:asciiTheme="minorHAnsi" w:hAnsiTheme="minorHAnsi" w:cs="Calibri Light"/>
                <w:spacing w:val="1"/>
                <w:sz w:val="20"/>
                <w:szCs w:val="20"/>
              </w:rPr>
            </w:pPr>
            <w:r>
              <w:rPr>
                <w:rFonts w:asciiTheme="minorHAnsi" w:hAnsiTheme="minorHAnsi" w:cs="Calibri Light"/>
                <w:spacing w:val="1"/>
                <w:sz w:val="20"/>
                <w:szCs w:val="20"/>
              </w:rPr>
              <w:t>5</w:t>
            </w:r>
            <w:r w:rsidRPr="00B05546">
              <w:rPr>
                <w:rFonts w:asciiTheme="minorHAnsi" w:hAnsiTheme="minorHAnsi" w:cs="Calibri Light"/>
                <w:spacing w:val="1"/>
                <w:sz w:val="20"/>
                <w:szCs w:val="20"/>
              </w:rPr>
              <w:t>00,00 euros</w:t>
            </w:r>
          </w:p>
        </w:tc>
      </w:tr>
    </w:tbl>
    <w:p w14:paraId="4F26E648" w14:textId="20AEBE74" w:rsidR="00015403" w:rsidRDefault="00015403" w:rsidP="00327E72">
      <w:pPr>
        <w:tabs>
          <w:tab w:val="right" w:pos="8352"/>
        </w:tabs>
        <w:spacing w:before="120"/>
        <w:jc w:val="both"/>
        <w:textAlignment w:val="baseline"/>
        <w:rPr>
          <w:rFonts w:asciiTheme="minorHAnsi" w:hAnsiTheme="minorHAnsi" w:cs="Calibri Light"/>
        </w:rPr>
      </w:pPr>
      <w:r>
        <w:rPr>
          <w:rFonts w:asciiTheme="minorHAnsi" w:hAnsiTheme="minorHAnsi" w:cs="Calibri Light"/>
        </w:rPr>
        <w:t xml:space="preserve">En ce qui concerne le permis </w:t>
      </w:r>
      <w:r w:rsidR="000A248A">
        <w:rPr>
          <w:rFonts w:asciiTheme="minorHAnsi" w:hAnsiTheme="minorHAnsi" w:cs="Calibri Light"/>
        </w:rPr>
        <w:t xml:space="preserve">d’urbanisme </w:t>
      </w:r>
      <w:r>
        <w:rPr>
          <w:rFonts w:asciiTheme="minorHAnsi" w:hAnsiTheme="minorHAnsi" w:cs="Calibri Light"/>
        </w:rPr>
        <w:t>de régularisation, si l’on peut comprendre que l’instruction d’un tel permis nécessite un travail spécifique et des recherches</w:t>
      </w:r>
      <w:r w:rsidR="001D2329">
        <w:rPr>
          <w:rFonts w:asciiTheme="minorHAnsi" w:hAnsiTheme="minorHAnsi" w:cs="Calibri Light"/>
        </w:rPr>
        <w:t>,</w:t>
      </w:r>
      <w:r>
        <w:rPr>
          <w:rFonts w:asciiTheme="minorHAnsi" w:hAnsiTheme="minorHAnsi" w:cs="Calibri Light"/>
        </w:rPr>
        <w:t xml:space="preserve"> il convient de rappeler qu’en aucun cas le forfait demand</w:t>
      </w:r>
      <w:r w:rsidR="001D2329">
        <w:rPr>
          <w:rFonts w:asciiTheme="minorHAnsi" w:hAnsiTheme="minorHAnsi" w:cs="Calibri Light"/>
        </w:rPr>
        <w:t>é</w:t>
      </w:r>
      <w:r>
        <w:rPr>
          <w:rFonts w:asciiTheme="minorHAnsi" w:hAnsiTheme="minorHAnsi" w:cs="Calibri Light"/>
        </w:rPr>
        <w:t xml:space="preserve"> ne doit être susceptible d’être requalifié en amende ou sanction. Il convient donc d’être particulièrement attentif </w:t>
      </w:r>
      <w:r w:rsidR="000A248A">
        <w:rPr>
          <w:rFonts w:asciiTheme="minorHAnsi" w:hAnsiTheme="minorHAnsi" w:cs="Calibri Light"/>
        </w:rPr>
        <w:t>afin d’éviter une disproportion entre le</w:t>
      </w:r>
      <w:r>
        <w:rPr>
          <w:rFonts w:asciiTheme="minorHAnsi" w:hAnsiTheme="minorHAnsi" w:cs="Calibri Light"/>
        </w:rPr>
        <w:t xml:space="preserve"> montant fixé </w:t>
      </w:r>
      <w:r w:rsidR="000A248A">
        <w:rPr>
          <w:rFonts w:asciiTheme="minorHAnsi" w:hAnsiTheme="minorHAnsi" w:cs="Calibri Light"/>
        </w:rPr>
        <w:t xml:space="preserve">pour la régularisation et les </w:t>
      </w:r>
      <w:r>
        <w:rPr>
          <w:rFonts w:asciiTheme="minorHAnsi" w:hAnsiTheme="minorHAnsi" w:cs="Calibri Light"/>
        </w:rPr>
        <w:t>montants réclamés en cas de demande de permis</w:t>
      </w:r>
      <w:r w:rsidR="001D2329">
        <w:rPr>
          <w:rFonts w:asciiTheme="minorHAnsi" w:hAnsiTheme="minorHAnsi" w:cs="Calibri Light"/>
        </w:rPr>
        <w:t xml:space="preserve"> respectant la procédure « normale ».</w:t>
      </w:r>
    </w:p>
    <w:p w14:paraId="43456E07" w14:textId="5B264AE8" w:rsidR="001D2329" w:rsidRDefault="001D2329" w:rsidP="00327E72">
      <w:pPr>
        <w:tabs>
          <w:tab w:val="right" w:pos="8352"/>
        </w:tabs>
        <w:spacing w:before="120"/>
        <w:jc w:val="both"/>
        <w:textAlignment w:val="baseline"/>
        <w:rPr>
          <w:rFonts w:asciiTheme="minorHAnsi" w:hAnsiTheme="minorHAnsi" w:cs="Calibri Light"/>
        </w:rPr>
      </w:pPr>
      <w:r>
        <w:rPr>
          <w:rFonts w:asciiTheme="minorHAnsi" w:hAnsiTheme="minorHAnsi" w:cs="Calibri Light"/>
        </w:rPr>
        <w:t>L’idéal serait d’établir le montant du permis de régularisation en fonction des différents types de permis. Par ailleurs, si vous souhaitez</w:t>
      </w:r>
      <w:r w:rsidR="008219FF">
        <w:rPr>
          <w:rFonts w:asciiTheme="minorHAnsi" w:hAnsiTheme="minorHAnsi" w:cs="Calibri Light"/>
        </w:rPr>
        <w:t xml:space="preserve"> adopter un montant forfaitaire supérieur à 500 euros, </w:t>
      </w:r>
      <w:r w:rsidR="00EA3B5D">
        <w:rPr>
          <w:rFonts w:asciiTheme="minorHAnsi" w:hAnsiTheme="minorHAnsi" w:cs="Calibri Light"/>
        </w:rPr>
        <w:t>le préambule devra impérativement contenir</w:t>
      </w:r>
      <w:r w:rsidR="008219FF">
        <w:rPr>
          <w:rFonts w:asciiTheme="minorHAnsi" w:hAnsiTheme="minorHAnsi" w:cs="Calibri Light"/>
        </w:rPr>
        <w:t xml:space="preserve"> une justification chiffrée et détaillée des éléments qui composent ce montant.</w:t>
      </w:r>
    </w:p>
    <w:p w14:paraId="7F7B207A" w14:textId="5C1F03C1" w:rsidR="00C047DC" w:rsidRDefault="00327E72" w:rsidP="00327E72">
      <w:pPr>
        <w:tabs>
          <w:tab w:val="right" w:pos="8352"/>
        </w:tabs>
        <w:spacing w:before="120"/>
        <w:jc w:val="both"/>
        <w:textAlignment w:val="baseline"/>
        <w:rPr>
          <w:rFonts w:asciiTheme="minorHAnsi" w:hAnsiTheme="minorHAnsi" w:cs="Calibri Light"/>
        </w:rPr>
      </w:pPr>
      <w:r w:rsidRPr="008D7EB7">
        <w:rPr>
          <w:rFonts w:asciiTheme="minorHAnsi" w:hAnsiTheme="minorHAnsi" w:cs="Calibri Light"/>
        </w:rPr>
        <w:t>Dans l’hypothèse où le règlement-redevance prévoit des forfaits, on peut toujours y prévoir une disposition qui précise que si le traitement du dossier entraîne une dépense supérieure au taux forfaitaire prévu pour la catégorie concernée, le coût sera facturé sur base d'un décompte des frais réels. A défaut de prévoir une disposition en ce sens, la commune serait dans l'impossibilité de se rémunérer correctement et de récupérer la différence entre le coût réel et le forfait établi.</w:t>
      </w:r>
    </w:p>
    <w:p w14:paraId="57B85255" w14:textId="46DE1567" w:rsidR="003D6247" w:rsidRPr="008D7EB7" w:rsidRDefault="009B153C" w:rsidP="008D7EB7">
      <w:pPr>
        <w:pStyle w:val="Sam4"/>
        <w:numPr>
          <w:ilvl w:val="0"/>
          <w:numId w:val="272"/>
        </w:numPr>
      </w:pPr>
      <w:bookmarkStart w:id="5025" w:name="_Toc40185524"/>
      <w:bookmarkStart w:id="5026" w:name="_Toc40186259"/>
      <w:bookmarkStart w:id="5027" w:name="_Toc40185525"/>
      <w:bookmarkStart w:id="5028" w:name="_Toc40186260"/>
      <w:bookmarkStart w:id="5029" w:name="_Toc40185526"/>
      <w:bookmarkStart w:id="5030" w:name="_Toc40186261"/>
      <w:bookmarkStart w:id="5031" w:name="_Toc40185527"/>
      <w:bookmarkStart w:id="5032" w:name="_Toc40186262"/>
      <w:bookmarkStart w:id="5033" w:name="_Toc74557737"/>
      <w:bookmarkEnd w:id="5025"/>
      <w:bookmarkEnd w:id="5026"/>
      <w:bookmarkEnd w:id="5027"/>
      <w:bookmarkEnd w:id="5028"/>
      <w:bookmarkEnd w:id="5029"/>
      <w:bookmarkEnd w:id="5030"/>
      <w:bookmarkEnd w:id="5031"/>
      <w:bookmarkEnd w:id="5032"/>
      <w:r w:rsidRPr="008D7EB7">
        <w:lastRenderedPageBreak/>
        <w:t>Travaux administratifs spéciaux</w:t>
      </w:r>
      <w:bookmarkEnd w:id="5033"/>
      <w:r w:rsidRPr="008D7EB7">
        <w:t xml:space="preserve"> </w:t>
      </w:r>
    </w:p>
    <w:bookmarkEnd w:id="5024"/>
    <w:p w14:paraId="65025691" w14:textId="77777777" w:rsidR="008F37ED" w:rsidRDefault="008F37ED" w:rsidP="003D6247">
      <w:pPr>
        <w:tabs>
          <w:tab w:val="left" w:pos="360"/>
          <w:tab w:val="left" w:pos="567"/>
        </w:tabs>
        <w:spacing w:before="120"/>
        <w:contextualSpacing/>
        <w:jc w:val="both"/>
        <w:textAlignment w:val="baseline"/>
        <w:rPr>
          <w:rFonts w:asciiTheme="minorHAnsi" w:hAnsiTheme="minorHAnsi" w:cs="Calibri Light"/>
          <w:spacing w:val="1"/>
        </w:rPr>
      </w:pPr>
    </w:p>
    <w:p w14:paraId="1E1436D4" w14:textId="69F64FF6" w:rsidR="009B153C" w:rsidRPr="00902733" w:rsidRDefault="009B153C" w:rsidP="003D6247">
      <w:pPr>
        <w:tabs>
          <w:tab w:val="left" w:pos="360"/>
          <w:tab w:val="left" w:pos="567"/>
        </w:tabs>
        <w:spacing w:before="120"/>
        <w:contextualSpacing/>
        <w:jc w:val="both"/>
        <w:textAlignment w:val="baseline"/>
        <w:rPr>
          <w:rFonts w:asciiTheme="minorHAnsi" w:hAnsiTheme="minorHAnsi" w:cs="Calibri Light"/>
        </w:rPr>
      </w:pPr>
      <w:r w:rsidRPr="00DA6BD2">
        <w:rPr>
          <w:rFonts w:asciiTheme="minorHAnsi" w:hAnsiTheme="minorHAnsi" w:cs="Calibri Light"/>
          <w:spacing w:val="1"/>
        </w:rPr>
        <w:t xml:space="preserve">La redevance pour des travaux administratifs spéciaux sera </w:t>
      </w:r>
      <w:r w:rsidRPr="00DA6BD2">
        <w:rPr>
          <w:rFonts w:asciiTheme="minorHAnsi" w:hAnsiTheme="minorHAnsi" w:cs="Calibri Light"/>
        </w:rPr>
        <w:t xml:space="preserve">établie en fonction des frais réels (temps, coût salarial, autres charges). Une redevance pourra être prévue pour récupérer les frais engagés par la commune lors de l'établissement de dossiers sortant du cadre habituel des services rendus (délivrance de permis présentant un caractère exceptionnel, frais d'enquêtes publiques, </w:t>
      </w:r>
      <w:r w:rsidR="003D6247" w:rsidRPr="008D7EB7">
        <w:rPr>
          <w:rFonts w:asciiTheme="minorHAnsi" w:hAnsiTheme="minorHAnsi" w:cs="Calibri Light"/>
          <w:spacing w:val="1"/>
        </w:rPr>
        <w:t>demande de création, de modification, de confirmation ou de suppression d’une voirie communale sur base du décret relatif à la voirie communale du 6</w:t>
      </w:r>
      <w:r w:rsidR="00C047DC">
        <w:rPr>
          <w:rFonts w:asciiTheme="minorHAnsi" w:hAnsiTheme="minorHAnsi" w:cs="Calibri Light"/>
          <w:spacing w:val="1"/>
        </w:rPr>
        <w:t xml:space="preserve"> février </w:t>
      </w:r>
      <w:r w:rsidR="003D6247" w:rsidRPr="008D7EB7">
        <w:rPr>
          <w:rFonts w:asciiTheme="minorHAnsi" w:hAnsiTheme="minorHAnsi" w:cs="Calibri Light"/>
          <w:spacing w:val="1"/>
        </w:rPr>
        <w:t xml:space="preserve">2014, </w:t>
      </w:r>
      <w:r w:rsidRPr="00902733">
        <w:rPr>
          <w:rFonts w:asciiTheme="minorHAnsi" w:hAnsiTheme="minorHAnsi" w:cs="Calibri Light"/>
        </w:rPr>
        <w:t>etc.).</w:t>
      </w:r>
    </w:p>
    <w:p w14:paraId="08882A0D" w14:textId="7FC4E3AA" w:rsidR="009B153C" w:rsidRDefault="00385431" w:rsidP="00E063FD">
      <w:pPr>
        <w:spacing w:before="120"/>
        <w:jc w:val="both"/>
        <w:textAlignment w:val="baseline"/>
        <w:rPr>
          <w:rFonts w:asciiTheme="minorHAnsi" w:hAnsiTheme="minorHAnsi" w:cs="Calibri Light"/>
        </w:rPr>
      </w:pPr>
      <w:r>
        <w:rPr>
          <w:rFonts w:asciiTheme="minorHAnsi" w:hAnsiTheme="minorHAnsi" w:cs="Calibri Light"/>
        </w:rPr>
        <w:t>Les</w:t>
      </w:r>
      <w:r w:rsidR="009B153C" w:rsidRPr="00DA6BD2">
        <w:rPr>
          <w:rFonts w:asciiTheme="minorHAnsi" w:hAnsiTheme="minorHAnsi" w:cs="Calibri Light"/>
        </w:rPr>
        <w:t xml:space="preserve"> communes sont tenues de rembourser la redevance dans les cas visés à l’article D.IV.47§4 (à savoir</w:t>
      </w:r>
      <w:r w:rsidR="0067312E">
        <w:rPr>
          <w:rFonts w:asciiTheme="minorHAnsi" w:hAnsiTheme="minorHAnsi" w:cs="Calibri Light"/>
        </w:rPr>
        <w:t>,</w:t>
      </w:r>
      <w:r w:rsidR="009B153C" w:rsidRPr="00DA6BD2">
        <w:rPr>
          <w:rFonts w:asciiTheme="minorHAnsi" w:hAnsiTheme="minorHAnsi" w:cs="Calibri Light"/>
        </w:rPr>
        <w:t xml:space="preserve"> lorsque la commune n’a pas rendu, dans le délai prescrit, sa décision sur les demandes de permis et de Certificats d’urbanisme n°2).</w:t>
      </w:r>
    </w:p>
    <w:p w14:paraId="57D163A0" w14:textId="77777777" w:rsidR="008F37ED" w:rsidRDefault="008F37ED" w:rsidP="00E063FD">
      <w:pPr>
        <w:spacing w:before="120"/>
        <w:jc w:val="both"/>
        <w:textAlignment w:val="baseline"/>
        <w:rPr>
          <w:rFonts w:asciiTheme="minorHAnsi" w:hAnsiTheme="minorHAnsi" w:cs="Calibri Light"/>
        </w:rPr>
      </w:pPr>
    </w:p>
    <w:p w14:paraId="267A5520" w14:textId="4F3B5324" w:rsidR="003D6247" w:rsidRPr="008D7EB7" w:rsidRDefault="003D6247" w:rsidP="008D7EB7">
      <w:pPr>
        <w:pStyle w:val="Sam4"/>
        <w:numPr>
          <w:ilvl w:val="0"/>
          <w:numId w:val="272"/>
        </w:numPr>
      </w:pPr>
      <w:bookmarkStart w:id="5034" w:name="_Toc40185529"/>
      <w:bookmarkStart w:id="5035" w:name="_Toc40186264"/>
      <w:bookmarkStart w:id="5036" w:name="_Toc34813752"/>
      <w:bookmarkStart w:id="5037" w:name="_Toc74557738"/>
      <w:bookmarkStart w:id="5038" w:name="_Hlk68534184"/>
      <w:bookmarkEnd w:id="5034"/>
      <w:bookmarkEnd w:id="5035"/>
      <w:r w:rsidRPr="008D7EB7">
        <w:t>Recherches généalogiques</w:t>
      </w:r>
      <w:bookmarkEnd w:id="5036"/>
      <w:bookmarkEnd w:id="5037"/>
    </w:p>
    <w:bookmarkEnd w:id="5038"/>
    <w:p w14:paraId="050B0CB7" w14:textId="77777777" w:rsidR="00882165" w:rsidRPr="00B05546" w:rsidRDefault="00882165" w:rsidP="003D6247">
      <w:pPr>
        <w:tabs>
          <w:tab w:val="left" w:pos="360"/>
          <w:tab w:val="left" w:pos="567"/>
        </w:tabs>
        <w:spacing w:before="120"/>
        <w:jc w:val="both"/>
        <w:textAlignment w:val="baseline"/>
        <w:rPr>
          <w:rFonts w:asciiTheme="minorHAnsi" w:hAnsiTheme="minorHAnsi" w:cstheme="minorHAnsi"/>
          <w:shd w:val="clear" w:color="auto" w:fill="FFFFFF"/>
        </w:rPr>
      </w:pPr>
      <w:r w:rsidRPr="00B05546">
        <w:rPr>
          <w:rFonts w:asciiTheme="minorHAnsi" w:hAnsiTheme="minorHAnsi" w:cstheme="minorHAnsi"/>
          <w:spacing w:val="1"/>
          <w:lang w:val="fr-BE"/>
        </w:rPr>
        <w:t xml:space="preserve">La loi du 21 décembre 2018 portant des dispositions diverses en matière de justice </w:t>
      </w:r>
      <w:r w:rsidRPr="00B05546">
        <w:rPr>
          <w:rStyle w:val="Appelnotedebasdep"/>
          <w:rFonts w:asciiTheme="minorHAnsi" w:hAnsiTheme="minorHAnsi" w:cstheme="minorHAnsi"/>
          <w:spacing w:val="1"/>
          <w:lang w:val="fr-BE"/>
        </w:rPr>
        <w:footnoteReference w:id="141"/>
      </w:r>
      <w:r w:rsidRPr="00B05546">
        <w:rPr>
          <w:rFonts w:asciiTheme="minorHAnsi" w:hAnsiTheme="minorHAnsi" w:cstheme="minorHAnsi"/>
          <w:spacing w:val="1"/>
          <w:lang w:val="fr-BE"/>
        </w:rPr>
        <w:t xml:space="preserve">a modifié depuis </w:t>
      </w:r>
      <w:r w:rsidRPr="00B05546">
        <w:rPr>
          <w:rFonts w:asciiTheme="minorHAnsi" w:hAnsiTheme="minorHAnsi" w:cstheme="minorHAnsi"/>
          <w:shd w:val="clear" w:color="auto" w:fill="FFFFFF"/>
        </w:rPr>
        <w:t>1er avril 2019, la législation concernant l’accès aux actes d’Etat civil.</w:t>
      </w:r>
    </w:p>
    <w:p w14:paraId="7F713177" w14:textId="77777777" w:rsidR="00882165" w:rsidRPr="00B05546" w:rsidRDefault="00882165" w:rsidP="003D6247">
      <w:pPr>
        <w:tabs>
          <w:tab w:val="left" w:pos="360"/>
          <w:tab w:val="left" w:pos="567"/>
        </w:tabs>
        <w:spacing w:before="120"/>
        <w:jc w:val="both"/>
        <w:textAlignment w:val="baseline"/>
        <w:rPr>
          <w:rFonts w:asciiTheme="minorHAnsi" w:hAnsiTheme="minorHAnsi" w:cstheme="minorHAnsi"/>
          <w:shd w:val="clear" w:color="auto" w:fill="FFFFFF"/>
        </w:rPr>
      </w:pPr>
      <w:r w:rsidRPr="00B05546">
        <w:rPr>
          <w:rFonts w:asciiTheme="minorHAnsi" w:hAnsiTheme="minorHAnsi" w:cstheme="minorHAnsi"/>
          <w:shd w:val="clear" w:color="auto" w:fill="FFFFFF"/>
        </w:rPr>
        <w:t>Les délais de communication des actes sont désormais les suivants :</w:t>
      </w:r>
    </w:p>
    <w:p w14:paraId="7687985C" w14:textId="20D8ADB5" w:rsidR="00882165" w:rsidRPr="00B05546" w:rsidRDefault="00882165" w:rsidP="00882165">
      <w:pPr>
        <w:pStyle w:val="Paragraphedeliste"/>
        <w:numPr>
          <w:ilvl w:val="0"/>
          <w:numId w:val="120"/>
        </w:numPr>
        <w:tabs>
          <w:tab w:val="left" w:pos="360"/>
          <w:tab w:val="left" w:pos="567"/>
        </w:tabs>
        <w:spacing w:before="120"/>
        <w:jc w:val="both"/>
        <w:textAlignment w:val="baseline"/>
        <w:rPr>
          <w:rFonts w:asciiTheme="minorHAnsi" w:hAnsiTheme="minorHAnsi" w:cstheme="minorHAnsi"/>
          <w:spacing w:val="1"/>
          <w:lang w:val="fr-BE"/>
        </w:rPr>
      </w:pPr>
      <w:r w:rsidRPr="00B05546">
        <w:rPr>
          <w:rFonts w:asciiTheme="minorHAnsi" w:hAnsiTheme="minorHAnsi" w:cstheme="minorHAnsi"/>
          <w:shd w:val="clear" w:color="auto" w:fill="FFFFFF"/>
        </w:rPr>
        <w:t xml:space="preserve">100 ans pour les </w:t>
      </w:r>
      <w:r w:rsidR="00331C15" w:rsidRPr="00B05546">
        <w:rPr>
          <w:rFonts w:asciiTheme="minorHAnsi" w:hAnsiTheme="minorHAnsi" w:cstheme="minorHAnsi"/>
          <w:shd w:val="clear" w:color="auto" w:fill="FFFFFF"/>
        </w:rPr>
        <w:t xml:space="preserve">autres </w:t>
      </w:r>
      <w:r w:rsidRPr="00B05546">
        <w:rPr>
          <w:rFonts w:asciiTheme="minorHAnsi" w:hAnsiTheme="minorHAnsi" w:cstheme="minorHAnsi"/>
          <w:shd w:val="clear" w:color="auto" w:fill="FFFFFF"/>
        </w:rPr>
        <w:t>actes</w:t>
      </w:r>
      <w:r w:rsidR="00331C15" w:rsidRPr="00B05546">
        <w:rPr>
          <w:rFonts w:asciiTheme="minorHAnsi" w:hAnsiTheme="minorHAnsi" w:cstheme="minorHAnsi"/>
          <w:shd w:val="clear" w:color="auto" w:fill="FFFFFF"/>
        </w:rPr>
        <w:t xml:space="preserve"> (actes</w:t>
      </w:r>
      <w:r w:rsidRPr="00B05546">
        <w:rPr>
          <w:rFonts w:asciiTheme="minorHAnsi" w:hAnsiTheme="minorHAnsi" w:cstheme="minorHAnsi"/>
          <w:shd w:val="clear" w:color="auto" w:fill="FFFFFF"/>
        </w:rPr>
        <w:t xml:space="preserve"> de naissance</w:t>
      </w:r>
      <w:r w:rsidR="00331C15" w:rsidRPr="00B05546">
        <w:rPr>
          <w:rFonts w:asciiTheme="minorHAnsi" w:hAnsiTheme="minorHAnsi" w:cstheme="minorHAnsi"/>
          <w:shd w:val="clear" w:color="auto" w:fill="FFFFFF"/>
        </w:rPr>
        <w:t>)</w:t>
      </w:r>
    </w:p>
    <w:p w14:paraId="7D0DEEDF" w14:textId="77777777" w:rsidR="00882165" w:rsidRPr="00B05546" w:rsidRDefault="00882165" w:rsidP="00882165">
      <w:pPr>
        <w:pStyle w:val="Paragraphedeliste"/>
        <w:numPr>
          <w:ilvl w:val="0"/>
          <w:numId w:val="120"/>
        </w:numPr>
        <w:tabs>
          <w:tab w:val="left" w:pos="360"/>
          <w:tab w:val="left" w:pos="567"/>
        </w:tabs>
        <w:spacing w:before="120"/>
        <w:jc w:val="both"/>
        <w:textAlignment w:val="baseline"/>
        <w:rPr>
          <w:rFonts w:asciiTheme="minorHAnsi" w:hAnsiTheme="minorHAnsi" w:cstheme="minorHAnsi"/>
          <w:spacing w:val="1"/>
          <w:lang w:val="fr-BE"/>
        </w:rPr>
      </w:pPr>
      <w:r w:rsidRPr="00B05546">
        <w:rPr>
          <w:rFonts w:asciiTheme="minorHAnsi" w:hAnsiTheme="minorHAnsi" w:cstheme="minorHAnsi"/>
          <w:shd w:val="clear" w:color="auto" w:fill="FFFFFF"/>
        </w:rPr>
        <w:t>75 ans pour les actes de mariage</w:t>
      </w:r>
    </w:p>
    <w:p w14:paraId="4DCD4FA5" w14:textId="77777777" w:rsidR="00882165" w:rsidRPr="00B05546" w:rsidRDefault="00882165" w:rsidP="00882165">
      <w:pPr>
        <w:pStyle w:val="Paragraphedeliste"/>
        <w:numPr>
          <w:ilvl w:val="0"/>
          <w:numId w:val="120"/>
        </w:numPr>
        <w:tabs>
          <w:tab w:val="left" w:pos="360"/>
          <w:tab w:val="left" w:pos="567"/>
        </w:tabs>
        <w:spacing w:before="120"/>
        <w:jc w:val="both"/>
        <w:textAlignment w:val="baseline"/>
        <w:rPr>
          <w:rFonts w:asciiTheme="minorHAnsi" w:hAnsiTheme="minorHAnsi" w:cstheme="minorHAnsi"/>
          <w:spacing w:val="1"/>
          <w:lang w:val="fr-BE"/>
        </w:rPr>
      </w:pPr>
      <w:r w:rsidRPr="00B05546">
        <w:rPr>
          <w:rFonts w:asciiTheme="minorHAnsi" w:hAnsiTheme="minorHAnsi" w:cstheme="minorHAnsi"/>
          <w:shd w:val="clear" w:color="auto" w:fill="FFFFFF"/>
        </w:rPr>
        <w:t xml:space="preserve">50 ans pour les actes de décès. </w:t>
      </w:r>
    </w:p>
    <w:p w14:paraId="5FE5F671" w14:textId="682B4E92" w:rsidR="00035571" w:rsidRDefault="00882165" w:rsidP="00035571">
      <w:pPr>
        <w:tabs>
          <w:tab w:val="left" w:pos="360"/>
          <w:tab w:val="left" w:pos="567"/>
        </w:tabs>
        <w:spacing w:before="120"/>
        <w:jc w:val="both"/>
        <w:textAlignment w:val="baseline"/>
        <w:rPr>
          <w:rFonts w:asciiTheme="minorHAnsi" w:hAnsiTheme="minorHAnsi" w:cs="Calibri Light"/>
          <w:spacing w:val="1"/>
          <w:lang w:val="fr-BE"/>
        </w:rPr>
      </w:pPr>
      <w:r w:rsidRPr="00B05546">
        <w:rPr>
          <w:rFonts w:asciiTheme="minorHAnsi" w:hAnsiTheme="minorHAnsi" w:cstheme="minorHAnsi"/>
          <w:shd w:val="clear" w:color="auto" w:fill="FFFFFF"/>
        </w:rPr>
        <w:t>En deçà de ces délais, il n’est pas possible actuellement d’obtenir de copies ou d’extraits des actes d’Etat civil excepté pour les autorités publiques, la personne que l'acte concerne, son conjoint ou son conjoint survivant, son représentant légal, ses ascendants/descendants en ligne directe, ses héritiers, leur notaire et leur avocat ou une personne ayant une autorisation explicite de la personne concernée</w:t>
      </w:r>
      <w:r w:rsidR="00035571" w:rsidRPr="00B05546">
        <w:rPr>
          <w:rFonts w:asciiTheme="minorHAnsi" w:hAnsiTheme="minorHAnsi" w:cs="Calibri Light"/>
          <w:spacing w:val="1"/>
          <w:lang w:val="fr-BE"/>
        </w:rPr>
        <w:t xml:space="preserve">. Si </w:t>
      </w:r>
      <w:r w:rsidR="00035571" w:rsidRPr="008D7EB7">
        <w:rPr>
          <w:rFonts w:asciiTheme="minorHAnsi" w:hAnsiTheme="minorHAnsi" w:cs="Calibri Light"/>
          <w:spacing w:val="1"/>
          <w:lang w:val="fr-BE"/>
        </w:rPr>
        <w:t>cette personne est décédée, l’autorisation d’un des héritiers suffit</w:t>
      </w:r>
      <w:r w:rsidR="00035571" w:rsidRPr="008D7EB7">
        <w:rPr>
          <w:rStyle w:val="Appelnotedebasdep"/>
          <w:rFonts w:asciiTheme="minorHAnsi" w:hAnsiTheme="minorHAnsi" w:cs="Calibri Light"/>
          <w:spacing w:val="1"/>
          <w:lang w:val="fr-BE"/>
        </w:rPr>
        <w:footnoteReference w:id="142"/>
      </w:r>
      <w:r w:rsidR="00035571" w:rsidRPr="008D7EB7">
        <w:rPr>
          <w:rFonts w:asciiTheme="minorHAnsi" w:hAnsiTheme="minorHAnsi" w:cs="Calibri Light"/>
          <w:spacing w:val="1"/>
          <w:lang w:val="fr-BE"/>
        </w:rPr>
        <w:t xml:space="preserve">. </w:t>
      </w:r>
    </w:p>
    <w:p w14:paraId="3E206CC4" w14:textId="5E2BCB37" w:rsidR="003D6247" w:rsidRPr="008D7EB7" w:rsidRDefault="003D6247" w:rsidP="003D6247">
      <w:pPr>
        <w:tabs>
          <w:tab w:val="left" w:pos="360"/>
          <w:tab w:val="left" w:pos="567"/>
        </w:tabs>
        <w:spacing w:before="120"/>
        <w:jc w:val="both"/>
        <w:textAlignment w:val="baseline"/>
        <w:rPr>
          <w:rFonts w:asciiTheme="minorHAnsi" w:hAnsiTheme="minorHAnsi" w:cs="Calibri Light"/>
          <w:spacing w:val="1"/>
          <w:lang w:val="fr-BE"/>
        </w:rPr>
      </w:pPr>
      <w:r w:rsidRPr="008D7EB7">
        <w:rPr>
          <w:rFonts w:asciiTheme="minorHAnsi" w:hAnsiTheme="minorHAnsi" w:cs="Calibri Light"/>
          <w:spacing w:val="1"/>
          <w:lang w:val="fr-BE"/>
        </w:rPr>
        <w:t>L'ancienne réglementation qui prévoyait la possibilité de demander l'autorisation du tribunal de la famille est caduque depuis le 1</w:t>
      </w:r>
      <w:r w:rsidRPr="008D7EB7">
        <w:rPr>
          <w:rFonts w:asciiTheme="minorHAnsi" w:hAnsiTheme="minorHAnsi" w:cs="Calibri Light"/>
          <w:spacing w:val="1"/>
          <w:vertAlign w:val="superscript"/>
          <w:lang w:val="fr-BE"/>
        </w:rPr>
        <w:t>er</w:t>
      </w:r>
      <w:r w:rsidRPr="008D7EB7">
        <w:rPr>
          <w:rFonts w:asciiTheme="minorHAnsi" w:hAnsiTheme="minorHAnsi" w:cs="Calibri Light"/>
          <w:spacing w:val="1"/>
          <w:lang w:val="fr-BE"/>
        </w:rPr>
        <w:t xml:space="preserve"> avril 2019. Les autorisations de recherches généalogiques, accordées par les tribunaux de première instance avant le 31 mars 2019 n'ont plus d'effet. </w:t>
      </w:r>
    </w:p>
    <w:p w14:paraId="31155107" w14:textId="0A44B9E1" w:rsidR="002504E8" w:rsidRPr="002504E8" w:rsidRDefault="00D6742C" w:rsidP="002504E8">
      <w:pPr>
        <w:tabs>
          <w:tab w:val="left" w:pos="360"/>
          <w:tab w:val="left" w:pos="567"/>
        </w:tabs>
        <w:spacing w:before="120"/>
        <w:jc w:val="both"/>
        <w:textAlignment w:val="baseline"/>
        <w:rPr>
          <w:rFonts w:asciiTheme="minorHAnsi" w:hAnsiTheme="minorHAnsi" w:cs="Calibri Light"/>
          <w:spacing w:val="1"/>
          <w:lang w:val="fr-BE"/>
        </w:rPr>
      </w:pPr>
      <w:r w:rsidRPr="00D6742C">
        <w:rPr>
          <w:rFonts w:asciiTheme="minorHAnsi" w:hAnsiTheme="minorHAnsi" w:cs="Calibri Light"/>
          <w:spacing w:val="1"/>
          <w:lang w:val="fr-BE"/>
        </w:rPr>
        <w:t>Depuis la rédaction et la sortie de la circulaire budgétaire 2020</w:t>
      </w:r>
      <w:r w:rsidR="003D6247" w:rsidRPr="00900C39">
        <w:rPr>
          <w:rFonts w:asciiTheme="minorHAnsi" w:hAnsiTheme="minorHAnsi" w:cs="Calibri Light"/>
          <w:spacing w:val="1"/>
          <w:lang w:val="fr-BE"/>
        </w:rPr>
        <w:t xml:space="preserve">, </w:t>
      </w:r>
      <w:r w:rsidRPr="00D6742C">
        <w:rPr>
          <w:rFonts w:asciiTheme="minorHAnsi" w:hAnsiTheme="minorHAnsi" w:cs="Calibri Light"/>
          <w:spacing w:val="1"/>
          <w:lang w:val="fr-BE"/>
        </w:rPr>
        <w:t xml:space="preserve">un projet d’arrêté royal relatif aux recherches à des fins généalogiques, historiques ou scientifiques dans les actes de l’état civil, et accordant l’accès à la BAEC aux Archives de l’État est en cours d’élaboration. </w:t>
      </w:r>
      <w:r w:rsidR="003D6247" w:rsidRPr="008D7EB7">
        <w:rPr>
          <w:rFonts w:asciiTheme="minorHAnsi" w:hAnsiTheme="minorHAnsi" w:cs="Calibri Light"/>
          <w:spacing w:val="1"/>
          <w:lang w:val="fr-BE"/>
        </w:rPr>
        <w:t xml:space="preserve"> </w:t>
      </w:r>
    </w:p>
    <w:p w14:paraId="2C4354DE" w14:textId="336CEB76" w:rsidR="002504E8" w:rsidRPr="002504E8" w:rsidRDefault="002504E8" w:rsidP="002504E8">
      <w:pPr>
        <w:tabs>
          <w:tab w:val="left" w:pos="360"/>
          <w:tab w:val="left" w:pos="567"/>
        </w:tabs>
        <w:spacing w:before="120"/>
        <w:jc w:val="both"/>
        <w:textAlignment w:val="baseline"/>
        <w:rPr>
          <w:rFonts w:asciiTheme="minorHAnsi" w:hAnsiTheme="minorHAnsi" w:cs="Calibri Light"/>
          <w:spacing w:val="1"/>
          <w:lang w:val="fr-BE"/>
        </w:rPr>
      </w:pPr>
      <w:r w:rsidRPr="002504E8">
        <w:rPr>
          <w:rFonts w:asciiTheme="minorHAnsi" w:hAnsiTheme="minorHAnsi" w:cs="Calibri Light"/>
          <w:spacing w:val="1"/>
          <w:lang w:val="fr-BE"/>
        </w:rPr>
        <w:t xml:space="preserve">Le projet concerne une exécution des articles 29 et 79 du Code civil et régit en particulier l’accès, pour des finalités généalogiques et historiques ou scientifiques, aux actes ‘non publics’ de l’état civil, c’est-à-dire les actes de décès de moins de cinquante ans, les actes de mariage de moins de septante-cinq ans et les autres actes de l’état civil de moins de cent ans (voir l’article 1er, 4° du projet). Pour les actes ‘publics’ de l’état civil, à savoir les actes de décès de plus de cinquante ans, les actes de mariage de plus de septante-cinq ans et les </w:t>
      </w:r>
      <w:r w:rsidRPr="002504E8">
        <w:rPr>
          <w:rFonts w:asciiTheme="minorHAnsi" w:hAnsiTheme="minorHAnsi" w:cs="Calibri Light"/>
          <w:spacing w:val="1"/>
          <w:lang w:val="fr-BE"/>
        </w:rPr>
        <w:lastRenderedPageBreak/>
        <w:t>autres actes de l’état civil de plus de cent ans, le projet confirme ce que l’article 29 du Code civil prescrivait déjà en la matière, plus précisément qu’ils sont accessibles à toute personne, donc également aux généalogistes et aux chercheurs.</w:t>
      </w:r>
    </w:p>
    <w:p w14:paraId="703C005F" w14:textId="464E697A" w:rsidR="002504E8" w:rsidRPr="002504E8" w:rsidRDefault="002504E8" w:rsidP="005274E4">
      <w:pPr>
        <w:tabs>
          <w:tab w:val="left" w:pos="360"/>
          <w:tab w:val="left" w:pos="567"/>
        </w:tabs>
        <w:spacing w:before="120"/>
        <w:jc w:val="both"/>
        <w:textAlignment w:val="baseline"/>
        <w:rPr>
          <w:rFonts w:asciiTheme="minorHAnsi" w:hAnsiTheme="minorHAnsi" w:cs="Calibri Light"/>
          <w:spacing w:val="1"/>
          <w:lang w:val="fr-BE"/>
        </w:rPr>
      </w:pPr>
      <w:r w:rsidRPr="002504E8">
        <w:rPr>
          <w:rFonts w:asciiTheme="minorHAnsi" w:hAnsiTheme="minorHAnsi" w:cs="Calibri Light"/>
          <w:spacing w:val="1"/>
          <w:lang w:val="fr-BE"/>
        </w:rPr>
        <w:t xml:space="preserve">L’avis de l’autorité de protection des données 03/2020 a été rendu le 17 janvier </w:t>
      </w:r>
      <w:r w:rsidR="00E330C0" w:rsidRPr="002504E8">
        <w:rPr>
          <w:rFonts w:asciiTheme="minorHAnsi" w:hAnsiTheme="minorHAnsi" w:cs="Calibri Light"/>
          <w:spacing w:val="1"/>
          <w:lang w:val="fr-BE"/>
        </w:rPr>
        <w:t>2020.</w:t>
      </w:r>
      <w:r w:rsidRPr="002504E8">
        <w:rPr>
          <w:rFonts w:asciiTheme="minorHAnsi" w:hAnsiTheme="minorHAnsi" w:cs="Calibri Light"/>
          <w:spacing w:val="1"/>
          <w:lang w:val="fr-BE"/>
        </w:rPr>
        <w:t xml:space="preserve">  Il comportait plusieurs propositions d'adaptation du projet concernant l'indication du délai de conservation maximal de certaines données à caractère personnel récoltées et la mention formelle du responsable du traitement de ces données à caractère personnel. Tous les points soulevés dans cet avis ont été adaptés dans l'arrêté royal.</w:t>
      </w:r>
    </w:p>
    <w:p w14:paraId="48E72C74" w14:textId="77777777" w:rsidR="002504E8" w:rsidRPr="00954869" w:rsidRDefault="002504E8" w:rsidP="002504E8">
      <w:pPr>
        <w:tabs>
          <w:tab w:val="left" w:pos="360"/>
          <w:tab w:val="left" w:pos="567"/>
        </w:tabs>
        <w:spacing w:before="120"/>
        <w:jc w:val="both"/>
        <w:textAlignment w:val="baseline"/>
        <w:rPr>
          <w:rFonts w:asciiTheme="minorHAnsi" w:hAnsiTheme="minorHAnsi" w:cs="Calibri Light"/>
          <w:spacing w:val="1"/>
          <w:sz w:val="10"/>
          <w:szCs w:val="10"/>
          <w:lang w:val="fr-BE"/>
        </w:rPr>
      </w:pPr>
    </w:p>
    <w:p w14:paraId="0989B8E0" w14:textId="31449352" w:rsidR="002504E8" w:rsidRPr="002504E8" w:rsidRDefault="002504E8" w:rsidP="002504E8">
      <w:pPr>
        <w:tabs>
          <w:tab w:val="left" w:pos="360"/>
          <w:tab w:val="left" w:pos="567"/>
        </w:tabs>
        <w:spacing w:before="120"/>
        <w:jc w:val="both"/>
        <w:textAlignment w:val="baseline"/>
        <w:rPr>
          <w:rFonts w:asciiTheme="minorHAnsi" w:hAnsiTheme="minorHAnsi" w:cs="Calibri Light"/>
          <w:spacing w:val="1"/>
          <w:lang w:val="fr-BE"/>
        </w:rPr>
      </w:pPr>
      <w:r w:rsidRPr="002504E8">
        <w:rPr>
          <w:rFonts w:asciiTheme="minorHAnsi" w:hAnsiTheme="minorHAnsi" w:cs="Calibri Light"/>
          <w:spacing w:val="1"/>
          <w:lang w:val="fr-BE"/>
        </w:rPr>
        <w:t>Le Conseil d'État a fait parvenir son avis le 29 octobre 2020 et le projet a été adapté à cet avis. C'est la dernière étape avant que l'arrêté royal puisse être signé par les ministres compétents et par le Roi pour ensuite être publié au Moniteur belge</w:t>
      </w:r>
      <w:r w:rsidR="003D6247" w:rsidRPr="008D7EB7">
        <w:rPr>
          <w:rFonts w:asciiTheme="minorHAnsi" w:hAnsiTheme="minorHAnsi" w:cs="Calibri Light"/>
          <w:spacing w:val="1"/>
          <w:lang w:val="fr-BE"/>
        </w:rPr>
        <w:t xml:space="preserve">. Dès lors, </w:t>
      </w:r>
      <w:r w:rsidR="006E4E87">
        <w:rPr>
          <w:rFonts w:asciiTheme="minorHAnsi" w:hAnsiTheme="minorHAnsi" w:cs="Calibri Light"/>
          <w:spacing w:val="1"/>
          <w:lang w:val="fr-BE"/>
        </w:rPr>
        <w:t xml:space="preserve">dans l’attente de </w:t>
      </w:r>
      <w:r w:rsidRPr="002504E8">
        <w:rPr>
          <w:rFonts w:asciiTheme="minorHAnsi" w:hAnsiTheme="minorHAnsi" w:cs="Calibri Light"/>
          <w:spacing w:val="1"/>
          <w:lang w:val="fr-BE"/>
        </w:rPr>
        <w:t>cet arrêté royal, l'article 116/2 de la loi du 31 juillet 2020 portant diverses mesures en matière de justice prévoit un règlement provisoire dans le cadre duquel l'officier de l'état civil peut délivrer des copies d'actes de l'état civil à des fins généalogiques, historiques ou scientifiques et à condition que le demandeur dispose du consentement écrit de toutes les personnes concernées par l'acte, pour autant qu'elles soient encore en vie. Si ces personnes sont décédées, le consentement d'un des proches suffit.</w:t>
      </w:r>
    </w:p>
    <w:p w14:paraId="06151AD0" w14:textId="04B40B6C" w:rsidR="003D6247" w:rsidRDefault="002504E8" w:rsidP="002504E8">
      <w:pPr>
        <w:tabs>
          <w:tab w:val="left" w:pos="360"/>
          <w:tab w:val="left" w:pos="567"/>
        </w:tabs>
        <w:spacing w:before="120"/>
        <w:jc w:val="both"/>
        <w:textAlignment w:val="baseline"/>
        <w:rPr>
          <w:rFonts w:asciiTheme="minorHAnsi" w:hAnsiTheme="minorHAnsi" w:cs="Calibri Light"/>
          <w:spacing w:val="1"/>
          <w:lang w:val="fr-BE"/>
        </w:rPr>
      </w:pPr>
      <w:r w:rsidRPr="002504E8">
        <w:rPr>
          <w:rFonts w:asciiTheme="minorHAnsi" w:hAnsiTheme="minorHAnsi" w:cs="Calibri Light"/>
          <w:spacing w:val="1"/>
          <w:lang w:val="fr-BE"/>
        </w:rPr>
        <w:t>Cette disposition n’apporte aucune précision quant à la personne pouvant donner son consentement en lieu et place de l’intéressé décédé. En effet, la notion de « proche » n’est ni définie dans la loi, ni dans la circulaire du SPF Justice diffusée en la matière. Il convient de toutefois limiter raisonnablement la validité de ce consentement à celui donné par le conjoint/cohabitant légal, un ascendant ou descendant en ligne directe ou un héritier comme cela se fait pour la communication des données des Registres de la population.</w:t>
      </w:r>
    </w:p>
    <w:p w14:paraId="36913B0A" w14:textId="2ED48616" w:rsidR="00DE1E72" w:rsidRPr="00954869" w:rsidRDefault="00DE1E72" w:rsidP="003D6247">
      <w:pPr>
        <w:tabs>
          <w:tab w:val="left" w:pos="360"/>
          <w:tab w:val="left" w:pos="567"/>
        </w:tabs>
        <w:spacing w:before="120"/>
        <w:jc w:val="both"/>
        <w:textAlignment w:val="baseline"/>
        <w:rPr>
          <w:rFonts w:asciiTheme="minorHAnsi" w:hAnsiTheme="minorHAnsi" w:cs="Calibri Light"/>
          <w:spacing w:val="1"/>
          <w:sz w:val="10"/>
          <w:szCs w:val="10"/>
          <w:lang w:val="fr-BE"/>
        </w:rPr>
      </w:pPr>
    </w:p>
    <w:p w14:paraId="2A28D003" w14:textId="77777777" w:rsidR="006B47EE" w:rsidRPr="008D7EB7" w:rsidRDefault="006B47EE" w:rsidP="003D6247">
      <w:pPr>
        <w:tabs>
          <w:tab w:val="left" w:pos="360"/>
          <w:tab w:val="left" w:pos="567"/>
        </w:tabs>
        <w:spacing w:before="120"/>
        <w:jc w:val="both"/>
        <w:textAlignment w:val="baseline"/>
        <w:rPr>
          <w:rFonts w:asciiTheme="minorHAnsi" w:hAnsiTheme="minorHAnsi" w:cs="Calibri Light"/>
          <w:spacing w:val="1"/>
          <w:lang w:val="fr-BE"/>
        </w:rPr>
      </w:pPr>
    </w:p>
    <w:p w14:paraId="110A9538" w14:textId="57A07E5D" w:rsidR="003D6247" w:rsidRPr="00276F16" w:rsidRDefault="009B153C" w:rsidP="008D7EB7">
      <w:pPr>
        <w:pStyle w:val="Sam4"/>
        <w:numPr>
          <w:ilvl w:val="0"/>
          <w:numId w:val="272"/>
        </w:numPr>
      </w:pPr>
      <w:bookmarkStart w:id="5039" w:name="_Toc40185531"/>
      <w:bookmarkStart w:id="5040" w:name="_Toc40186266"/>
      <w:bookmarkStart w:id="5041" w:name="_Toc74557739"/>
      <w:bookmarkEnd w:id="5039"/>
      <w:bookmarkEnd w:id="5040"/>
      <w:r w:rsidRPr="00276F16">
        <w:t>Le paiement par terminal bancaire</w:t>
      </w:r>
      <w:r w:rsidR="003D6247" w:rsidRPr="00276F16">
        <w:t> :</w:t>
      </w:r>
      <w:bookmarkEnd w:id="5041"/>
    </w:p>
    <w:p w14:paraId="53CD5F71" w14:textId="02228ED3" w:rsidR="003D6247" w:rsidRPr="008D7EB7" w:rsidRDefault="00385431" w:rsidP="003D6247">
      <w:pPr>
        <w:spacing w:before="120"/>
        <w:jc w:val="both"/>
        <w:textAlignment w:val="baseline"/>
        <w:rPr>
          <w:rFonts w:asciiTheme="minorHAnsi" w:hAnsiTheme="minorHAnsi" w:cs="Calibri Light"/>
        </w:rPr>
      </w:pPr>
      <w:r w:rsidRPr="008D7EB7">
        <w:rPr>
          <w:rFonts w:asciiTheme="minorHAnsi" w:hAnsiTheme="minorHAnsi" w:cs="Calibri Light"/>
        </w:rPr>
        <w:t xml:space="preserve">La </w:t>
      </w:r>
      <w:r w:rsidR="003D6247" w:rsidRPr="008D7EB7">
        <w:rPr>
          <w:rFonts w:asciiTheme="minorHAnsi" w:hAnsiTheme="minorHAnsi" w:cs="Calibri Light"/>
        </w:rPr>
        <w:t>loi du 19 juillet 2018</w:t>
      </w:r>
      <w:r w:rsidR="003D6247" w:rsidRPr="008D7EB7">
        <w:rPr>
          <w:rStyle w:val="Appelnotedebasdep"/>
          <w:rFonts w:asciiTheme="minorHAnsi" w:hAnsiTheme="minorHAnsi" w:cs="Calibri Light"/>
        </w:rPr>
        <w:footnoteReference w:id="143"/>
      </w:r>
      <w:r w:rsidR="003D6247" w:rsidRPr="008D7EB7">
        <w:rPr>
          <w:rFonts w:asciiTheme="minorHAnsi" w:hAnsiTheme="minorHAnsi" w:cs="Calibri Light"/>
        </w:rPr>
        <w:t xml:space="preserve"> transposant la directive 2015/2366/CE interdit d’appliquer un supplément éventuel lors de paiements électroniques.</w:t>
      </w:r>
    </w:p>
    <w:p w14:paraId="40485F2A" w14:textId="77777777" w:rsidR="009B153C" w:rsidRPr="00DA6BD2" w:rsidRDefault="009B153C" w:rsidP="00581DAD">
      <w:pPr>
        <w:pStyle w:val="Sam2"/>
      </w:pPr>
      <w:bookmarkStart w:id="5042" w:name="_Toc40185533"/>
      <w:bookmarkStart w:id="5043" w:name="_Toc40186268"/>
      <w:bookmarkStart w:id="5044" w:name="_Toc516739741"/>
      <w:bookmarkStart w:id="5045" w:name="_Toc516751653"/>
      <w:bookmarkStart w:id="5046" w:name="_Toc516825741"/>
      <w:bookmarkStart w:id="5047" w:name="_Toc516826299"/>
      <w:bookmarkStart w:id="5048" w:name="_Toc516837619"/>
      <w:bookmarkStart w:id="5049" w:name="_Toc516838178"/>
      <w:bookmarkStart w:id="5050" w:name="_Toc516838737"/>
      <w:bookmarkStart w:id="5051" w:name="_Toc516839297"/>
      <w:bookmarkStart w:id="5052" w:name="_Toc517173393"/>
      <w:bookmarkStart w:id="5053" w:name="_Toc517175067"/>
      <w:bookmarkStart w:id="5054" w:name="_Toc517175654"/>
      <w:bookmarkStart w:id="5055" w:name="_Toc517176242"/>
      <w:bookmarkStart w:id="5056" w:name="_Toc517337567"/>
      <w:bookmarkStart w:id="5057" w:name="_Toc517360363"/>
      <w:bookmarkStart w:id="5058" w:name="_Toc516245090"/>
      <w:bookmarkStart w:id="5059" w:name="_Toc516473661"/>
      <w:bookmarkStart w:id="5060" w:name="_Toc516473971"/>
      <w:bookmarkStart w:id="5061" w:name="_Toc516474281"/>
      <w:bookmarkStart w:id="5062" w:name="_Toc516474589"/>
      <w:bookmarkStart w:id="5063" w:name="_Toc516474921"/>
      <w:bookmarkStart w:id="5064" w:name="_Toc516478958"/>
      <w:bookmarkStart w:id="5065" w:name="_Toc516479417"/>
      <w:bookmarkStart w:id="5066" w:name="_Toc516479734"/>
      <w:bookmarkStart w:id="5067" w:name="_Toc516480056"/>
      <w:bookmarkStart w:id="5068" w:name="_Toc516480370"/>
      <w:bookmarkStart w:id="5069" w:name="_Toc516480684"/>
      <w:bookmarkStart w:id="5070" w:name="_Toc516480998"/>
      <w:bookmarkStart w:id="5071" w:name="_Toc516481312"/>
      <w:bookmarkStart w:id="5072" w:name="_Toc516481626"/>
      <w:bookmarkStart w:id="5073" w:name="_Toc516481940"/>
      <w:bookmarkStart w:id="5074" w:name="_Toc516482254"/>
      <w:bookmarkStart w:id="5075" w:name="_Toc516482568"/>
      <w:bookmarkStart w:id="5076" w:name="_Toc516739742"/>
      <w:bookmarkStart w:id="5077" w:name="_Toc516751654"/>
      <w:bookmarkStart w:id="5078" w:name="_Toc516825742"/>
      <w:bookmarkStart w:id="5079" w:name="_Toc516826300"/>
      <w:bookmarkStart w:id="5080" w:name="_Toc516837620"/>
      <w:bookmarkStart w:id="5081" w:name="_Toc516838179"/>
      <w:bookmarkStart w:id="5082" w:name="_Toc516838738"/>
      <w:bookmarkStart w:id="5083" w:name="_Toc516839298"/>
      <w:bookmarkStart w:id="5084" w:name="_Toc517173394"/>
      <w:bookmarkStart w:id="5085" w:name="_Toc517175068"/>
      <w:bookmarkStart w:id="5086" w:name="_Toc517175655"/>
      <w:bookmarkStart w:id="5087" w:name="_Toc517176243"/>
      <w:bookmarkStart w:id="5088" w:name="_Toc517337568"/>
      <w:bookmarkStart w:id="5089" w:name="_Toc517360364"/>
      <w:bookmarkStart w:id="5090" w:name="_Toc516229695"/>
      <w:bookmarkStart w:id="5091" w:name="_Toc516229990"/>
      <w:bookmarkStart w:id="5092" w:name="_Toc516230285"/>
      <w:bookmarkStart w:id="5093" w:name="_Toc516230579"/>
      <w:bookmarkStart w:id="5094" w:name="_Toc516230873"/>
      <w:bookmarkStart w:id="5095" w:name="_Toc516231168"/>
      <w:bookmarkStart w:id="5096" w:name="_Toc516231463"/>
      <w:bookmarkStart w:id="5097" w:name="_Toc516231760"/>
      <w:bookmarkStart w:id="5098" w:name="_Toc516242855"/>
      <w:bookmarkStart w:id="5099" w:name="_Toc516243158"/>
      <w:bookmarkStart w:id="5100" w:name="_Toc516245091"/>
      <w:bookmarkStart w:id="5101" w:name="_Toc516473662"/>
      <w:bookmarkStart w:id="5102" w:name="_Toc516473972"/>
      <w:bookmarkStart w:id="5103" w:name="_Toc516474282"/>
      <w:bookmarkStart w:id="5104" w:name="_Toc516474590"/>
      <w:bookmarkStart w:id="5105" w:name="_Toc516474922"/>
      <w:bookmarkStart w:id="5106" w:name="_Toc516478959"/>
      <w:bookmarkStart w:id="5107" w:name="_Toc516479418"/>
      <w:bookmarkStart w:id="5108" w:name="_Toc516479735"/>
      <w:bookmarkStart w:id="5109" w:name="_Toc516480057"/>
      <w:bookmarkStart w:id="5110" w:name="_Toc516480371"/>
      <w:bookmarkStart w:id="5111" w:name="_Toc516480685"/>
      <w:bookmarkStart w:id="5112" w:name="_Toc516480999"/>
      <w:bookmarkStart w:id="5113" w:name="_Toc516481313"/>
      <w:bookmarkStart w:id="5114" w:name="_Toc516481627"/>
      <w:bookmarkStart w:id="5115" w:name="_Toc516481941"/>
      <w:bookmarkStart w:id="5116" w:name="_Toc516482255"/>
      <w:bookmarkStart w:id="5117" w:name="_Toc516482569"/>
      <w:bookmarkStart w:id="5118" w:name="_Toc516739743"/>
      <w:bookmarkStart w:id="5119" w:name="_Toc516751655"/>
      <w:bookmarkStart w:id="5120" w:name="_Toc516825743"/>
      <w:bookmarkStart w:id="5121" w:name="_Toc516826301"/>
      <w:bookmarkStart w:id="5122" w:name="_Toc516837621"/>
      <w:bookmarkStart w:id="5123" w:name="_Toc516838180"/>
      <w:bookmarkStart w:id="5124" w:name="_Toc516838739"/>
      <w:bookmarkStart w:id="5125" w:name="_Toc516839299"/>
      <w:bookmarkStart w:id="5126" w:name="_Toc517173395"/>
      <w:bookmarkStart w:id="5127" w:name="_Toc517175069"/>
      <w:bookmarkStart w:id="5128" w:name="_Toc517175656"/>
      <w:bookmarkStart w:id="5129" w:name="_Toc517176244"/>
      <w:bookmarkStart w:id="5130" w:name="_Toc517337569"/>
      <w:bookmarkStart w:id="5131" w:name="_Toc517360365"/>
      <w:bookmarkStart w:id="5132" w:name="_Toc515896787"/>
      <w:bookmarkStart w:id="5133" w:name="_Toc512523779"/>
      <w:bookmarkStart w:id="5134" w:name="_Toc512525474"/>
      <w:bookmarkStart w:id="5135" w:name="_Toc74557740"/>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r w:rsidRPr="00DA6BD2">
        <w:t>Taxes de remboursement</w:t>
      </w:r>
      <w:bookmarkEnd w:id="5132"/>
      <w:bookmarkEnd w:id="5133"/>
      <w:bookmarkEnd w:id="5134"/>
      <w:bookmarkEnd w:id="5135"/>
    </w:p>
    <w:p w14:paraId="33779810" w14:textId="77777777" w:rsidR="00117F4D" w:rsidRPr="006B47EE" w:rsidRDefault="009B153C" w:rsidP="00256E9F">
      <w:pPr>
        <w:pStyle w:val="Sam3"/>
      </w:pPr>
      <w:bookmarkStart w:id="5136" w:name="_Toc74557741"/>
      <w:bookmarkStart w:id="5137" w:name="_Toc512525475"/>
      <w:bookmarkStart w:id="5138" w:name="_Toc515896788"/>
      <w:r w:rsidRPr="006B47EE">
        <w:t>040/362-01 : Acquisition d'assiettes de voirie</w:t>
      </w:r>
      <w:bookmarkEnd w:id="5136"/>
      <w:r w:rsidRPr="006B47EE">
        <w:t xml:space="preserve"> </w:t>
      </w:r>
    </w:p>
    <w:p w14:paraId="48BB21A2" w14:textId="77777777" w:rsidR="00117F4D" w:rsidRPr="006B47EE" w:rsidRDefault="009B153C" w:rsidP="00256E9F">
      <w:pPr>
        <w:pStyle w:val="Sam3"/>
      </w:pPr>
      <w:bookmarkStart w:id="5139" w:name="_Toc74557742"/>
      <w:bookmarkStart w:id="5140" w:name="_Toc512525476"/>
      <w:bookmarkStart w:id="5141" w:name="_Toc515896789"/>
      <w:bookmarkEnd w:id="5137"/>
      <w:bookmarkEnd w:id="5138"/>
      <w:r w:rsidRPr="006B47EE">
        <w:t>040/362-02 : Pavage des rues (ou de revêtement de voirie)</w:t>
      </w:r>
      <w:bookmarkEnd w:id="5139"/>
      <w:r w:rsidRPr="006B47EE">
        <w:t xml:space="preserve"> </w:t>
      </w:r>
    </w:p>
    <w:p w14:paraId="5C2C5B48" w14:textId="77777777" w:rsidR="00117F4D" w:rsidRPr="006B47EE" w:rsidRDefault="009B153C" w:rsidP="00256E9F">
      <w:pPr>
        <w:pStyle w:val="Sam3"/>
      </w:pPr>
      <w:bookmarkStart w:id="5142" w:name="_Toc74557743"/>
      <w:bookmarkStart w:id="5143" w:name="_Toc512525477"/>
      <w:bookmarkStart w:id="5144" w:name="_Toc515896790"/>
      <w:bookmarkEnd w:id="5140"/>
      <w:bookmarkEnd w:id="5141"/>
      <w:r w:rsidRPr="006B47EE">
        <w:rPr>
          <w:spacing w:val="-1"/>
        </w:rPr>
        <w:t xml:space="preserve">040/362-03 : </w:t>
      </w:r>
      <w:r w:rsidRPr="006B47EE">
        <w:t>Construction des trottoirs</w:t>
      </w:r>
      <w:bookmarkEnd w:id="5142"/>
      <w:r w:rsidRPr="006B47EE">
        <w:t xml:space="preserve"> </w:t>
      </w:r>
    </w:p>
    <w:p w14:paraId="797EE0FA" w14:textId="77777777" w:rsidR="00117F4D" w:rsidRPr="006B47EE" w:rsidRDefault="009B153C" w:rsidP="00256E9F">
      <w:pPr>
        <w:pStyle w:val="Sam3"/>
      </w:pPr>
      <w:bookmarkStart w:id="5145" w:name="_Toc74557744"/>
      <w:bookmarkStart w:id="5146" w:name="_Toc512525478"/>
      <w:bookmarkStart w:id="5147" w:name="_Toc515896791"/>
      <w:bookmarkEnd w:id="5143"/>
      <w:bookmarkEnd w:id="5144"/>
      <w:r w:rsidRPr="006B47EE">
        <w:t>040/362-04 : Constructions d'égouts</w:t>
      </w:r>
      <w:bookmarkEnd w:id="5145"/>
      <w:r w:rsidRPr="006B47EE">
        <w:t xml:space="preserve"> </w:t>
      </w:r>
    </w:p>
    <w:p w14:paraId="27B4EDD4" w14:textId="77777777" w:rsidR="00117F4D" w:rsidRPr="006B47EE" w:rsidRDefault="009B153C" w:rsidP="00256E9F">
      <w:pPr>
        <w:pStyle w:val="Sam3"/>
      </w:pPr>
      <w:bookmarkStart w:id="5148" w:name="_Toc74557745"/>
      <w:bookmarkStart w:id="5149" w:name="_Toc512525479"/>
      <w:bookmarkStart w:id="5150" w:name="_Toc515896792"/>
      <w:bookmarkEnd w:id="5146"/>
      <w:bookmarkEnd w:id="5147"/>
      <w:r w:rsidRPr="006B47EE">
        <w:t>040/362-05 : Travaux de raccordement d'immeubles au réseau d'égouts</w:t>
      </w:r>
      <w:bookmarkEnd w:id="5148"/>
      <w:r w:rsidRPr="006B47EE">
        <w:t xml:space="preserve"> </w:t>
      </w:r>
    </w:p>
    <w:bookmarkEnd w:id="5149"/>
    <w:bookmarkEnd w:id="5150"/>
    <w:p w14:paraId="336008A8" w14:textId="441A5C62" w:rsidR="00767A6F" w:rsidRDefault="00767A6F" w:rsidP="00E063FD">
      <w:pPr>
        <w:rPr>
          <w:rFonts w:asciiTheme="minorHAnsi" w:hAnsiTheme="minorHAnsi" w:cs="Calibri Light"/>
          <w:spacing w:val="-2"/>
        </w:rPr>
      </w:pPr>
    </w:p>
    <w:p w14:paraId="14E033EC" w14:textId="75C4330B" w:rsidR="00767A6F" w:rsidRPr="008D7EB7" w:rsidRDefault="00767A6F" w:rsidP="008D7EB7">
      <w:pPr>
        <w:jc w:val="both"/>
      </w:pPr>
      <w:r w:rsidRPr="008D7EB7">
        <w:t>Les taxes visées aux po</w:t>
      </w:r>
      <w:r w:rsidR="00385431" w:rsidRPr="008D7EB7">
        <w:t>i</w:t>
      </w:r>
      <w:r w:rsidRPr="008D7EB7">
        <w:t>nts VII.2.1 à VII.2.5 concernant les articles budgétaires 040/362-01 à 040/362-05 sont des taxes indirectes.</w:t>
      </w:r>
    </w:p>
    <w:p w14:paraId="02E71A52" w14:textId="76E96FDC" w:rsidR="00340BA2" w:rsidRDefault="00340BA2" w:rsidP="00767A6F">
      <w:pPr>
        <w:rPr>
          <w:color w:val="FF0000"/>
        </w:rPr>
      </w:pPr>
    </w:p>
    <w:p w14:paraId="74755457" w14:textId="0582B1BF" w:rsidR="00340BA2" w:rsidRPr="008D7EB7" w:rsidRDefault="00B749B7" w:rsidP="008D7EB7">
      <w:pPr>
        <w:jc w:val="both"/>
      </w:pPr>
      <w:bookmarkStart w:id="5151" w:name="_Hlk38965928"/>
      <w:r w:rsidRPr="008D7EB7">
        <w:t>Les articles budgétaires 040/362-03 et 040/362-05 peuvent être prises sous forme de redevance MAIS dans ces cas il faut que cela se justifie uniquement par une demande d’un citoyen.</w:t>
      </w:r>
    </w:p>
    <w:bookmarkEnd w:id="5151"/>
    <w:p w14:paraId="563834DB" w14:textId="3E124F95" w:rsidR="00767A6F" w:rsidRPr="00DA6BD2" w:rsidRDefault="00767A6F" w:rsidP="00767A6F">
      <w:pPr>
        <w:spacing w:before="120"/>
        <w:jc w:val="both"/>
        <w:textAlignment w:val="baseline"/>
        <w:rPr>
          <w:rFonts w:asciiTheme="minorHAnsi" w:hAnsiTheme="minorHAnsi" w:cs="Calibri Light"/>
        </w:rPr>
      </w:pPr>
      <w:r w:rsidRPr="00DA6BD2">
        <w:rPr>
          <w:rFonts w:asciiTheme="minorHAnsi" w:hAnsiTheme="minorHAnsi" w:cs="Calibri Light"/>
        </w:rPr>
        <w:lastRenderedPageBreak/>
        <w:t xml:space="preserve">Le taux de </w:t>
      </w:r>
      <w:r>
        <w:rPr>
          <w:rFonts w:asciiTheme="minorHAnsi" w:hAnsiTheme="minorHAnsi" w:cs="Calibri Light"/>
        </w:rPr>
        <w:t>ces</w:t>
      </w:r>
      <w:r w:rsidRPr="00DA6BD2">
        <w:rPr>
          <w:rFonts w:asciiTheme="minorHAnsi" w:hAnsiTheme="minorHAnsi" w:cs="Calibri Light"/>
        </w:rPr>
        <w:t xml:space="preserve"> taxe</w:t>
      </w:r>
      <w:r>
        <w:rPr>
          <w:rFonts w:asciiTheme="minorHAnsi" w:hAnsiTheme="minorHAnsi" w:cs="Calibri Light"/>
        </w:rPr>
        <w:t>s</w:t>
      </w:r>
      <w:r w:rsidRPr="00DA6BD2">
        <w:rPr>
          <w:rFonts w:asciiTheme="minorHAnsi" w:hAnsiTheme="minorHAnsi" w:cs="Calibri Light"/>
        </w:rPr>
        <w:t xml:space="preserve"> doit être fixé en fonction des dépenses réellement exposées par la commune (déduction faite d'éventuelles subventions), auxquelles peuvent être ajoutés les intérêts de l'emprunt contracté pour la réalisation des travaux.</w:t>
      </w:r>
    </w:p>
    <w:p w14:paraId="455092EB" w14:textId="77777777" w:rsidR="00767A6F" w:rsidRPr="00DA6BD2" w:rsidRDefault="00767A6F" w:rsidP="00767A6F">
      <w:pPr>
        <w:spacing w:before="120"/>
        <w:jc w:val="both"/>
        <w:textAlignment w:val="baseline"/>
        <w:rPr>
          <w:rFonts w:asciiTheme="minorHAnsi" w:hAnsiTheme="minorHAnsi" w:cs="Calibri Light"/>
        </w:rPr>
      </w:pPr>
      <w:r w:rsidRPr="00DA6BD2">
        <w:rPr>
          <w:rFonts w:asciiTheme="minorHAnsi" w:hAnsiTheme="minorHAnsi" w:cs="Calibri Light"/>
        </w:rPr>
        <w:t>La durée du remboursement est normalement équivalente à celle de l'emprunt.</w:t>
      </w:r>
    </w:p>
    <w:p w14:paraId="3F2127A6" w14:textId="77777777" w:rsidR="00767A6F" w:rsidRPr="00DA6BD2" w:rsidRDefault="00767A6F" w:rsidP="00767A6F">
      <w:pPr>
        <w:spacing w:before="120"/>
        <w:jc w:val="both"/>
        <w:textAlignment w:val="baseline"/>
        <w:rPr>
          <w:rFonts w:asciiTheme="minorHAnsi" w:hAnsiTheme="minorHAnsi" w:cs="Calibri Light"/>
        </w:rPr>
      </w:pPr>
      <w:r w:rsidRPr="00DA6BD2">
        <w:rPr>
          <w:rFonts w:asciiTheme="minorHAnsi" w:hAnsiTheme="minorHAnsi" w:cs="Calibri Light"/>
        </w:rPr>
        <w:t>Dans un souci d'équité entre contribuables riverains d'une voirie subsidiée et contribuables riverains d'une voirie non subsidiée, il est loisible de procéder à une globalisation par exercice des subsides reçus et de faire rejaillir ceux-ci sur le taux de récupération mis à charge des contribuables concernés par l'application de la taxe lors d'un exercice donné.</w:t>
      </w:r>
    </w:p>
    <w:p w14:paraId="75FAE2D1" w14:textId="77777777" w:rsidR="00767A6F" w:rsidRPr="00DA6BD2" w:rsidRDefault="00767A6F" w:rsidP="00767A6F">
      <w:pPr>
        <w:spacing w:before="120"/>
        <w:jc w:val="both"/>
        <w:textAlignment w:val="baseline"/>
        <w:rPr>
          <w:rFonts w:asciiTheme="minorHAnsi" w:hAnsiTheme="minorHAnsi" w:cs="Calibri Light"/>
        </w:rPr>
      </w:pPr>
      <w:r w:rsidRPr="00DA6BD2">
        <w:rPr>
          <w:rFonts w:asciiTheme="minorHAnsi" w:hAnsiTheme="minorHAnsi" w:cs="Calibri Light"/>
        </w:rPr>
        <w:t>La commune peut aussi ne réclamer par le biais de la taxe de remboursement que la partie non subsidiable des travaux pour lesquels l'aide régionale n'a pas été demandée ou obtenue.</w:t>
      </w:r>
    </w:p>
    <w:p w14:paraId="41DCF7C4" w14:textId="7C92AE8B" w:rsidR="00254D07" w:rsidRPr="00254D07" w:rsidRDefault="00254D07" w:rsidP="00DE1E72">
      <w:pPr>
        <w:spacing w:before="240" w:after="240"/>
        <w:jc w:val="both"/>
        <w:rPr>
          <w:rFonts w:asciiTheme="minorHAnsi" w:hAnsiTheme="minorHAnsi" w:cs="Calibri Light"/>
          <w:spacing w:val="-2"/>
          <w:lang w:val="fr-BE"/>
        </w:rPr>
      </w:pPr>
      <w:r w:rsidRPr="00254D07">
        <w:rPr>
          <w:rFonts w:asciiTheme="minorHAnsi" w:hAnsiTheme="minorHAnsi" w:cs="Calibri Light"/>
          <w:spacing w:val="-2"/>
          <w:lang w:val="fr-BE"/>
        </w:rPr>
        <w:t xml:space="preserve">Enfin, la Cour de </w:t>
      </w:r>
      <w:proofErr w:type="gramStart"/>
      <w:r w:rsidRPr="00254D07">
        <w:rPr>
          <w:rFonts w:asciiTheme="minorHAnsi" w:hAnsiTheme="minorHAnsi" w:cs="Calibri Light"/>
          <w:spacing w:val="-2"/>
          <w:lang w:val="fr-BE"/>
        </w:rPr>
        <w:t>Cassation</w:t>
      </w:r>
      <w:proofErr w:type="gramEnd"/>
      <w:r w:rsidRPr="00254D07">
        <w:rPr>
          <w:rFonts w:asciiTheme="minorHAnsi" w:hAnsiTheme="minorHAnsi" w:cs="Calibri Light"/>
          <w:spacing w:val="-2"/>
          <w:lang w:val="fr-BE"/>
        </w:rPr>
        <w:t xml:space="preserve"> a </w:t>
      </w:r>
      <w:r w:rsidRPr="00902733">
        <w:rPr>
          <w:rFonts w:asciiTheme="minorHAnsi" w:hAnsiTheme="minorHAnsi" w:cs="Calibri Light"/>
          <w:spacing w:val="-2"/>
          <w:lang w:val="fr-BE"/>
        </w:rPr>
        <w:t>décidé</w:t>
      </w:r>
      <w:r w:rsidR="00EC520F">
        <w:rPr>
          <w:rFonts w:asciiTheme="minorHAnsi" w:hAnsiTheme="minorHAnsi" w:cs="Calibri Light"/>
          <w:spacing w:val="-2"/>
          <w:lang w:val="fr-BE"/>
        </w:rPr>
        <w:t xml:space="preserve"> </w:t>
      </w:r>
      <w:r w:rsidRPr="00902733">
        <w:rPr>
          <w:rFonts w:asciiTheme="minorHAnsi" w:hAnsiTheme="minorHAnsi" w:cs="Calibri Light"/>
          <w:spacing w:val="-2"/>
          <w:lang w:val="fr-BE"/>
        </w:rPr>
        <w:t>que</w:t>
      </w:r>
      <w:r w:rsidRPr="00254D07">
        <w:rPr>
          <w:rFonts w:asciiTheme="minorHAnsi" w:hAnsiTheme="minorHAnsi" w:cs="Calibri Light"/>
          <w:spacing w:val="-2"/>
          <w:lang w:val="fr-BE"/>
        </w:rPr>
        <w:t xml:space="preserve"> lorsqu’un règlement communal prévoit la possibilité de poursuivre sous forme d’une taxe directe annuelle la récupération des frais exposés par la commune pour certains travaux et fixe la durée du remboursement, la taxe annuelle sur les travaux achevés pendant la période de validité de ce règlement peut être établie pendant toute la durée de la période prévue pour le remboursement</w:t>
      </w:r>
      <w:r w:rsidR="00C25B36">
        <w:rPr>
          <w:rStyle w:val="Appelnotedebasdep"/>
          <w:rFonts w:asciiTheme="minorHAnsi" w:hAnsiTheme="minorHAnsi" w:cs="Calibri Light"/>
          <w:spacing w:val="-2"/>
          <w:lang w:val="fr-BE"/>
        </w:rPr>
        <w:footnoteReference w:id="144"/>
      </w:r>
      <w:r w:rsidRPr="00254D07">
        <w:rPr>
          <w:rFonts w:asciiTheme="minorHAnsi" w:hAnsiTheme="minorHAnsi" w:cs="Calibri Light"/>
          <w:spacing w:val="-2"/>
          <w:lang w:val="fr-BE"/>
        </w:rPr>
        <w:t>.</w:t>
      </w:r>
    </w:p>
    <w:p w14:paraId="2A125E6F" w14:textId="77777777" w:rsidR="00117F4D" w:rsidRDefault="009B153C" w:rsidP="00256E9F">
      <w:pPr>
        <w:pStyle w:val="Sam3"/>
      </w:pPr>
      <w:bookmarkStart w:id="5152" w:name="_Toc74557746"/>
      <w:bookmarkStart w:id="5153" w:name="_Toc512525480"/>
      <w:bookmarkStart w:id="5154" w:name="_Toc515896793"/>
      <w:r w:rsidRPr="00DA6BD2">
        <w:t>040/362-07 : Urbanisation</w:t>
      </w:r>
      <w:bookmarkEnd w:id="5152"/>
      <w:r w:rsidRPr="00DA6BD2">
        <w:t xml:space="preserve"> </w:t>
      </w:r>
    </w:p>
    <w:p w14:paraId="1DBD980D" w14:textId="0F24822D" w:rsidR="009B153C" w:rsidRPr="00E9189F" w:rsidRDefault="00117F4D" w:rsidP="00E063FD">
      <w:r w:rsidRPr="00A03E6A">
        <w:t>T</w:t>
      </w:r>
      <w:r w:rsidR="009B153C" w:rsidRPr="003F0B7B">
        <w:t>axe directe</w:t>
      </w:r>
      <w:r w:rsidRPr="003A367B">
        <w:t>.</w:t>
      </w:r>
      <w:bookmarkEnd w:id="5153"/>
      <w:bookmarkEnd w:id="5154"/>
    </w:p>
    <w:p w14:paraId="0D7EE864" w14:textId="6ADB8F4F"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Cette taxe s'élève à </w:t>
      </w:r>
      <w:r w:rsidR="00902733" w:rsidRPr="008D7EB7">
        <w:rPr>
          <w:rFonts w:asciiTheme="minorHAnsi" w:hAnsiTheme="minorHAnsi" w:cs="Calibri Light"/>
        </w:rPr>
        <w:t>3</w:t>
      </w:r>
      <w:r w:rsidR="00FB44D7" w:rsidRPr="008D7EB7">
        <w:rPr>
          <w:rFonts w:asciiTheme="minorHAnsi" w:hAnsiTheme="minorHAnsi" w:cs="Calibri Light"/>
        </w:rPr>
        <w:t>0</w:t>
      </w:r>
      <w:r w:rsidR="00902733" w:rsidRPr="00902733">
        <w:rPr>
          <w:rFonts w:asciiTheme="minorHAnsi" w:hAnsiTheme="minorHAnsi" w:cs="Calibri Light"/>
        </w:rPr>
        <w:t>,00</w:t>
      </w:r>
      <w:r w:rsidR="00FB44D7" w:rsidRPr="00902733">
        <w:rPr>
          <w:rFonts w:asciiTheme="minorHAnsi" w:hAnsiTheme="minorHAnsi" w:cs="Calibri Light"/>
        </w:rPr>
        <w:t xml:space="preserve"> </w:t>
      </w:r>
      <w:r w:rsidRPr="00902733">
        <w:rPr>
          <w:rFonts w:asciiTheme="minorHAnsi" w:hAnsiTheme="minorHAnsi" w:cs="Calibri Light"/>
        </w:rPr>
        <w:t>euros</w:t>
      </w:r>
      <w:r w:rsidRPr="00DA6BD2">
        <w:rPr>
          <w:rFonts w:asciiTheme="minorHAnsi" w:hAnsiTheme="minorHAnsi" w:cs="Calibri Light"/>
        </w:rPr>
        <w:t xml:space="preserve"> maximum le mètre courant pour autant qu'il existe un équipement de voirie, des égouts et trottoirs corrects. Le minimum d'imposition par propriété imposable est de </w:t>
      </w:r>
      <w:r w:rsidR="00FB44D7" w:rsidRPr="008D7EB7">
        <w:rPr>
          <w:rFonts w:asciiTheme="minorHAnsi" w:hAnsiTheme="minorHAnsi" w:cs="Calibri Light"/>
        </w:rPr>
        <w:t>50</w:t>
      </w:r>
      <w:r w:rsidR="00902733" w:rsidRPr="00902733">
        <w:rPr>
          <w:rFonts w:asciiTheme="minorHAnsi" w:hAnsiTheme="minorHAnsi" w:cs="Calibri Light"/>
        </w:rPr>
        <w:t>,00</w:t>
      </w:r>
      <w:r w:rsidR="00FB44D7" w:rsidRPr="00902733">
        <w:rPr>
          <w:rFonts w:asciiTheme="minorHAnsi" w:hAnsiTheme="minorHAnsi" w:cs="Calibri Light"/>
        </w:rPr>
        <w:t xml:space="preserve"> </w:t>
      </w:r>
      <w:r w:rsidRPr="00902733">
        <w:rPr>
          <w:rFonts w:asciiTheme="minorHAnsi" w:hAnsiTheme="minorHAnsi" w:cs="Calibri Light"/>
        </w:rPr>
        <w:t>euros.</w:t>
      </w:r>
    </w:p>
    <w:p w14:paraId="58A60A9C"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L'introduction de cette taxe entraîne automatiquement la non-application des taxes correspondant aux codes 040/362-02 à 040/362-05.</w:t>
      </w:r>
    </w:p>
    <w:p w14:paraId="74F1EB0B" w14:textId="0415C1E3" w:rsidR="009B153C" w:rsidRPr="00DA6BD2" w:rsidRDefault="00385431" w:rsidP="00E063FD">
      <w:pPr>
        <w:spacing w:before="120"/>
        <w:jc w:val="both"/>
        <w:textAlignment w:val="baseline"/>
        <w:rPr>
          <w:rFonts w:asciiTheme="minorHAnsi" w:hAnsiTheme="minorHAnsi" w:cs="Calibri Light"/>
          <w:b/>
        </w:rPr>
      </w:pPr>
      <w:r>
        <w:rPr>
          <w:rFonts w:asciiTheme="minorHAnsi" w:hAnsiTheme="minorHAnsi" w:cs="Calibri Light"/>
        </w:rPr>
        <w:t>L</w:t>
      </w:r>
      <w:r w:rsidR="009B153C" w:rsidRPr="00DA6BD2">
        <w:rPr>
          <w:rFonts w:asciiTheme="minorHAnsi" w:hAnsiTheme="minorHAnsi" w:cs="Calibri Light"/>
        </w:rPr>
        <w:t>'instauration d'une taxe d'urbanisation répond à un but précis : procurer une rentrée financière pour une commune qui a équipé une rue sans réclamer de taxe de remboursement au moment de la construction. La taxe d'urbanisation ne peut donc viser des propriétés riveraines de rues non équipées ni des propriétés riveraines qui, au moment de l'équipement de la rue, ont été soumises à une taxe de remboursement.</w:t>
      </w:r>
    </w:p>
    <w:p w14:paraId="7FD3062B" w14:textId="77777777" w:rsidR="009B153C" w:rsidRDefault="009B153C" w:rsidP="000D441C">
      <w:pPr>
        <w:spacing w:before="120" w:after="240"/>
        <w:jc w:val="both"/>
        <w:textAlignment w:val="baseline"/>
        <w:rPr>
          <w:rFonts w:asciiTheme="minorHAnsi" w:hAnsiTheme="minorHAnsi" w:cs="Calibri Light"/>
        </w:rPr>
      </w:pPr>
      <w:r w:rsidRPr="00DA6BD2">
        <w:rPr>
          <w:rFonts w:asciiTheme="minorHAnsi" w:hAnsiTheme="minorHAnsi" w:cs="Calibri Light"/>
        </w:rPr>
        <w:t>En fonction de la nature de cet impôt et de son caractère non limité dans le temps, il convient que les communes fassent preuve de modération dans les taux applicables et veillent à ne pas dépasser le maximum recommandé par mètre courant.</w:t>
      </w:r>
    </w:p>
    <w:p w14:paraId="76FAA991" w14:textId="77777777" w:rsidR="00117F4D" w:rsidRDefault="009B153C" w:rsidP="00256E9F">
      <w:pPr>
        <w:pStyle w:val="Sam3"/>
      </w:pPr>
      <w:bookmarkStart w:id="5155" w:name="_Toc74557747"/>
      <w:bookmarkStart w:id="5156" w:name="_Toc512525481"/>
      <w:bookmarkStart w:id="5157" w:name="_Toc515896794"/>
      <w:r w:rsidRPr="00DA6BD2">
        <w:t>040/362-08 : Inflexion dans les trottoirs</w:t>
      </w:r>
      <w:bookmarkEnd w:id="5155"/>
      <w:r w:rsidRPr="00DA6BD2">
        <w:t xml:space="preserve"> </w:t>
      </w:r>
    </w:p>
    <w:p w14:paraId="0948201B" w14:textId="43602EA1" w:rsidR="009B153C" w:rsidRPr="00E9189F" w:rsidRDefault="009B153C" w:rsidP="008D7EB7">
      <w:pPr>
        <w:spacing w:after="240"/>
      </w:pPr>
      <w:r w:rsidRPr="00A03E6A">
        <w:t>Redevance</w:t>
      </w:r>
      <w:r w:rsidR="002017D0">
        <w:t xml:space="preserve"> </w:t>
      </w:r>
      <w:r w:rsidR="005B7E8F" w:rsidRPr="009315DC">
        <w:rPr>
          <w:rFonts w:asciiTheme="minorHAnsi" w:hAnsiTheme="minorHAnsi" w:cs="Calibri Light"/>
        </w:rPr>
        <w:t>(et non une taxe de remboursement).</w:t>
      </w:r>
      <w:bookmarkEnd w:id="5156"/>
      <w:bookmarkEnd w:id="5157"/>
    </w:p>
    <w:p w14:paraId="2F046C2C" w14:textId="77777777" w:rsidR="00117F4D" w:rsidRDefault="009B153C" w:rsidP="00256E9F">
      <w:pPr>
        <w:pStyle w:val="Sam3"/>
      </w:pPr>
      <w:bookmarkStart w:id="5158" w:name="_Toc516478976"/>
      <w:bookmarkStart w:id="5159" w:name="_Toc516479427"/>
      <w:bookmarkStart w:id="5160" w:name="_Toc516479744"/>
      <w:bookmarkStart w:id="5161" w:name="_Toc516480066"/>
      <w:bookmarkStart w:id="5162" w:name="_Toc516480380"/>
      <w:bookmarkStart w:id="5163" w:name="_Toc516480694"/>
      <w:bookmarkStart w:id="5164" w:name="_Toc516481008"/>
      <w:bookmarkStart w:id="5165" w:name="_Toc516481322"/>
      <w:bookmarkStart w:id="5166" w:name="_Toc516481636"/>
      <w:bookmarkStart w:id="5167" w:name="_Toc516481950"/>
      <w:bookmarkStart w:id="5168" w:name="_Toc516482264"/>
      <w:bookmarkStart w:id="5169" w:name="_Toc516482578"/>
      <w:bookmarkStart w:id="5170" w:name="_Toc516739752"/>
      <w:bookmarkStart w:id="5171" w:name="_Toc516751664"/>
      <w:bookmarkStart w:id="5172" w:name="_Toc516825752"/>
      <w:bookmarkStart w:id="5173" w:name="_Toc516826310"/>
      <w:bookmarkStart w:id="5174" w:name="_Toc516837630"/>
      <w:bookmarkStart w:id="5175" w:name="_Toc516838189"/>
      <w:bookmarkStart w:id="5176" w:name="_Toc516838748"/>
      <w:bookmarkStart w:id="5177" w:name="_Toc516839308"/>
      <w:bookmarkStart w:id="5178" w:name="_Toc517173404"/>
      <w:bookmarkStart w:id="5179" w:name="_Toc517175078"/>
      <w:bookmarkStart w:id="5180" w:name="_Toc517175665"/>
      <w:bookmarkStart w:id="5181" w:name="_Toc517176253"/>
      <w:bookmarkStart w:id="5182" w:name="_Toc517337578"/>
      <w:bookmarkStart w:id="5183" w:name="_Toc517360374"/>
      <w:bookmarkStart w:id="5184" w:name="_Toc74557748"/>
      <w:bookmarkStart w:id="5185" w:name="_Toc515896795"/>
      <w:bookmarkStart w:id="5186" w:name="_Toc512525482"/>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r w:rsidRPr="00DD1BDF">
        <w:t>040/362-09 : Aménagement spécial des rues piétonnières commerçantes</w:t>
      </w:r>
      <w:bookmarkEnd w:id="5184"/>
      <w:r w:rsidRPr="00DD1BDF">
        <w:t xml:space="preserve"> </w:t>
      </w:r>
    </w:p>
    <w:p w14:paraId="1C46AB92" w14:textId="77777777" w:rsidR="00902733" w:rsidRDefault="00117F4D" w:rsidP="00E063FD">
      <w:r w:rsidRPr="00A03E6A">
        <w:t>T</w:t>
      </w:r>
      <w:r w:rsidR="009B153C" w:rsidRPr="003F0B7B">
        <w:t>axe indirect</w:t>
      </w:r>
      <w:r w:rsidRPr="003A367B">
        <w:t>e.</w:t>
      </w:r>
      <w:bookmarkEnd w:id="5185"/>
    </w:p>
    <w:p w14:paraId="57B6AEF2" w14:textId="5A4ECE21" w:rsidR="009B153C" w:rsidRPr="00E9189F" w:rsidRDefault="009B153C" w:rsidP="00E063FD">
      <w:r w:rsidRPr="00E9189F">
        <w:t xml:space="preserve"> </w:t>
      </w:r>
    </w:p>
    <w:p w14:paraId="16626763" w14:textId="674A71C7" w:rsidR="009B153C" w:rsidRDefault="009B153C" w:rsidP="00117F4D">
      <w:pPr>
        <w:pStyle w:val="Body1"/>
        <w:rPr>
          <w:rFonts w:asciiTheme="minorHAnsi" w:hAnsiTheme="minorHAnsi" w:cs="Calibri Light"/>
          <w:sz w:val="24"/>
          <w:szCs w:val="24"/>
        </w:rPr>
      </w:pPr>
      <w:bookmarkStart w:id="5187" w:name="_Toc515896796"/>
      <w:r w:rsidRPr="00DA6BD2">
        <w:rPr>
          <w:rFonts w:asciiTheme="minorHAnsi" w:hAnsiTheme="minorHAnsi" w:cs="Calibri Light"/>
          <w:sz w:val="24"/>
          <w:szCs w:val="24"/>
        </w:rPr>
        <w:t>Comme pour 040/362-01</w:t>
      </w:r>
      <w:r w:rsidR="00767A6F">
        <w:rPr>
          <w:rFonts w:asciiTheme="minorHAnsi" w:hAnsiTheme="minorHAnsi" w:cs="Calibri Light"/>
          <w:sz w:val="24"/>
          <w:szCs w:val="24"/>
        </w:rPr>
        <w:t xml:space="preserve"> à 040/362-05 mentionnés supra</w:t>
      </w:r>
      <w:r w:rsidRPr="00DA6BD2">
        <w:rPr>
          <w:rFonts w:asciiTheme="minorHAnsi" w:hAnsiTheme="minorHAnsi" w:cs="Calibri Light"/>
          <w:sz w:val="24"/>
          <w:szCs w:val="24"/>
        </w:rPr>
        <w:t>.</w:t>
      </w:r>
      <w:bookmarkEnd w:id="5186"/>
      <w:bookmarkEnd w:id="5187"/>
    </w:p>
    <w:p w14:paraId="6CBF23EB" w14:textId="77777777" w:rsidR="007C013F" w:rsidRDefault="007C013F" w:rsidP="00117F4D">
      <w:pPr>
        <w:pStyle w:val="Body1"/>
        <w:rPr>
          <w:rFonts w:asciiTheme="minorHAnsi" w:hAnsiTheme="minorHAnsi" w:cs="Calibri Light"/>
          <w:sz w:val="24"/>
          <w:szCs w:val="24"/>
        </w:rPr>
      </w:pPr>
    </w:p>
    <w:p w14:paraId="582502E7" w14:textId="77777777" w:rsidR="00996D79" w:rsidRDefault="00996D79" w:rsidP="008D7EB7">
      <w:pPr>
        <w:pStyle w:val="Sam2"/>
        <w:spacing w:after="480"/>
      </w:pPr>
      <w:bookmarkStart w:id="5188" w:name="_Toc40185543"/>
      <w:bookmarkStart w:id="5189" w:name="_Toc40186278"/>
      <w:bookmarkStart w:id="5190" w:name="_Toc74557749"/>
      <w:bookmarkEnd w:id="5188"/>
      <w:bookmarkEnd w:id="5189"/>
      <w:r>
        <w:lastRenderedPageBreak/>
        <w:t>Taxes ou redevances sur les prestations d’hygiène publique</w:t>
      </w:r>
      <w:bookmarkEnd w:id="5190"/>
    </w:p>
    <w:p w14:paraId="1EED2BC4" w14:textId="77777777" w:rsidR="002A7D13" w:rsidRDefault="009B153C" w:rsidP="00256E9F">
      <w:pPr>
        <w:pStyle w:val="Sam3"/>
      </w:pPr>
      <w:bookmarkStart w:id="5191" w:name="_Toc516229705"/>
      <w:bookmarkStart w:id="5192" w:name="_Toc516230000"/>
      <w:bookmarkStart w:id="5193" w:name="_Toc516230295"/>
      <w:bookmarkStart w:id="5194" w:name="_Toc516230589"/>
      <w:bookmarkStart w:id="5195" w:name="_Toc516230883"/>
      <w:bookmarkStart w:id="5196" w:name="_Toc516231178"/>
      <w:bookmarkStart w:id="5197" w:name="_Toc516231473"/>
      <w:bookmarkStart w:id="5198" w:name="_Toc516231770"/>
      <w:bookmarkStart w:id="5199" w:name="_Toc516242865"/>
      <w:bookmarkStart w:id="5200" w:name="_Toc516243169"/>
      <w:bookmarkStart w:id="5201" w:name="_Toc516245102"/>
      <w:bookmarkStart w:id="5202" w:name="_Toc516473673"/>
      <w:bookmarkStart w:id="5203" w:name="_Toc516473983"/>
      <w:bookmarkStart w:id="5204" w:name="_Toc516474293"/>
      <w:bookmarkStart w:id="5205" w:name="_Toc516474601"/>
      <w:bookmarkStart w:id="5206" w:name="_Toc516474933"/>
      <w:bookmarkStart w:id="5207" w:name="_Toc516478980"/>
      <w:bookmarkStart w:id="5208" w:name="_Toc516479430"/>
      <w:bookmarkStart w:id="5209" w:name="_Toc516479747"/>
      <w:bookmarkStart w:id="5210" w:name="_Toc516480069"/>
      <w:bookmarkStart w:id="5211" w:name="_Toc516480383"/>
      <w:bookmarkStart w:id="5212" w:name="_Toc516480697"/>
      <w:bookmarkStart w:id="5213" w:name="_Toc516481011"/>
      <w:bookmarkStart w:id="5214" w:name="_Toc516481325"/>
      <w:bookmarkStart w:id="5215" w:name="_Toc516481639"/>
      <w:bookmarkStart w:id="5216" w:name="_Toc516481953"/>
      <w:bookmarkStart w:id="5217" w:name="_Toc516482267"/>
      <w:bookmarkStart w:id="5218" w:name="_Toc516482581"/>
      <w:bookmarkStart w:id="5219" w:name="_Toc516739755"/>
      <w:bookmarkStart w:id="5220" w:name="_Toc516751667"/>
      <w:bookmarkStart w:id="5221" w:name="_Toc516825755"/>
      <w:bookmarkStart w:id="5222" w:name="_Toc516826313"/>
      <w:bookmarkStart w:id="5223" w:name="_Toc516837633"/>
      <w:bookmarkStart w:id="5224" w:name="_Toc516838192"/>
      <w:bookmarkStart w:id="5225" w:name="_Toc516838751"/>
      <w:bookmarkStart w:id="5226" w:name="_Toc516839311"/>
      <w:bookmarkStart w:id="5227" w:name="_Toc517173407"/>
      <w:bookmarkStart w:id="5228" w:name="_Toc517175081"/>
      <w:bookmarkStart w:id="5229" w:name="_Toc517175668"/>
      <w:bookmarkStart w:id="5230" w:name="_Toc517176256"/>
      <w:bookmarkStart w:id="5231" w:name="_Toc517337581"/>
      <w:bookmarkStart w:id="5232" w:name="_Toc517360377"/>
      <w:bookmarkStart w:id="5233" w:name="_Toc516243170"/>
      <w:bookmarkStart w:id="5234" w:name="_Toc516245103"/>
      <w:bookmarkStart w:id="5235" w:name="_Toc516473674"/>
      <w:bookmarkStart w:id="5236" w:name="_Toc516473984"/>
      <w:bookmarkStart w:id="5237" w:name="_Toc516474294"/>
      <w:bookmarkStart w:id="5238" w:name="_Toc516474602"/>
      <w:bookmarkStart w:id="5239" w:name="_Toc516474934"/>
      <w:bookmarkStart w:id="5240" w:name="_Toc516478981"/>
      <w:bookmarkStart w:id="5241" w:name="_Toc516479431"/>
      <w:bookmarkStart w:id="5242" w:name="_Toc516479748"/>
      <w:bookmarkStart w:id="5243" w:name="_Toc516480070"/>
      <w:bookmarkStart w:id="5244" w:name="_Toc516480384"/>
      <w:bookmarkStart w:id="5245" w:name="_Toc516480698"/>
      <w:bookmarkStart w:id="5246" w:name="_Toc516481012"/>
      <w:bookmarkStart w:id="5247" w:name="_Toc516481326"/>
      <w:bookmarkStart w:id="5248" w:name="_Toc516481640"/>
      <w:bookmarkStart w:id="5249" w:name="_Toc516481954"/>
      <w:bookmarkStart w:id="5250" w:name="_Toc516482268"/>
      <w:bookmarkStart w:id="5251" w:name="_Toc516482582"/>
      <w:bookmarkStart w:id="5252" w:name="_Toc516739756"/>
      <w:bookmarkStart w:id="5253" w:name="_Toc516751668"/>
      <w:bookmarkStart w:id="5254" w:name="_Toc516825756"/>
      <w:bookmarkStart w:id="5255" w:name="_Toc516826314"/>
      <w:bookmarkStart w:id="5256" w:name="_Toc516837634"/>
      <w:bookmarkStart w:id="5257" w:name="_Toc516838193"/>
      <w:bookmarkStart w:id="5258" w:name="_Toc516838752"/>
      <w:bookmarkStart w:id="5259" w:name="_Toc516839312"/>
      <w:bookmarkStart w:id="5260" w:name="_Toc517173408"/>
      <w:bookmarkStart w:id="5261" w:name="_Toc517175082"/>
      <w:bookmarkStart w:id="5262" w:name="_Toc517175669"/>
      <w:bookmarkStart w:id="5263" w:name="_Toc517176257"/>
      <w:bookmarkStart w:id="5264" w:name="_Toc517337582"/>
      <w:bookmarkStart w:id="5265" w:name="_Toc517360378"/>
      <w:bookmarkStart w:id="5266" w:name="_Toc516243171"/>
      <w:bookmarkStart w:id="5267" w:name="_Toc516245104"/>
      <w:bookmarkStart w:id="5268" w:name="_Toc516473675"/>
      <w:bookmarkStart w:id="5269" w:name="_Toc516473985"/>
      <w:bookmarkStart w:id="5270" w:name="_Toc516474295"/>
      <w:bookmarkStart w:id="5271" w:name="_Toc516474603"/>
      <w:bookmarkStart w:id="5272" w:name="_Toc516474935"/>
      <w:bookmarkStart w:id="5273" w:name="_Toc516478982"/>
      <w:bookmarkStart w:id="5274" w:name="_Toc516479432"/>
      <w:bookmarkStart w:id="5275" w:name="_Toc516479749"/>
      <w:bookmarkStart w:id="5276" w:name="_Toc516480071"/>
      <w:bookmarkStart w:id="5277" w:name="_Toc516480385"/>
      <w:bookmarkStart w:id="5278" w:name="_Toc516480699"/>
      <w:bookmarkStart w:id="5279" w:name="_Toc516481013"/>
      <w:bookmarkStart w:id="5280" w:name="_Toc516481327"/>
      <w:bookmarkStart w:id="5281" w:name="_Toc516481641"/>
      <w:bookmarkStart w:id="5282" w:name="_Toc516481955"/>
      <w:bookmarkStart w:id="5283" w:name="_Toc516482269"/>
      <w:bookmarkStart w:id="5284" w:name="_Toc516482583"/>
      <w:bookmarkStart w:id="5285" w:name="_Toc516739757"/>
      <w:bookmarkStart w:id="5286" w:name="_Toc516751669"/>
      <w:bookmarkStart w:id="5287" w:name="_Toc516825757"/>
      <w:bookmarkStart w:id="5288" w:name="_Toc516826315"/>
      <w:bookmarkStart w:id="5289" w:name="_Toc516837635"/>
      <w:bookmarkStart w:id="5290" w:name="_Toc516838194"/>
      <w:bookmarkStart w:id="5291" w:name="_Toc516838753"/>
      <w:bookmarkStart w:id="5292" w:name="_Toc516839313"/>
      <w:bookmarkStart w:id="5293" w:name="_Toc517173409"/>
      <w:bookmarkStart w:id="5294" w:name="_Toc517175083"/>
      <w:bookmarkStart w:id="5295" w:name="_Toc517175670"/>
      <w:bookmarkStart w:id="5296" w:name="_Toc517176258"/>
      <w:bookmarkStart w:id="5297" w:name="_Toc517337583"/>
      <w:bookmarkStart w:id="5298" w:name="_Toc517360379"/>
      <w:bookmarkStart w:id="5299" w:name="_Toc74557750"/>
      <w:bookmarkStart w:id="5300" w:name="_Toc512525484"/>
      <w:bookmarkStart w:id="5301" w:name="_Toc515896798"/>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r w:rsidRPr="007A6175">
        <w:t>040/363-02 : Travaux de raccordement au réseau de distribution d'eau</w:t>
      </w:r>
      <w:bookmarkEnd w:id="5299"/>
      <w:r w:rsidRPr="007A6175">
        <w:t xml:space="preserve"> </w:t>
      </w:r>
    </w:p>
    <w:p w14:paraId="0BB4BB7F" w14:textId="24BB4C10" w:rsidR="009B153C" w:rsidRPr="00E9189F" w:rsidRDefault="009B153C" w:rsidP="008D7EB7">
      <w:pPr>
        <w:spacing w:after="240"/>
      </w:pPr>
      <w:r w:rsidRPr="00A03E6A">
        <w:t>Redevance</w:t>
      </w:r>
      <w:r w:rsidR="002A7D13" w:rsidRPr="003F0B7B">
        <w:t>.</w:t>
      </w:r>
      <w:bookmarkEnd w:id="5300"/>
      <w:bookmarkEnd w:id="5301"/>
    </w:p>
    <w:p w14:paraId="2F89C0F1" w14:textId="77777777" w:rsidR="002A7D13" w:rsidRPr="006D032E" w:rsidRDefault="009B153C" w:rsidP="00256E9F">
      <w:pPr>
        <w:pStyle w:val="Sam3"/>
      </w:pPr>
      <w:bookmarkStart w:id="5302" w:name="_Toc512525485"/>
      <w:bookmarkStart w:id="5303" w:name="_Toc515896799"/>
      <w:bookmarkStart w:id="5304" w:name="_Toc74557751"/>
      <w:r w:rsidRPr="006C6AB2">
        <w:rPr>
          <w:rStyle w:val="Titre3Car"/>
          <w:rFonts w:asciiTheme="minorHAnsi" w:eastAsia="PMingLiU" w:hAnsiTheme="minorHAnsi"/>
          <w:b/>
          <w:sz w:val="24"/>
          <w:szCs w:val="24"/>
        </w:rPr>
        <w:t>040/363-03 : E</w:t>
      </w:r>
      <w:bookmarkStart w:id="5305" w:name="_Hlk93312330"/>
      <w:r w:rsidRPr="006C6AB2">
        <w:rPr>
          <w:rStyle w:val="Titre3Car"/>
          <w:rFonts w:asciiTheme="minorHAnsi" w:eastAsia="PMingLiU" w:hAnsiTheme="minorHAnsi"/>
          <w:b/>
          <w:sz w:val="24"/>
          <w:szCs w:val="24"/>
        </w:rPr>
        <w:t>nlèvement des immondices - Traitement des immondices</w:t>
      </w:r>
      <w:bookmarkEnd w:id="5302"/>
      <w:bookmarkEnd w:id="5303"/>
      <w:bookmarkEnd w:id="5304"/>
      <w:r w:rsidRPr="006D032E">
        <w:t xml:space="preserve"> </w:t>
      </w:r>
      <w:bookmarkEnd w:id="5305"/>
    </w:p>
    <w:p w14:paraId="52BBB42B" w14:textId="77777777" w:rsidR="009B153C" w:rsidRPr="006126A1" w:rsidRDefault="002A7D13" w:rsidP="00E063FD">
      <w:r w:rsidRPr="00E063FD">
        <w:t>T</w:t>
      </w:r>
      <w:r w:rsidR="009B153C" w:rsidRPr="00E063FD">
        <w:t>axe directe pour la partie forfaitaire et indirecte pour la partie variable</w:t>
      </w:r>
      <w:r w:rsidRPr="00E063FD">
        <w:t>.</w:t>
      </w:r>
    </w:p>
    <w:p w14:paraId="05FBAE91" w14:textId="3BDEA79F" w:rsidR="009B153C" w:rsidRPr="000E1CF9"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 décret du 22 mars 2007 </w:t>
      </w:r>
      <w:r w:rsidR="00254D07" w:rsidRPr="00254D07">
        <w:rPr>
          <w:rFonts w:asciiTheme="minorHAnsi" w:hAnsiTheme="minorHAnsi" w:cs="Calibri Light"/>
        </w:rPr>
        <w:t xml:space="preserve">modifiant le décret du 27 juin 1996 relatif aux déchets </w:t>
      </w:r>
      <w:r w:rsidRPr="000E1CF9">
        <w:rPr>
          <w:rFonts w:asciiTheme="minorHAnsi" w:hAnsiTheme="minorHAnsi" w:cs="Calibri Light"/>
        </w:rPr>
        <w:t>impose aux communes l'application du coût-vérité</w:t>
      </w:r>
      <w:r w:rsidRPr="00DA6BD2">
        <w:rPr>
          <w:rFonts w:asciiTheme="minorHAnsi" w:hAnsiTheme="minorHAnsi" w:cs="Calibri Light"/>
        </w:rPr>
        <w:t xml:space="preserve">.  Cela veut dire qu’elles doivent répercuter directement les coûts de gestion des déchets résultant de l'activité usuelle des </w:t>
      </w:r>
      <w:r w:rsidRPr="000E1CF9">
        <w:rPr>
          <w:rFonts w:asciiTheme="minorHAnsi" w:hAnsiTheme="minorHAnsi" w:cs="Calibri Light"/>
        </w:rPr>
        <w:t>ménages sur les bénéficiaires (principe du pollueur-payeur).</w:t>
      </w:r>
    </w:p>
    <w:p w14:paraId="23649518" w14:textId="50F9EAA4" w:rsidR="009B153C" w:rsidRDefault="009B153C" w:rsidP="00E063FD">
      <w:pPr>
        <w:spacing w:before="120"/>
        <w:jc w:val="both"/>
        <w:textAlignment w:val="baseline"/>
        <w:rPr>
          <w:rFonts w:asciiTheme="minorHAnsi" w:hAnsiTheme="minorHAnsi" w:cs="Calibri Light"/>
          <w:u w:val="single"/>
        </w:rPr>
      </w:pPr>
      <w:r w:rsidRPr="006D032E">
        <w:rPr>
          <w:rFonts w:asciiTheme="minorHAnsi" w:hAnsiTheme="minorHAnsi" w:cs="Calibri Light"/>
        </w:rPr>
        <w:t xml:space="preserve">Le décret du 23 juin 2016 </w:t>
      </w:r>
      <w:r w:rsidR="00254D07" w:rsidRPr="006D032E">
        <w:rPr>
          <w:rFonts w:asciiTheme="minorHAnsi" w:hAnsiTheme="minorHAnsi" w:cs="Calibri Light"/>
        </w:rPr>
        <w:t>modifiant le code de l'environnement, le code de l'eau et divers décrets en matière de déchets et de permis d'environnement </w:t>
      </w:r>
      <w:r w:rsidRPr="006D032E">
        <w:rPr>
          <w:rFonts w:asciiTheme="minorHAnsi" w:hAnsiTheme="minorHAnsi" w:cs="Calibri Light"/>
        </w:rPr>
        <w:t xml:space="preserve">prévoit que les communes doivent </w:t>
      </w:r>
      <w:r w:rsidR="00254D07" w:rsidRPr="006D032E">
        <w:rPr>
          <w:rFonts w:asciiTheme="minorHAnsi" w:hAnsiTheme="minorHAnsi" w:cs="Calibri Light"/>
        </w:rPr>
        <w:t>établir la contribution des bénéficiaires de la gestion des déchets de manière à couvrir</w:t>
      </w:r>
      <w:r w:rsidRPr="006D032E">
        <w:rPr>
          <w:rFonts w:asciiTheme="minorHAnsi" w:hAnsiTheme="minorHAnsi" w:cs="Calibri Light"/>
        </w:rPr>
        <w:t xml:space="preserve"> entre </w:t>
      </w:r>
      <w:r w:rsidRPr="006D032E">
        <w:rPr>
          <w:rFonts w:asciiTheme="minorHAnsi" w:hAnsiTheme="minorHAnsi" w:cs="Calibri Light"/>
          <w:u w:val="single"/>
        </w:rPr>
        <w:t xml:space="preserve">95% et 110% </w:t>
      </w:r>
      <w:r w:rsidR="00254D07" w:rsidRPr="006D032E">
        <w:rPr>
          <w:rFonts w:asciiTheme="minorHAnsi" w:hAnsiTheme="minorHAnsi" w:cs="Calibri Light"/>
          <w:u w:val="single"/>
        </w:rPr>
        <w:t>des coûts de gestion des déchets</w:t>
      </w:r>
      <w:r w:rsidRPr="006D032E">
        <w:rPr>
          <w:rFonts w:asciiTheme="minorHAnsi" w:hAnsiTheme="minorHAnsi" w:cs="Calibri Light"/>
          <w:u w:val="single"/>
        </w:rPr>
        <w:t>.</w:t>
      </w:r>
    </w:p>
    <w:p w14:paraId="1EAB7D82" w14:textId="7B59DF62" w:rsidR="001E537F" w:rsidRDefault="001E537F" w:rsidP="00E063FD">
      <w:pPr>
        <w:spacing w:before="120"/>
        <w:jc w:val="both"/>
        <w:textAlignment w:val="baseline"/>
        <w:rPr>
          <w:rFonts w:asciiTheme="minorHAnsi" w:hAnsiTheme="minorHAnsi" w:cs="Calibri Light"/>
          <w:u w:val="single"/>
        </w:rPr>
      </w:pPr>
      <w:r>
        <w:rPr>
          <w:rFonts w:asciiTheme="minorHAnsi" w:hAnsiTheme="minorHAnsi" w:cs="Calibri Light"/>
          <w:u w:val="single"/>
        </w:rPr>
        <w:t xml:space="preserve">Pour rappel, </w:t>
      </w:r>
      <w:r w:rsidRPr="001E537F">
        <w:rPr>
          <w:rFonts w:asciiTheme="minorHAnsi" w:hAnsiTheme="minorHAnsi" w:cs="Calibri Light"/>
          <w:u w:val="single"/>
        </w:rPr>
        <w:t xml:space="preserve">pour les communes sous </w:t>
      </w:r>
      <w:r>
        <w:rPr>
          <w:rFonts w:asciiTheme="minorHAnsi" w:hAnsiTheme="minorHAnsi" w:cs="Calibri Light"/>
          <w:u w:val="single"/>
        </w:rPr>
        <w:t xml:space="preserve">plan de gestion, </w:t>
      </w:r>
      <w:r w:rsidRPr="001E537F">
        <w:rPr>
          <w:rFonts w:asciiTheme="minorHAnsi" w:hAnsiTheme="minorHAnsi" w:cs="Calibri Light"/>
          <w:u w:val="single"/>
        </w:rPr>
        <w:t>le taux de couverture doit se situer entre 100% et 110</w:t>
      </w:r>
      <w:proofErr w:type="gramStart"/>
      <w:r w:rsidRPr="001E537F">
        <w:rPr>
          <w:rFonts w:asciiTheme="minorHAnsi" w:hAnsiTheme="minorHAnsi" w:cs="Calibri Light"/>
          <w:u w:val="single"/>
        </w:rPr>
        <w:t>% .</w:t>
      </w:r>
      <w:proofErr w:type="gramEnd"/>
    </w:p>
    <w:p w14:paraId="1757AC1F" w14:textId="13262606" w:rsidR="00957D30" w:rsidRPr="00256E9F" w:rsidRDefault="00957D30" w:rsidP="00E063FD">
      <w:pPr>
        <w:spacing w:before="120"/>
        <w:jc w:val="both"/>
        <w:textAlignment w:val="baseline"/>
        <w:rPr>
          <w:rFonts w:asciiTheme="minorHAnsi" w:hAnsiTheme="minorHAnsi" w:cs="Calibri Light"/>
          <w:b/>
          <w:bCs/>
          <w:u w:val="single"/>
        </w:rPr>
      </w:pPr>
      <w:r w:rsidRPr="00256E9F">
        <w:rPr>
          <w:rFonts w:asciiTheme="minorHAnsi" w:hAnsiTheme="minorHAnsi" w:cs="Calibri Light"/>
          <w:b/>
          <w:bCs/>
          <w:u w:val="single"/>
        </w:rPr>
        <w:t>Si des modifications devaient être apportées à certains éléments du décret du 23 juin 2016, je ne manquerai pas de vous en informer.</w:t>
      </w:r>
    </w:p>
    <w:p w14:paraId="3E8E03F2"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Le non-respect de la « fourchette » imposée peut avoir un impact sur la liquidation des subventions relatives à la prévention et à la gestion des déchets mais également de celles aux infrastructures.</w:t>
      </w:r>
    </w:p>
    <w:p w14:paraId="3F9391FC" w14:textId="77777777" w:rsidR="00254D07" w:rsidRPr="00254D07" w:rsidRDefault="00254D07" w:rsidP="00254D07">
      <w:pPr>
        <w:spacing w:before="120"/>
        <w:jc w:val="both"/>
        <w:textAlignment w:val="baseline"/>
        <w:rPr>
          <w:rFonts w:asciiTheme="minorHAnsi" w:hAnsiTheme="minorHAnsi" w:cs="Calibri Light"/>
        </w:rPr>
      </w:pPr>
      <w:r w:rsidRPr="006D032E">
        <w:rPr>
          <w:rFonts w:asciiTheme="minorHAnsi" w:hAnsiTheme="minorHAnsi" w:cs="Calibri Light"/>
        </w:rPr>
        <w:t>L’article 21, § 1</w:t>
      </w:r>
      <w:r w:rsidRPr="006D032E">
        <w:rPr>
          <w:rFonts w:asciiTheme="minorHAnsi" w:hAnsiTheme="minorHAnsi" w:cs="Calibri Light"/>
          <w:vertAlign w:val="superscript"/>
        </w:rPr>
        <w:t xml:space="preserve">er, </w:t>
      </w:r>
      <w:r w:rsidRPr="006D032E">
        <w:rPr>
          <w:rFonts w:asciiTheme="minorHAnsi" w:hAnsiTheme="minorHAnsi" w:cs="Calibri Light"/>
        </w:rPr>
        <w:t>alinéa 2 du décret du 27 juin 1996 prévoit que le taux de couverture des coûts est déterminé annuellement, lors de l'établissement des budgets, sur la base des coûts du pénultième exercice et des éléments connus de modification de ces coûts. La commune doit vérifier et justifier chaque année le respect du taux de couverture des coûts établi conformément au présent article.</w:t>
      </w:r>
    </w:p>
    <w:p w14:paraId="64B877D5" w14:textId="09F9CA71" w:rsidR="00485E63" w:rsidRPr="000E1CF9" w:rsidRDefault="00254D07" w:rsidP="00485E63">
      <w:pPr>
        <w:spacing w:before="120"/>
        <w:jc w:val="both"/>
        <w:textAlignment w:val="baseline"/>
        <w:rPr>
          <w:rFonts w:asciiTheme="minorHAnsi" w:hAnsiTheme="minorHAnsi" w:cs="Calibri Light"/>
        </w:rPr>
      </w:pPr>
      <w:r w:rsidRPr="00254D07">
        <w:rPr>
          <w:rFonts w:asciiTheme="minorHAnsi" w:hAnsiTheme="minorHAnsi" w:cs="Calibri Light"/>
        </w:rPr>
        <w:t xml:space="preserve">Je porte à votre connaissance qu'en vertu du fait que le contrôle de la tutelle se limite à l'examen de la légalité et de la conformité à l'intérêt général, l'approbation d'un règlement-taxe par l'autorité de tutelle est subordonnée au respect des dispositions légales et réglementaires relatives à l’article 21 du décret du 27 juin 1996 relatif aux déchets et en particulier à la fourchette de couverture du coût-vérité. </w:t>
      </w:r>
      <w:r w:rsidR="00485E63" w:rsidRPr="00DA6BD2">
        <w:rPr>
          <w:rFonts w:asciiTheme="minorHAnsi" w:hAnsiTheme="minorHAnsi" w:cs="Calibri Light"/>
        </w:rPr>
        <w:t xml:space="preserve">Puisque le taux de </w:t>
      </w:r>
      <w:r w:rsidR="00485E63" w:rsidRPr="000E1CF9">
        <w:rPr>
          <w:rFonts w:asciiTheme="minorHAnsi" w:hAnsiTheme="minorHAnsi" w:cs="Calibri Light"/>
        </w:rPr>
        <w:t xml:space="preserve">couverture du coût-vérité est appelé à varier d'une année à l'autre, je vous recommande de </w:t>
      </w:r>
      <w:r w:rsidR="00485E63" w:rsidRPr="00B050DE">
        <w:rPr>
          <w:rFonts w:asciiTheme="minorHAnsi" w:hAnsiTheme="minorHAnsi" w:cs="Calibri Light"/>
          <w:b/>
        </w:rPr>
        <w:t>voter annuellement</w:t>
      </w:r>
      <w:r w:rsidR="00485E63" w:rsidRPr="000E1CF9">
        <w:rPr>
          <w:rFonts w:asciiTheme="minorHAnsi" w:hAnsiTheme="minorHAnsi" w:cs="Calibri Light"/>
        </w:rPr>
        <w:t xml:space="preserve"> votre règlement-taxe.</w:t>
      </w:r>
    </w:p>
    <w:p w14:paraId="13DA167A" w14:textId="77777777" w:rsidR="00485E63" w:rsidRPr="00DA6BD2" w:rsidRDefault="00485E63" w:rsidP="00485E63">
      <w:pPr>
        <w:spacing w:before="120"/>
        <w:jc w:val="both"/>
        <w:textAlignment w:val="baseline"/>
        <w:rPr>
          <w:rFonts w:asciiTheme="minorHAnsi" w:hAnsiTheme="minorHAnsi" w:cs="Calibri Light"/>
        </w:rPr>
      </w:pPr>
      <w:r w:rsidRPr="00DA6BD2">
        <w:rPr>
          <w:rFonts w:asciiTheme="minorHAnsi" w:hAnsiTheme="minorHAnsi" w:cs="Calibri Light"/>
        </w:rPr>
        <w:t xml:space="preserve">Les communes qui pratiquent un système de mise en </w:t>
      </w:r>
      <w:r w:rsidRPr="00DA6BD2">
        <w:rPr>
          <w:rFonts w:asciiTheme="minorHAnsi" w:hAnsiTheme="minorHAnsi" w:cs="Calibri Light"/>
          <w:b/>
        </w:rPr>
        <w:t>vente de sacs poubelles</w:t>
      </w:r>
      <w:r w:rsidRPr="00DA6BD2">
        <w:rPr>
          <w:rFonts w:asciiTheme="minorHAnsi" w:hAnsiTheme="minorHAnsi" w:cs="Calibri Light"/>
        </w:rPr>
        <w:t xml:space="preserve"> payants enregistrent la recette de vente des sacs à l'article budgétaire 040/363-16, la dépense d'achat des sacs étant enregistrée à l'article de dépenses 876/124-04. </w:t>
      </w:r>
    </w:p>
    <w:p w14:paraId="309CEF9B" w14:textId="5E712CD7" w:rsidR="00485E63" w:rsidRDefault="00485E63" w:rsidP="00485E63">
      <w:pPr>
        <w:spacing w:before="120"/>
        <w:jc w:val="both"/>
        <w:textAlignment w:val="baseline"/>
        <w:rPr>
          <w:rFonts w:asciiTheme="minorHAnsi" w:hAnsiTheme="minorHAnsi" w:cs="Calibri Light"/>
        </w:rPr>
      </w:pPr>
      <w:r w:rsidRPr="00DA6BD2">
        <w:rPr>
          <w:rFonts w:asciiTheme="minorHAnsi" w:hAnsiTheme="minorHAnsi" w:cs="Calibri Light"/>
        </w:rPr>
        <w:t>Les communes qui ont confié la vente de sacs poubelles à une intercommunale chargée de l'enlèvement des immondices comptabilisent également ce produit à l'article 040/363-16. Il n'est pas admis d'opérer la compensation avec les dépenses facturées par l'intercommunale qui sont portées à l'article 876/435-01.</w:t>
      </w:r>
    </w:p>
    <w:p w14:paraId="35705770" w14:textId="544B5D15"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 xml:space="preserve">Vous trouverez à ce sujet des informations </w:t>
      </w:r>
      <w:r>
        <w:rPr>
          <w:rFonts w:asciiTheme="minorHAnsi" w:hAnsiTheme="minorHAnsi" w:cs="Calibri Light"/>
        </w:rPr>
        <w:t xml:space="preserve">importantes et </w:t>
      </w:r>
      <w:r w:rsidRPr="00254D07">
        <w:rPr>
          <w:rFonts w:asciiTheme="minorHAnsi" w:hAnsiTheme="minorHAnsi" w:cs="Calibri Light"/>
        </w:rPr>
        <w:t>plus détaillées ci-dessous</w:t>
      </w:r>
      <w:r>
        <w:rPr>
          <w:rFonts w:asciiTheme="minorHAnsi" w:hAnsiTheme="minorHAnsi" w:cs="Calibri Light"/>
        </w:rPr>
        <w:t>.</w:t>
      </w:r>
    </w:p>
    <w:p w14:paraId="047AAB3F" w14:textId="2AA88C39"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lastRenderedPageBreak/>
        <w:t xml:space="preserve">Je tiens </w:t>
      </w:r>
      <w:r>
        <w:rPr>
          <w:rFonts w:asciiTheme="minorHAnsi" w:hAnsiTheme="minorHAnsi" w:cs="Calibri Light"/>
        </w:rPr>
        <w:t xml:space="preserve">ainsi </w:t>
      </w:r>
      <w:r w:rsidRPr="00254D07">
        <w:rPr>
          <w:rFonts w:asciiTheme="minorHAnsi" w:hAnsiTheme="minorHAnsi" w:cs="Calibri Light"/>
        </w:rPr>
        <w:t>à vous rappeler que :</w:t>
      </w:r>
    </w:p>
    <w:p w14:paraId="710833C6" w14:textId="0A26F0D9" w:rsidR="00254D07" w:rsidRPr="00254D07" w:rsidRDefault="00254D07" w:rsidP="00254D07">
      <w:pPr>
        <w:numPr>
          <w:ilvl w:val="0"/>
          <w:numId w:val="121"/>
        </w:numPr>
        <w:spacing w:before="120"/>
        <w:jc w:val="both"/>
        <w:textAlignment w:val="baseline"/>
        <w:rPr>
          <w:rFonts w:asciiTheme="minorHAnsi" w:hAnsiTheme="minorHAnsi" w:cs="Calibri Light"/>
        </w:rPr>
      </w:pPr>
      <w:proofErr w:type="gramStart"/>
      <w:r w:rsidRPr="00254D07">
        <w:rPr>
          <w:rFonts w:asciiTheme="minorHAnsi" w:hAnsiTheme="minorHAnsi" w:cs="Calibri Light"/>
        </w:rPr>
        <w:t>la</w:t>
      </w:r>
      <w:proofErr w:type="gramEnd"/>
      <w:r w:rsidRPr="00254D07">
        <w:rPr>
          <w:rFonts w:asciiTheme="minorHAnsi" w:hAnsiTheme="minorHAnsi" w:cs="Calibri Light"/>
        </w:rPr>
        <w:t xml:space="preserve"> taxe relative à la gestion des déchets est réglementée en ce qui concerne les déchets des ménages, par l'arrêté du gouvernement wallon du 5 mars 2008 relatif à la gestion des déchets, résultant de l'activité usuelle des ménages et à la couverture des coûts y afférents. Pour plus de précisions je vous renvoie à la circulaire ministérielle du </w:t>
      </w:r>
      <w:r w:rsidR="00925915">
        <w:rPr>
          <w:rFonts w:asciiTheme="minorHAnsi" w:hAnsiTheme="minorHAnsi" w:cs="Calibri Light"/>
        </w:rPr>
        <w:t>25</w:t>
      </w:r>
      <w:r w:rsidR="00925915" w:rsidRPr="00254D07">
        <w:rPr>
          <w:rFonts w:asciiTheme="minorHAnsi" w:hAnsiTheme="minorHAnsi" w:cs="Calibri Light"/>
        </w:rPr>
        <w:t xml:space="preserve"> </w:t>
      </w:r>
      <w:r w:rsidRPr="00254D07">
        <w:rPr>
          <w:rFonts w:asciiTheme="minorHAnsi" w:hAnsiTheme="minorHAnsi" w:cs="Calibri Light"/>
        </w:rPr>
        <w:t>septembre 2008</w:t>
      </w:r>
      <w:r w:rsidR="006A79F5">
        <w:rPr>
          <w:rStyle w:val="Appelnotedebasdep"/>
          <w:rFonts w:asciiTheme="minorHAnsi" w:hAnsiTheme="minorHAnsi" w:cs="Calibri Light"/>
        </w:rPr>
        <w:footnoteReference w:id="145"/>
      </w:r>
      <w:r w:rsidRPr="00254D07">
        <w:rPr>
          <w:rFonts w:asciiTheme="minorHAnsi" w:hAnsiTheme="minorHAnsi" w:cs="Calibri Light"/>
        </w:rPr>
        <w:t> ;</w:t>
      </w:r>
    </w:p>
    <w:p w14:paraId="62B7335B" w14:textId="77777777" w:rsidR="00254D07" w:rsidRPr="00254D07" w:rsidRDefault="00254D07" w:rsidP="00254D07">
      <w:pPr>
        <w:numPr>
          <w:ilvl w:val="0"/>
          <w:numId w:val="121"/>
        </w:numPr>
        <w:spacing w:before="120"/>
        <w:jc w:val="both"/>
        <w:textAlignment w:val="baseline"/>
        <w:rPr>
          <w:rFonts w:asciiTheme="minorHAnsi" w:hAnsiTheme="minorHAnsi" w:cs="Calibri Light"/>
        </w:rPr>
      </w:pPr>
      <w:proofErr w:type="gramStart"/>
      <w:r w:rsidRPr="00254D07">
        <w:rPr>
          <w:rFonts w:asciiTheme="minorHAnsi" w:hAnsiTheme="minorHAnsi" w:cs="Calibri Light"/>
        </w:rPr>
        <w:t>l’arrêté</w:t>
      </w:r>
      <w:proofErr w:type="gramEnd"/>
      <w:r w:rsidRPr="00254D07">
        <w:rPr>
          <w:rFonts w:asciiTheme="minorHAnsi" w:hAnsiTheme="minorHAnsi" w:cs="Calibri Light"/>
        </w:rPr>
        <w:t xml:space="preserve"> du Gouvernement wallon du 7 avril 2011 modifiant l'arrêté du Gouvernement wallon du 5 mars 2008 relatif à la gestion des déchets issus de l'activité usuelle des ménages et à la couverture des coûts y afférents prévoit :</w:t>
      </w:r>
    </w:p>
    <w:p w14:paraId="293A10C9" w14:textId="77777777" w:rsidR="00254D07" w:rsidRPr="00254D07" w:rsidRDefault="00254D07" w:rsidP="00254D07">
      <w:pPr>
        <w:numPr>
          <w:ilvl w:val="1"/>
          <w:numId w:val="121"/>
        </w:numPr>
        <w:spacing w:before="120"/>
        <w:jc w:val="both"/>
        <w:textAlignment w:val="baseline"/>
        <w:rPr>
          <w:rFonts w:asciiTheme="minorHAnsi" w:hAnsiTheme="minorHAnsi" w:cs="Calibri Light"/>
        </w:rPr>
      </w:pPr>
      <w:r w:rsidRPr="00254D07">
        <w:rPr>
          <w:rFonts w:asciiTheme="minorHAnsi" w:hAnsiTheme="minorHAnsi" w:cs="Calibri Light"/>
        </w:rPr>
        <w:t xml:space="preserve">d’une part, que les communes doivent communiquer au « SPW Agriculture, Ressources naturelles et Environnement - Département du sol et des déchets » </w:t>
      </w:r>
      <w:r w:rsidRPr="00254D07">
        <w:rPr>
          <w:rFonts w:asciiTheme="minorHAnsi" w:hAnsiTheme="minorHAnsi" w:cs="Calibri Light"/>
          <w:u w:val="single"/>
        </w:rPr>
        <w:t>avant le 15 novembre au plus tard de l'année précédant l'exercice d'imposition</w:t>
      </w:r>
      <w:r w:rsidRPr="00254D07">
        <w:rPr>
          <w:rFonts w:asciiTheme="minorHAnsi" w:hAnsiTheme="minorHAnsi" w:cs="Calibri Light"/>
        </w:rPr>
        <w:t>, les recettes et dépenses visées aux articles 9 et 10 du présent arrêté, et le règlement taxe ou redevance ou le projet de règlement taxe ou redevance pour l'exercice à venir, relatifs aux services minimum et complémentaires afin d'établir le taux de couverture des coûts pour l'exercice d'imposition ;</w:t>
      </w:r>
    </w:p>
    <w:p w14:paraId="51DDD97D" w14:textId="0BA97625" w:rsidR="006834BC" w:rsidRPr="00A65F14" w:rsidRDefault="00254D07" w:rsidP="00A65F14">
      <w:pPr>
        <w:pStyle w:val="Paragraphedeliste"/>
        <w:numPr>
          <w:ilvl w:val="1"/>
          <w:numId w:val="121"/>
        </w:numPr>
        <w:jc w:val="both"/>
        <w:rPr>
          <w:rFonts w:asciiTheme="minorHAnsi" w:hAnsiTheme="minorHAnsi" w:cs="Calibri Light"/>
          <w:b/>
          <w:bCs/>
        </w:rPr>
      </w:pPr>
      <w:bookmarkStart w:id="5306" w:name="_Hlk38967585"/>
      <w:proofErr w:type="gramStart"/>
      <w:r w:rsidRPr="00A65F14">
        <w:rPr>
          <w:rFonts w:asciiTheme="minorHAnsi" w:hAnsiTheme="minorHAnsi" w:cs="Calibri Light"/>
          <w:b/>
          <w:bCs/>
        </w:rPr>
        <w:t>et</w:t>
      </w:r>
      <w:proofErr w:type="gramEnd"/>
      <w:r w:rsidRPr="00A65F14">
        <w:rPr>
          <w:rFonts w:asciiTheme="minorHAnsi" w:hAnsiTheme="minorHAnsi" w:cs="Calibri Light"/>
          <w:b/>
          <w:bCs/>
        </w:rPr>
        <w:t xml:space="preserve"> d’autre part, établit une obligation de fournir un certain nombre de sacs/vignettes/levées/kg « gratuits »</w:t>
      </w:r>
      <w:r w:rsidR="006834BC" w:rsidRPr="00A65F14">
        <w:rPr>
          <w:rFonts w:asciiTheme="minorHAnsi" w:hAnsiTheme="minorHAnsi" w:cs="Calibri Light"/>
          <w:b/>
          <w:bCs/>
        </w:rPr>
        <w:t>, nombre qui doit apparaître explicitement dans le règlement-taxe ;</w:t>
      </w:r>
      <w:r w:rsidR="001E537F">
        <w:rPr>
          <w:rFonts w:asciiTheme="minorHAnsi" w:hAnsiTheme="minorHAnsi" w:cs="Calibri Light"/>
          <w:b/>
          <w:bCs/>
        </w:rPr>
        <w:t xml:space="preserve"> </w:t>
      </w:r>
      <w:r w:rsidR="001E537F" w:rsidRPr="00256E9F">
        <w:rPr>
          <w:rFonts w:asciiTheme="minorHAnsi" w:hAnsiTheme="minorHAnsi" w:cs="Calibri Light"/>
        </w:rPr>
        <w:t>je vous invite à être particulièrement attentifs à cette obligation légale et donc de la respecter, eu égard aux conséquences pour les finances locales découlant du risque important de contentieux</w:t>
      </w:r>
      <w:r w:rsidR="001E537F">
        <w:rPr>
          <w:rFonts w:asciiTheme="minorHAnsi" w:hAnsiTheme="minorHAnsi" w:cs="Calibri Light"/>
        </w:rPr>
        <w:t>.</w:t>
      </w:r>
    </w:p>
    <w:bookmarkEnd w:id="5306"/>
    <w:p w14:paraId="072B8FA8" w14:textId="77777777" w:rsidR="00254D07" w:rsidRPr="00254D07" w:rsidRDefault="00254D07" w:rsidP="00254D07">
      <w:pPr>
        <w:numPr>
          <w:ilvl w:val="0"/>
          <w:numId w:val="121"/>
        </w:numPr>
        <w:spacing w:before="120"/>
        <w:jc w:val="both"/>
        <w:textAlignment w:val="baseline"/>
        <w:rPr>
          <w:rFonts w:asciiTheme="minorHAnsi" w:hAnsiTheme="minorHAnsi" w:cs="Calibri Light"/>
        </w:rPr>
      </w:pPr>
      <w:proofErr w:type="gramStart"/>
      <w:r w:rsidRPr="00254D07">
        <w:rPr>
          <w:rFonts w:asciiTheme="minorHAnsi" w:hAnsiTheme="minorHAnsi" w:cs="Calibri Light"/>
        </w:rPr>
        <w:t>l’arrêté</w:t>
      </w:r>
      <w:proofErr w:type="gramEnd"/>
      <w:r w:rsidRPr="00254D07">
        <w:rPr>
          <w:rFonts w:asciiTheme="minorHAnsi" w:hAnsiTheme="minorHAnsi" w:cs="Calibri Light"/>
        </w:rPr>
        <w:t xml:space="preserve"> du Gouvernement wallon du 9 juin 2016 a introduit de nouvelles obligations dans le service minimum en matière de gestion des déchets ménagers :  </w:t>
      </w:r>
    </w:p>
    <w:p w14:paraId="2D32E1F8" w14:textId="77777777" w:rsidR="00254D07" w:rsidRPr="00254D07" w:rsidRDefault="00254D07" w:rsidP="00254D07">
      <w:pPr>
        <w:numPr>
          <w:ilvl w:val="1"/>
          <w:numId w:val="121"/>
        </w:numPr>
        <w:spacing w:before="120"/>
        <w:jc w:val="both"/>
        <w:textAlignment w:val="baseline"/>
        <w:rPr>
          <w:rFonts w:asciiTheme="minorHAnsi" w:hAnsiTheme="minorHAnsi" w:cs="Calibri Light"/>
        </w:rPr>
      </w:pPr>
      <w:proofErr w:type="gramStart"/>
      <w:r w:rsidRPr="00254D07">
        <w:rPr>
          <w:rFonts w:asciiTheme="minorHAnsi" w:hAnsiTheme="minorHAnsi" w:cs="Calibri Light"/>
        </w:rPr>
        <w:t>d’une</w:t>
      </w:r>
      <w:proofErr w:type="gramEnd"/>
      <w:r w:rsidRPr="00254D07">
        <w:rPr>
          <w:rFonts w:asciiTheme="minorHAnsi" w:hAnsiTheme="minorHAnsi" w:cs="Calibri Light"/>
        </w:rPr>
        <w:t xml:space="preserve"> part, les communes doivent ainsi permettre aux citoyens de se défaire de manière sélective des films d'emballage en plastique, en ce compris les sacs en plastique, mais également de la fraction en plastique rigide des encombrants ;</w:t>
      </w:r>
    </w:p>
    <w:p w14:paraId="1413BAF1" w14:textId="77777777" w:rsidR="00254D07" w:rsidRPr="00254D07" w:rsidRDefault="00254D07" w:rsidP="00254D07">
      <w:pPr>
        <w:numPr>
          <w:ilvl w:val="1"/>
          <w:numId w:val="121"/>
        </w:numPr>
        <w:spacing w:before="120"/>
        <w:jc w:val="both"/>
        <w:textAlignment w:val="baseline"/>
        <w:rPr>
          <w:rFonts w:asciiTheme="minorHAnsi" w:hAnsiTheme="minorHAnsi" w:cs="Calibri Light"/>
        </w:rPr>
      </w:pPr>
      <w:proofErr w:type="gramStart"/>
      <w:r w:rsidRPr="00254D07">
        <w:rPr>
          <w:rFonts w:asciiTheme="minorHAnsi" w:hAnsiTheme="minorHAnsi" w:cs="Calibri Light"/>
        </w:rPr>
        <w:t>d’un</w:t>
      </w:r>
      <w:proofErr w:type="gramEnd"/>
      <w:r w:rsidRPr="00254D07">
        <w:rPr>
          <w:rFonts w:asciiTheme="minorHAnsi" w:hAnsiTheme="minorHAnsi" w:cs="Calibri Light"/>
        </w:rPr>
        <w:t xml:space="preserve"> autre part, les communes sont chargées de mettre en place les conditions nécessaires </w:t>
      </w:r>
      <w:r w:rsidRPr="00254D07">
        <w:rPr>
          <w:rFonts w:asciiTheme="minorHAnsi" w:hAnsiTheme="minorHAnsi" w:cs="Calibri Light"/>
          <w:u w:val="single"/>
        </w:rPr>
        <w:t>pour qu'au plus tard le 1</w:t>
      </w:r>
      <w:r w:rsidRPr="00254D07">
        <w:rPr>
          <w:rFonts w:asciiTheme="minorHAnsi" w:hAnsiTheme="minorHAnsi" w:cs="Calibri Light"/>
          <w:u w:val="single"/>
          <w:vertAlign w:val="superscript"/>
        </w:rPr>
        <w:t>er</w:t>
      </w:r>
      <w:r w:rsidRPr="00254D07">
        <w:rPr>
          <w:rFonts w:asciiTheme="minorHAnsi" w:hAnsiTheme="minorHAnsi" w:cs="Calibri Light"/>
          <w:u w:val="single"/>
        </w:rPr>
        <w:t xml:space="preserve"> janvier 2025</w:t>
      </w:r>
      <w:r w:rsidRPr="00254D07">
        <w:rPr>
          <w:rFonts w:asciiTheme="minorHAnsi" w:hAnsiTheme="minorHAnsi" w:cs="Calibri Light"/>
        </w:rPr>
        <w:t xml:space="preserve"> tous les citoyens puissent séparer efficacement les déchets organiques du flux d'ordures ménagères, en vue de leur biométhanisation ou de leur compostage, y compris à domicile ;</w:t>
      </w:r>
    </w:p>
    <w:p w14:paraId="53F76CD7"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Il peut être utile de rappeler ici la ligne du temps pour les règlements relatifs aux impositions communales, et dans laquelle s’incorporent les dispositions spécifiques de l’arrêté du 5 mars 2008 relatif à la gestion des déchets issus de l'activité usuelle des ménages et à la couverture des coûts y afférents :</w:t>
      </w:r>
    </w:p>
    <w:p w14:paraId="67C3A1CB" w14:textId="4267F147" w:rsidR="00EC1DA3" w:rsidRDefault="00EC1DA3" w:rsidP="00254D07">
      <w:pPr>
        <w:spacing w:before="120"/>
        <w:jc w:val="both"/>
        <w:textAlignment w:val="baseline"/>
        <w:rPr>
          <w:rFonts w:asciiTheme="minorHAnsi" w:hAnsiTheme="minorHAnsi" w:cs="Calibri Light"/>
        </w:rPr>
      </w:pPr>
    </w:p>
    <w:p w14:paraId="23DBC9DB" w14:textId="29BA7C23" w:rsidR="00B235BB" w:rsidRDefault="00B235BB" w:rsidP="00254D07">
      <w:pPr>
        <w:spacing w:before="120"/>
        <w:jc w:val="both"/>
        <w:textAlignment w:val="baseline"/>
        <w:rPr>
          <w:rFonts w:asciiTheme="minorHAnsi" w:hAnsiTheme="minorHAnsi" w:cs="Calibri Light"/>
        </w:rPr>
      </w:pPr>
      <w:r w:rsidRPr="00B235BB">
        <w:rPr>
          <w:rFonts w:eastAsia="Calibri"/>
          <w:noProof/>
          <w:sz w:val="22"/>
          <w:szCs w:val="22"/>
          <w:lang w:val="fr-BE" w:eastAsia="en-US"/>
        </w:rPr>
        <w:lastRenderedPageBreak/>
        <w:drawing>
          <wp:inline distT="0" distB="0" distL="0" distR="0" wp14:anchorId="723926F3" wp14:editId="6F48426B">
            <wp:extent cx="6191250" cy="1743075"/>
            <wp:effectExtent l="0" t="0" r="19050" b="9525"/>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F5C60A8" w14:textId="77777777" w:rsidR="00B235BB" w:rsidRDefault="00B235BB" w:rsidP="00254D07">
      <w:pPr>
        <w:spacing w:before="120"/>
        <w:jc w:val="both"/>
        <w:textAlignment w:val="baseline"/>
        <w:rPr>
          <w:rFonts w:asciiTheme="minorHAnsi" w:hAnsiTheme="minorHAnsi" w:cs="Calibri Light"/>
        </w:rPr>
      </w:pPr>
    </w:p>
    <w:p w14:paraId="0E0AB90B" w14:textId="77CB2C65" w:rsidR="00B235BB" w:rsidRDefault="00B235BB" w:rsidP="00254D07">
      <w:pPr>
        <w:spacing w:before="120"/>
        <w:jc w:val="both"/>
        <w:textAlignment w:val="baseline"/>
        <w:rPr>
          <w:rFonts w:asciiTheme="minorHAnsi" w:hAnsiTheme="minorHAnsi" w:cs="Calibri Light"/>
        </w:rPr>
      </w:pPr>
      <w:r w:rsidRPr="00B235BB">
        <w:rPr>
          <w:rFonts w:eastAsia="Calibri"/>
          <w:noProof/>
          <w:sz w:val="22"/>
          <w:szCs w:val="22"/>
          <w:lang w:val="fr-BE" w:eastAsia="en-US"/>
        </w:rPr>
        <w:drawing>
          <wp:inline distT="0" distB="0" distL="0" distR="0" wp14:anchorId="48732423" wp14:editId="5C4B9DAE">
            <wp:extent cx="6200775" cy="2867025"/>
            <wp:effectExtent l="0" t="0" r="28575" b="9525"/>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80A2F74" w14:textId="77777777" w:rsidR="00B235BB" w:rsidRDefault="00B235BB" w:rsidP="00254D07">
      <w:pPr>
        <w:spacing w:before="120"/>
        <w:jc w:val="both"/>
        <w:textAlignment w:val="baseline"/>
        <w:rPr>
          <w:rFonts w:asciiTheme="minorHAnsi" w:hAnsiTheme="minorHAnsi" w:cs="Calibri Light"/>
        </w:rPr>
      </w:pPr>
    </w:p>
    <w:p w14:paraId="5A6EA80C" w14:textId="7700D005" w:rsidR="00254D07" w:rsidRPr="00256E9F" w:rsidRDefault="00254D07" w:rsidP="00254D07">
      <w:pPr>
        <w:spacing w:before="120"/>
        <w:jc w:val="both"/>
        <w:textAlignment w:val="baseline"/>
        <w:rPr>
          <w:rFonts w:asciiTheme="minorHAnsi" w:hAnsiTheme="minorHAnsi" w:cs="Calibri Light"/>
          <w:b/>
          <w:bCs/>
        </w:rPr>
      </w:pPr>
      <w:r w:rsidRPr="00256E9F">
        <w:rPr>
          <w:rFonts w:asciiTheme="minorHAnsi" w:hAnsiTheme="minorHAnsi" w:cs="Calibri Light"/>
          <w:b/>
          <w:bCs/>
        </w:rPr>
        <w:t>J’attire votre attention sur les éléments suivants :</w:t>
      </w:r>
    </w:p>
    <w:p w14:paraId="6231AD4C" w14:textId="77777777" w:rsidR="00254D07" w:rsidRPr="00BB7DBD" w:rsidRDefault="00254D07" w:rsidP="00254D07">
      <w:pPr>
        <w:numPr>
          <w:ilvl w:val="0"/>
          <w:numId w:val="122"/>
        </w:numPr>
        <w:spacing w:before="120"/>
        <w:jc w:val="both"/>
        <w:textAlignment w:val="baseline"/>
        <w:rPr>
          <w:rFonts w:asciiTheme="minorHAnsi" w:hAnsiTheme="minorHAnsi" w:cs="Calibri Light"/>
        </w:rPr>
      </w:pPr>
      <w:proofErr w:type="gramStart"/>
      <w:r w:rsidRPr="00BB7DBD">
        <w:rPr>
          <w:rFonts w:asciiTheme="minorHAnsi" w:hAnsiTheme="minorHAnsi" w:cs="Calibri Light"/>
        </w:rPr>
        <w:t>le</w:t>
      </w:r>
      <w:proofErr w:type="gramEnd"/>
      <w:r w:rsidRPr="00BB7DBD">
        <w:rPr>
          <w:rFonts w:asciiTheme="minorHAnsi" w:hAnsiTheme="minorHAnsi" w:cs="Calibri Light"/>
        </w:rPr>
        <w:t xml:space="preserve"> taux de couverture du coût-vérité doit faire l'objet d'un point séparé au Conseil communal et être voté par le Conseil communal avant le règlement-taxe. ;</w:t>
      </w:r>
    </w:p>
    <w:p w14:paraId="26D22DC1" w14:textId="77777777" w:rsidR="00254D07" w:rsidRPr="00BB7DBD" w:rsidRDefault="00254D07" w:rsidP="00254D07">
      <w:pPr>
        <w:numPr>
          <w:ilvl w:val="0"/>
          <w:numId w:val="122"/>
        </w:numPr>
        <w:spacing w:before="120"/>
        <w:jc w:val="both"/>
        <w:textAlignment w:val="baseline"/>
        <w:rPr>
          <w:rFonts w:asciiTheme="minorHAnsi" w:hAnsiTheme="minorHAnsi" w:cs="Calibri Light"/>
        </w:rPr>
      </w:pPr>
      <w:proofErr w:type="gramStart"/>
      <w:r w:rsidRPr="00BB7DBD">
        <w:rPr>
          <w:rFonts w:asciiTheme="minorHAnsi" w:hAnsiTheme="minorHAnsi" w:cs="Calibri Light"/>
        </w:rPr>
        <w:t>la</w:t>
      </w:r>
      <w:proofErr w:type="gramEnd"/>
      <w:r w:rsidRPr="00BB7DBD">
        <w:rPr>
          <w:rFonts w:asciiTheme="minorHAnsi" w:hAnsiTheme="minorHAnsi" w:cs="Calibri Light"/>
        </w:rPr>
        <w:t xml:space="preserve"> date du Conseil communal au cours duquel le taux de couverture a été arrêté qui doit apparaître sur l'attestation de couverture du coût-vérité ;</w:t>
      </w:r>
    </w:p>
    <w:p w14:paraId="6832033A" w14:textId="2730498A" w:rsidR="00254D07" w:rsidRPr="00256E9F" w:rsidRDefault="00254D07" w:rsidP="00256E9F">
      <w:pPr>
        <w:numPr>
          <w:ilvl w:val="0"/>
          <w:numId w:val="122"/>
        </w:numPr>
        <w:spacing w:before="120"/>
        <w:jc w:val="both"/>
        <w:textAlignment w:val="baseline"/>
        <w:rPr>
          <w:rFonts w:asciiTheme="minorHAnsi" w:hAnsiTheme="minorHAnsi" w:cs="Calibri Light"/>
          <w:color w:val="0000FF"/>
        </w:rPr>
      </w:pPr>
      <w:proofErr w:type="gramStart"/>
      <w:r w:rsidRPr="00BB7DBD">
        <w:rPr>
          <w:rFonts w:asciiTheme="minorHAnsi" w:hAnsiTheme="minorHAnsi" w:cs="Calibri Light"/>
        </w:rPr>
        <w:t>l'attestation</w:t>
      </w:r>
      <w:proofErr w:type="gramEnd"/>
      <w:r w:rsidRPr="00BB7DBD">
        <w:rPr>
          <w:rFonts w:asciiTheme="minorHAnsi" w:hAnsiTheme="minorHAnsi" w:cs="Calibri Light"/>
        </w:rPr>
        <w:t xml:space="preserve"> de couverture du coût-</w:t>
      </w:r>
      <w:r w:rsidR="001044C0" w:rsidRPr="00BB7DBD">
        <w:rPr>
          <w:rFonts w:asciiTheme="minorHAnsi" w:hAnsiTheme="minorHAnsi" w:cs="Calibri Light"/>
        </w:rPr>
        <w:t>vérité constitue</w:t>
      </w:r>
      <w:r w:rsidRPr="00BB7DBD">
        <w:rPr>
          <w:rFonts w:asciiTheme="minorHAnsi" w:hAnsiTheme="minorHAnsi" w:cs="Calibri Light"/>
        </w:rPr>
        <w:t xml:space="preserve"> une pièce justificative obligatoire du règlement-taxe. </w:t>
      </w:r>
      <w:r w:rsidR="00F34067" w:rsidRPr="00BB7DBD">
        <w:rPr>
          <w:rFonts w:asciiTheme="minorHAnsi" w:hAnsiTheme="minorHAnsi" w:cs="Calibri Light"/>
        </w:rPr>
        <w:t>Elle doit être établie en bonne et due forme et faire partie des documents qui constituent la farde des conseillers, laquelle doit être mise à disposition des conseillers 7 jours francs avant la date du conseil communal (art L 1122-13 du CDLD).</w:t>
      </w:r>
    </w:p>
    <w:p w14:paraId="3D17484C" w14:textId="1FEFB9B3" w:rsidR="00925915" w:rsidRPr="00254D07" w:rsidRDefault="00925915" w:rsidP="00254D07">
      <w:pPr>
        <w:numPr>
          <w:ilvl w:val="0"/>
          <w:numId w:val="122"/>
        </w:numPr>
        <w:spacing w:before="120"/>
        <w:jc w:val="both"/>
        <w:textAlignment w:val="baseline"/>
        <w:rPr>
          <w:rFonts w:asciiTheme="minorHAnsi" w:hAnsiTheme="minorHAnsi" w:cs="Calibri Light"/>
        </w:rPr>
      </w:pPr>
      <w:proofErr w:type="gramStart"/>
      <w:r w:rsidRPr="00BB7DBD">
        <w:rPr>
          <w:rFonts w:asciiTheme="minorHAnsi" w:hAnsiTheme="minorHAnsi" w:cs="Calibri Light"/>
        </w:rPr>
        <w:t>la</w:t>
      </w:r>
      <w:proofErr w:type="gramEnd"/>
      <w:r w:rsidRPr="00BB7DBD">
        <w:rPr>
          <w:rFonts w:asciiTheme="minorHAnsi" w:hAnsiTheme="minorHAnsi" w:cs="Calibri Light"/>
        </w:rPr>
        <w:t xml:space="preserve"> date du conseil communal à laquelle le taux de couverture a été adopté et le taux de couverture du coût-vérité doivent apparaître dans le préambule du règlement-taxe sue les</w:t>
      </w:r>
      <w:r>
        <w:rPr>
          <w:rFonts w:asciiTheme="minorHAnsi" w:hAnsiTheme="minorHAnsi" w:cs="Calibri Light"/>
        </w:rPr>
        <w:t xml:space="preserve"> déchets ménagers</w:t>
      </w:r>
      <w:r w:rsidRPr="00925915">
        <w:rPr>
          <w:rFonts w:asciiTheme="minorHAnsi" w:hAnsiTheme="minorHAnsi" w:cs="Calibri Light"/>
        </w:rPr>
        <w:t>.</w:t>
      </w:r>
    </w:p>
    <w:p w14:paraId="61B2B829"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 xml:space="preserve">Les services de tutelle reçoivent directement et automatiquement cette pièce du « Département du sol et des déchets du SPW Agriculture, Ressources naturelles et Environnement ». </w:t>
      </w:r>
    </w:p>
    <w:p w14:paraId="204FF2E9"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lastRenderedPageBreak/>
        <w:t>Il en résulte que le délai de tutelle ne pourra débuter que si et seulement si la commune a bien rentré son formulaire « coût-vérité » au « Département du sol et des déchets du SPW Agriculture, Ressources naturelles et Environnement ». Autrement dit, si cette attestation n'est pas disponible au « Département du sol et des déchets du SPW Agriculture, Ressources naturelles et Environnement », le délai de tutelle ne commencera donc pas à courir.</w:t>
      </w:r>
    </w:p>
    <w:p w14:paraId="36268B58"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Enfin, l’arrêté du Gouvernement wallon « coût-vérité » réglemente le mode de calcul de la taxe « déchets » des ménages : celle-ci ne peut donc plus couvrir que la prévention et la gestion des déchets des ménages.</w:t>
      </w:r>
    </w:p>
    <w:p w14:paraId="7FBC795E"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Afin de tenir compte de cette exigence, l'article 040/363-03 est uniquement réservé à la taxe afférente aux déchets des ménages.</w:t>
      </w:r>
    </w:p>
    <w:p w14:paraId="7C891982"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Les autres aspects englobés dans cette taxe peuvent continuer à subsister si la commune le souhaite par ventilation comptable de l'article 040/363-03 à l'article 040xx/363-48 ou par l'adoption d'un règlement-taxe pour prestations diverses d'hygiène publique (040/363-48).</w:t>
      </w:r>
    </w:p>
    <w:p w14:paraId="32A494ED"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 xml:space="preserve">Dans l'hypothèse où un règlement-taxe pour prestations diverses d'hygiène publique serait adopté, j'invite la commune à détailler dans son règlement ou dans un document y annexé les éléments qu'elle a pris en considération pour fixer le taux de la taxe. </w:t>
      </w:r>
    </w:p>
    <w:p w14:paraId="6EF215F2"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 xml:space="preserve">Par ailleurs, une première évaluation du nouveau système mis en place par l'AGW « coût-vérité » a permis de dégager certains enseignements, dont notamment : </w:t>
      </w:r>
    </w:p>
    <w:p w14:paraId="5840DA8D" w14:textId="7F98AE53" w:rsidR="00254D07" w:rsidRPr="00254D07" w:rsidRDefault="00254D07" w:rsidP="00254D07">
      <w:pPr>
        <w:numPr>
          <w:ilvl w:val="0"/>
          <w:numId w:val="123"/>
        </w:numPr>
        <w:spacing w:before="120"/>
        <w:jc w:val="both"/>
        <w:textAlignment w:val="baseline"/>
        <w:rPr>
          <w:rFonts w:asciiTheme="minorHAnsi" w:hAnsiTheme="minorHAnsi" w:cs="Calibri Light"/>
        </w:rPr>
      </w:pPr>
      <w:proofErr w:type="gramStart"/>
      <w:r w:rsidRPr="00254D07">
        <w:rPr>
          <w:rFonts w:asciiTheme="minorHAnsi" w:hAnsiTheme="minorHAnsi" w:cs="Calibri Light"/>
        </w:rPr>
        <w:t>le</w:t>
      </w:r>
      <w:proofErr w:type="gramEnd"/>
      <w:r w:rsidRPr="00254D07">
        <w:rPr>
          <w:rFonts w:asciiTheme="minorHAnsi" w:hAnsiTheme="minorHAnsi" w:cs="Calibri Light"/>
        </w:rPr>
        <w:t xml:space="preserve"> règlement de police relatif aux déchets doit constituer le tronc commun à la réglementation communale. L'élaboration d'un tel règlement n'étant pas aisée, il vous est loisible de vous référer au modèle de règlement de police proposé par </w:t>
      </w:r>
      <w:r w:rsidR="001044C0" w:rsidRPr="00254D07">
        <w:rPr>
          <w:rFonts w:asciiTheme="minorHAnsi" w:hAnsiTheme="minorHAnsi" w:cs="Calibri Light"/>
        </w:rPr>
        <w:t>le «</w:t>
      </w:r>
      <w:r w:rsidRPr="00254D07">
        <w:rPr>
          <w:rFonts w:asciiTheme="minorHAnsi" w:hAnsiTheme="minorHAnsi" w:cs="Calibri Light"/>
        </w:rPr>
        <w:t xml:space="preserve"> Département du sol et des déchets du SPW Agriculture, Ressources naturelles et Environnement »</w:t>
      </w:r>
      <w:r w:rsidR="006A79F5">
        <w:rPr>
          <w:rStyle w:val="Appelnotedebasdep"/>
          <w:rFonts w:asciiTheme="minorHAnsi" w:hAnsiTheme="minorHAnsi" w:cs="Calibri Light"/>
        </w:rPr>
        <w:footnoteReference w:id="146"/>
      </w:r>
      <w:r w:rsidRPr="00254D07">
        <w:rPr>
          <w:rFonts w:asciiTheme="minorHAnsi" w:hAnsiTheme="minorHAnsi" w:cs="Calibri Light"/>
        </w:rPr>
        <w:t xml:space="preserve"> ;</w:t>
      </w:r>
    </w:p>
    <w:p w14:paraId="4B0D33F4" w14:textId="77777777" w:rsidR="00254D07" w:rsidRPr="00254D07" w:rsidRDefault="00254D07" w:rsidP="00254D07">
      <w:pPr>
        <w:numPr>
          <w:ilvl w:val="0"/>
          <w:numId w:val="123"/>
        </w:numPr>
        <w:spacing w:before="120"/>
        <w:jc w:val="both"/>
        <w:textAlignment w:val="baseline"/>
        <w:rPr>
          <w:rFonts w:asciiTheme="minorHAnsi" w:hAnsiTheme="minorHAnsi" w:cs="Calibri Light"/>
        </w:rPr>
      </w:pPr>
      <w:proofErr w:type="gramStart"/>
      <w:r w:rsidRPr="00254D07">
        <w:rPr>
          <w:rFonts w:asciiTheme="minorHAnsi" w:hAnsiTheme="minorHAnsi" w:cs="Calibri Light"/>
        </w:rPr>
        <w:t>le</w:t>
      </w:r>
      <w:proofErr w:type="gramEnd"/>
      <w:r w:rsidRPr="00254D07">
        <w:rPr>
          <w:rFonts w:asciiTheme="minorHAnsi" w:hAnsiTheme="minorHAnsi" w:cs="Calibri Light"/>
        </w:rPr>
        <w:t xml:space="preserve"> règlement taxe est le complément indispensable au règlement de police. Il doit faire référence au système de collecte établi pour la commune concernée ; en particulier, pour la collecte périodique, la référence doit être faite aux récipients de collecte choisis par la commune. </w:t>
      </w:r>
    </w:p>
    <w:p w14:paraId="548F0496" w14:textId="77777777" w:rsidR="00254D07" w:rsidRPr="00254D07" w:rsidRDefault="00254D07" w:rsidP="00254D07">
      <w:pPr>
        <w:spacing w:before="120"/>
        <w:jc w:val="both"/>
        <w:textAlignment w:val="baseline"/>
        <w:rPr>
          <w:rFonts w:asciiTheme="minorHAnsi" w:hAnsiTheme="minorHAnsi" w:cs="Calibri Light"/>
        </w:rPr>
      </w:pPr>
      <w:r w:rsidRPr="00254D07">
        <w:rPr>
          <w:rFonts w:asciiTheme="minorHAnsi" w:hAnsiTheme="minorHAnsi" w:cs="Calibri Light"/>
        </w:rPr>
        <w:t>Afin d'éviter des conséquences financières néfastes aux redevables qui quittent une commune dans le courant de l'exercice d'imposition, il est souhaitable de prendre uniquement en considération la date du 1</w:t>
      </w:r>
      <w:r w:rsidRPr="00254D07">
        <w:rPr>
          <w:rFonts w:asciiTheme="minorHAnsi" w:hAnsiTheme="minorHAnsi" w:cs="Calibri Light"/>
          <w:vertAlign w:val="superscript"/>
        </w:rPr>
        <w:t>er</w:t>
      </w:r>
      <w:r w:rsidRPr="00254D07">
        <w:rPr>
          <w:rFonts w:asciiTheme="minorHAnsi" w:hAnsiTheme="minorHAnsi" w:cs="Calibri Light"/>
        </w:rPr>
        <w:t xml:space="preserve"> janvier de l'exercice pour le recensement des situations imposables.</w:t>
      </w:r>
    </w:p>
    <w:p w14:paraId="0DAFCC61" w14:textId="06AD6751" w:rsidR="00254D07" w:rsidRPr="00256E9F" w:rsidRDefault="00254D07" w:rsidP="000D441C">
      <w:pPr>
        <w:spacing w:before="120" w:after="240"/>
        <w:jc w:val="both"/>
        <w:textAlignment w:val="baseline"/>
        <w:rPr>
          <w:rFonts w:asciiTheme="minorHAnsi" w:hAnsiTheme="minorHAnsi" w:cs="Calibri Light"/>
          <w:b/>
          <w:bCs/>
        </w:rPr>
      </w:pPr>
      <w:r w:rsidRPr="00254D07">
        <w:rPr>
          <w:rFonts w:asciiTheme="minorHAnsi" w:hAnsiTheme="minorHAnsi" w:cs="Calibri Light"/>
        </w:rPr>
        <w:t xml:space="preserve">Selon l’arrêté du Gouvernement wallon du 15 octobre 2009 et ses annexes relatives aux maisons de repos, résidences-services ainsi qu'aux centres de jour et de nuit, le prix mensuel de l'hébergement comprend l'évacuation des déchets des pensionnaires ainsi que les impôts relatifs à l'établissement. De ce fait, </w:t>
      </w:r>
      <w:r w:rsidRPr="00256E9F">
        <w:rPr>
          <w:rFonts w:asciiTheme="minorHAnsi" w:hAnsiTheme="minorHAnsi" w:cs="Calibri Light"/>
          <w:b/>
          <w:bCs/>
        </w:rPr>
        <w:t>il est interdit de lever la taxe sur les déchets ménagers à l’égard des personnes hébergées dans ce type d'établissement. Seule une taxe sur l'établissement est admise.</w:t>
      </w:r>
    </w:p>
    <w:p w14:paraId="45613071" w14:textId="3B8335EC" w:rsidR="001E098B" w:rsidRDefault="001E098B" w:rsidP="001E098B">
      <w:pPr>
        <w:spacing w:before="120" w:after="240"/>
        <w:jc w:val="both"/>
        <w:textAlignment w:val="baseline"/>
        <w:rPr>
          <w:rFonts w:asciiTheme="minorHAnsi" w:hAnsiTheme="minorHAnsi" w:cs="Calibri Light"/>
        </w:rPr>
      </w:pPr>
      <w:r>
        <w:rPr>
          <w:rFonts w:asciiTheme="minorHAnsi" w:hAnsiTheme="minorHAnsi" w:cs="Calibri Light"/>
        </w:rPr>
        <w:t xml:space="preserve">Enfin, je souhaitais me faire le relai du Centre interfédéral pour l’égalité des chances et la lutte contre le racisme et les discriminations </w:t>
      </w:r>
      <w:r w:rsidRPr="001E098B">
        <w:rPr>
          <w:rFonts w:asciiTheme="minorHAnsi" w:hAnsiTheme="minorHAnsi" w:cs="Calibri Light"/>
        </w:rPr>
        <w:t xml:space="preserve">(UNIA) </w:t>
      </w:r>
      <w:r>
        <w:rPr>
          <w:rFonts w:asciiTheme="minorHAnsi" w:hAnsiTheme="minorHAnsi" w:cs="Calibri Light"/>
        </w:rPr>
        <w:t xml:space="preserve">qui attire l’attention </w:t>
      </w:r>
      <w:r w:rsidRPr="001E098B">
        <w:rPr>
          <w:rFonts w:asciiTheme="minorHAnsi" w:hAnsiTheme="minorHAnsi" w:cs="Calibri Light"/>
        </w:rPr>
        <w:t>concernant l</w:t>
      </w:r>
      <w:r>
        <w:rPr>
          <w:rFonts w:asciiTheme="minorHAnsi" w:hAnsiTheme="minorHAnsi" w:cs="Calibri Light"/>
        </w:rPr>
        <w:t>a</w:t>
      </w:r>
      <w:r w:rsidRPr="001E098B">
        <w:rPr>
          <w:rFonts w:asciiTheme="minorHAnsi" w:hAnsiTheme="minorHAnsi" w:cs="Calibri Light"/>
        </w:rPr>
        <w:t xml:space="preserve"> problématique du surcoût causés par les déchets générés par les personnes incontinentes.</w:t>
      </w:r>
      <w:r>
        <w:rPr>
          <w:rFonts w:asciiTheme="minorHAnsi" w:hAnsiTheme="minorHAnsi" w:cs="Calibri Light"/>
        </w:rPr>
        <w:t xml:space="preserve"> </w:t>
      </w:r>
      <w:r w:rsidRPr="001E098B">
        <w:rPr>
          <w:rFonts w:asciiTheme="minorHAnsi" w:hAnsiTheme="minorHAnsi" w:cs="Calibri Light"/>
        </w:rPr>
        <w:lastRenderedPageBreak/>
        <w:t xml:space="preserve">UNIA </w:t>
      </w:r>
      <w:r>
        <w:rPr>
          <w:rFonts w:asciiTheme="minorHAnsi" w:hAnsiTheme="minorHAnsi" w:cs="Calibri Light"/>
        </w:rPr>
        <w:t xml:space="preserve">souhaiterait ainsi </w:t>
      </w:r>
      <w:r w:rsidRPr="001E098B">
        <w:rPr>
          <w:rFonts w:asciiTheme="minorHAnsi" w:hAnsiTheme="minorHAnsi" w:cs="Calibri Light"/>
        </w:rPr>
        <w:t xml:space="preserve">que les communes prévoient des mesures permettant de réduire </w:t>
      </w:r>
      <w:r w:rsidR="00E024A2">
        <w:rPr>
          <w:rFonts w:asciiTheme="minorHAnsi" w:hAnsiTheme="minorHAnsi" w:cs="Calibri Light"/>
        </w:rPr>
        <w:t>l’éventuel surcoût engendré au niveau de cette taxe.</w:t>
      </w:r>
    </w:p>
    <w:p w14:paraId="06DD5684" w14:textId="77777777" w:rsidR="007C013F" w:rsidRPr="00954869" w:rsidRDefault="007C013F" w:rsidP="00256E9F">
      <w:pPr>
        <w:pStyle w:val="Sam3"/>
        <w:rPr>
          <w:sz w:val="2"/>
          <w:szCs w:val="2"/>
        </w:rPr>
      </w:pPr>
      <w:bookmarkStart w:id="5307" w:name="_Toc516739760"/>
      <w:bookmarkStart w:id="5308" w:name="_Toc516751672"/>
      <w:bookmarkStart w:id="5309" w:name="_Toc516825760"/>
      <w:bookmarkStart w:id="5310" w:name="_Toc516826318"/>
      <w:bookmarkStart w:id="5311" w:name="_Toc516837638"/>
      <w:bookmarkStart w:id="5312" w:name="_Toc516838197"/>
      <w:bookmarkStart w:id="5313" w:name="_Toc516838756"/>
      <w:bookmarkStart w:id="5314" w:name="_Toc516839316"/>
      <w:bookmarkStart w:id="5315" w:name="_Toc517173412"/>
      <w:bookmarkStart w:id="5316" w:name="_Toc517175086"/>
      <w:bookmarkStart w:id="5317" w:name="_Toc517175673"/>
      <w:bookmarkStart w:id="5318" w:name="_Toc517176261"/>
      <w:bookmarkStart w:id="5319" w:name="_Toc517337586"/>
      <w:bookmarkStart w:id="5320" w:name="_Toc517360382"/>
      <w:bookmarkStart w:id="5321" w:name="_Toc516739761"/>
      <w:bookmarkStart w:id="5322" w:name="_Toc516751673"/>
      <w:bookmarkStart w:id="5323" w:name="_Toc516825761"/>
      <w:bookmarkStart w:id="5324" w:name="_Toc516826319"/>
      <w:bookmarkStart w:id="5325" w:name="_Toc516837639"/>
      <w:bookmarkStart w:id="5326" w:name="_Toc516838198"/>
      <w:bookmarkStart w:id="5327" w:name="_Toc516838757"/>
      <w:bookmarkStart w:id="5328" w:name="_Toc516839317"/>
      <w:bookmarkStart w:id="5329" w:name="_Toc517173413"/>
      <w:bookmarkStart w:id="5330" w:name="_Toc517175087"/>
      <w:bookmarkStart w:id="5331" w:name="_Toc517175674"/>
      <w:bookmarkStart w:id="5332" w:name="_Toc517176262"/>
      <w:bookmarkStart w:id="5333" w:name="_Toc517337587"/>
      <w:bookmarkStart w:id="5334" w:name="_Toc517360383"/>
      <w:bookmarkStart w:id="5335" w:name="_Toc516739762"/>
      <w:bookmarkStart w:id="5336" w:name="_Toc516751674"/>
      <w:bookmarkStart w:id="5337" w:name="_Toc516825762"/>
      <w:bookmarkStart w:id="5338" w:name="_Toc516826320"/>
      <w:bookmarkStart w:id="5339" w:name="_Toc516837640"/>
      <w:bookmarkStart w:id="5340" w:name="_Toc516838199"/>
      <w:bookmarkStart w:id="5341" w:name="_Toc516838758"/>
      <w:bookmarkStart w:id="5342" w:name="_Toc516839318"/>
      <w:bookmarkStart w:id="5343" w:name="_Toc517173414"/>
      <w:bookmarkStart w:id="5344" w:name="_Toc517175088"/>
      <w:bookmarkStart w:id="5345" w:name="_Toc517175675"/>
      <w:bookmarkStart w:id="5346" w:name="_Toc517176263"/>
      <w:bookmarkStart w:id="5347" w:name="_Toc517337588"/>
      <w:bookmarkStart w:id="5348" w:name="_Toc517360384"/>
      <w:bookmarkStart w:id="5349" w:name="_Toc516739763"/>
      <w:bookmarkStart w:id="5350" w:name="_Toc516751675"/>
      <w:bookmarkStart w:id="5351" w:name="_Toc516825763"/>
      <w:bookmarkStart w:id="5352" w:name="_Toc516826321"/>
      <w:bookmarkStart w:id="5353" w:name="_Toc516837641"/>
      <w:bookmarkStart w:id="5354" w:name="_Toc516838200"/>
      <w:bookmarkStart w:id="5355" w:name="_Toc516838759"/>
      <w:bookmarkStart w:id="5356" w:name="_Toc516839319"/>
      <w:bookmarkStart w:id="5357" w:name="_Toc517173415"/>
      <w:bookmarkStart w:id="5358" w:name="_Toc517175089"/>
      <w:bookmarkStart w:id="5359" w:name="_Toc517175676"/>
      <w:bookmarkStart w:id="5360" w:name="_Toc517176264"/>
      <w:bookmarkStart w:id="5361" w:name="_Toc517337589"/>
      <w:bookmarkStart w:id="5362" w:name="_Toc517360385"/>
      <w:bookmarkStart w:id="5363" w:name="_Toc516739764"/>
      <w:bookmarkStart w:id="5364" w:name="_Toc516751676"/>
      <w:bookmarkStart w:id="5365" w:name="_Toc516825764"/>
      <w:bookmarkStart w:id="5366" w:name="_Toc516826322"/>
      <w:bookmarkStart w:id="5367" w:name="_Toc516837642"/>
      <w:bookmarkStart w:id="5368" w:name="_Toc516838201"/>
      <w:bookmarkStart w:id="5369" w:name="_Toc516838760"/>
      <w:bookmarkStart w:id="5370" w:name="_Toc516839320"/>
      <w:bookmarkStart w:id="5371" w:name="_Toc517173416"/>
      <w:bookmarkStart w:id="5372" w:name="_Toc517175090"/>
      <w:bookmarkStart w:id="5373" w:name="_Toc517175677"/>
      <w:bookmarkStart w:id="5374" w:name="_Toc517176265"/>
      <w:bookmarkStart w:id="5375" w:name="_Toc517337590"/>
      <w:bookmarkStart w:id="5376" w:name="_Toc517360386"/>
      <w:bookmarkStart w:id="5377" w:name="_Toc516739765"/>
      <w:bookmarkStart w:id="5378" w:name="_Toc516751677"/>
      <w:bookmarkStart w:id="5379" w:name="_Toc516825765"/>
      <w:bookmarkStart w:id="5380" w:name="_Toc516826323"/>
      <w:bookmarkStart w:id="5381" w:name="_Toc516837643"/>
      <w:bookmarkStart w:id="5382" w:name="_Toc516838202"/>
      <w:bookmarkStart w:id="5383" w:name="_Toc516838761"/>
      <w:bookmarkStart w:id="5384" w:name="_Toc516839321"/>
      <w:bookmarkStart w:id="5385" w:name="_Toc517173417"/>
      <w:bookmarkStart w:id="5386" w:name="_Toc517175091"/>
      <w:bookmarkStart w:id="5387" w:name="_Toc517175678"/>
      <w:bookmarkStart w:id="5388" w:name="_Toc517176266"/>
      <w:bookmarkStart w:id="5389" w:name="_Toc517337591"/>
      <w:bookmarkStart w:id="5390" w:name="_Toc517360387"/>
      <w:bookmarkStart w:id="5391" w:name="_Toc516739766"/>
      <w:bookmarkStart w:id="5392" w:name="_Toc516751678"/>
      <w:bookmarkStart w:id="5393" w:name="_Toc516825766"/>
      <w:bookmarkStart w:id="5394" w:name="_Toc516826324"/>
      <w:bookmarkStart w:id="5395" w:name="_Toc516837644"/>
      <w:bookmarkStart w:id="5396" w:name="_Toc516838203"/>
      <w:bookmarkStart w:id="5397" w:name="_Toc516838762"/>
      <w:bookmarkStart w:id="5398" w:name="_Toc516839322"/>
      <w:bookmarkStart w:id="5399" w:name="_Toc517173418"/>
      <w:bookmarkStart w:id="5400" w:name="_Toc517175092"/>
      <w:bookmarkStart w:id="5401" w:name="_Toc517175679"/>
      <w:bookmarkStart w:id="5402" w:name="_Toc517176267"/>
      <w:bookmarkStart w:id="5403" w:name="_Toc517337592"/>
      <w:bookmarkStart w:id="5404" w:name="_Toc517360388"/>
      <w:bookmarkStart w:id="5405" w:name="_Toc516739767"/>
      <w:bookmarkStart w:id="5406" w:name="_Toc516751679"/>
      <w:bookmarkStart w:id="5407" w:name="_Toc516825767"/>
      <w:bookmarkStart w:id="5408" w:name="_Toc516826325"/>
      <w:bookmarkStart w:id="5409" w:name="_Toc516837645"/>
      <w:bookmarkStart w:id="5410" w:name="_Toc516838204"/>
      <w:bookmarkStart w:id="5411" w:name="_Toc516838763"/>
      <w:bookmarkStart w:id="5412" w:name="_Toc516839323"/>
      <w:bookmarkStart w:id="5413" w:name="_Toc517173419"/>
      <w:bookmarkStart w:id="5414" w:name="_Toc517175093"/>
      <w:bookmarkStart w:id="5415" w:name="_Toc517175680"/>
      <w:bookmarkStart w:id="5416" w:name="_Toc517176268"/>
      <w:bookmarkStart w:id="5417" w:name="_Toc517337593"/>
      <w:bookmarkStart w:id="5418" w:name="_Toc517360389"/>
      <w:bookmarkStart w:id="5419" w:name="_Toc516739768"/>
      <w:bookmarkStart w:id="5420" w:name="_Toc516751680"/>
      <w:bookmarkStart w:id="5421" w:name="_Toc516825768"/>
      <w:bookmarkStart w:id="5422" w:name="_Toc516826326"/>
      <w:bookmarkStart w:id="5423" w:name="_Toc516837646"/>
      <w:bookmarkStart w:id="5424" w:name="_Toc516838205"/>
      <w:bookmarkStart w:id="5425" w:name="_Toc516838764"/>
      <w:bookmarkStart w:id="5426" w:name="_Toc516839324"/>
      <w:bookmarkStart w:id="5427" w:name="_Toc517173420"/>
      <w:bookmarkStart w:id="5428" w:name="_Toc517175094"/>
      <w:bookmarkStart w:id="5429" w:name="_Toc517175681"/>
      <w:bookmarkStart w:id="5430" w:name="_Toc517176269"/>
      <w:bookmarkStart w:id="5431" w:name="_Toc517337594"/>
      <w:bookmarkStart w:id="5432" w:name="_Toc517360390"/>
      <w:bookmarkStart w:id="5433" w:name="_Toc516739769"/>
      <w:bookmarkStart w:id="5434" w:name="_Toc516751681"/>
      <w:bookmarkStart w:id="5435" w:name="_Toc516825769"/>
      <w:bookmarkStart w:id="5436" w:name="_Toc516826327"/>
      <w:bookmarkStart w:id="5437" w:name="_Toc516837647"/>
      <w:bookmarkStart w:id="5438" w:name="_Toc516838206"/>
      <w:bookmarkStart w:id="5439" w:name="_Toc516838765"/>
      <w:bookmarkStart w:id="5440" w:name="_Toc516839325"/>
      <w:bookmarkStart w:id="5441" w:name="_Toc517173421"/>
      <w:bookmarkStart w:id="5442" w:name="_Toc517175095"/>
      <w:bookmarkStart w:id="5443" w:name="_Toc517175682"/>
      <w:bookmarkStart w:id="5444" w:name="_Toc517176270"/>
      <w:bookmarkStart w:id="5445" w:name="_Toc517337595"/>
      <w:bookmarkStart w:id="5446" w:name="_Toc517360391"/>
      <w:bookmarkStart w:id="5447" w:name="_Toc516739770"/>
      <w:bookmarkStart w:id="5448" w:name="_Toc516751682"/>
      <w:bookmarkStart w:id="5449" w:name="_Toc516825770"/>
      <w:bookmarkStart w:id="5450" w:name="_Toc516826328"/>
      <w:bookmarkStart w:id="5451" w:name="_Toc516837648"/>
      <w:bookmarkStart w:id="5452" w:name="_Toc516838207"/>
      <w:bookmarkStart w:id="5453" w:name="_Toc516838766"/>
      <w:bookmarkStart w:id="5454" w:name="_Toc516839326"/>
      <w:bookmarkStart w:id="5455" w:name="_Toc517173422"/>
      <w:bookmarkStart w:id="5456" w:name="_Toc517175096"/>
      <w:bookmarkStart w:id="5457" w:name="_Toc517175683"/>
      <w:bookmarkStart w:id="5458" w:name="_Toc517176271"/>
      <w:bookmarkStart w:id="5459" w:name="_Toc517337596"/>
      <w:bookmarkStart w:id="5460" w:name="_Toc517360392"/>
      <w:bookmarkStart w:id="5461" w:name="_Toc516739771"/>
      <w:bookmarkStart w:id="5462" w:name="_Toc516751683"/>
      <w:bookmarkStart w:id="5463" w:name="_Toc516825771"/>
      <w:bookmarkStart w:id="5464" w:name="_Toc516826329"/>
      <w:bookmarkStart w:id="5465" w:name="_Toc516837649"/>
      <w:bookmarkStart w:id="5466" w:name="_Toc516838208"/>
      <w:bookmarkStart w:id="5467" w:name="_Toc516838767"/>
      <w:bookmarkStart w:id="5468" w:name="_Toc516839327"/>
      <w:bookmarkStart w:id="5469" w:name="_Toc517173423"/>
      <w:bookmarkStart w:id="5470" w:name="_Toc517175097"/>
      <w:bookmarkStart w:id="5471" w:name="_Toc517175684"/>
      <w:bookmarkStart w:id="5472" w:name="_Toc517176272"/>
      <w:bookmarkStart w:id="5473" w:name="_Toc517337597"/>
      <w:bookmarkStart w:id="5474" w:name="_Toc517360393"/>
      <w:bookmarkStart w:id="5475" w:name="_Toc516739772"/>
      <w:bookmarkStart w:id="5476" w:name="_Toc516751684"/>
      <w:bookmarkStart w:id="5477" w:name="_Toc516825772"/>
      <w:bookmarkStart w:id="5478" w:name="_Toc516826330"/>
      <w:bookmarkStart w:id="5479" w:name="_Toc516837650"/>
      <w:bookmarkStart w:id="5480" w:name="_Toc516838209"/>
      <w:bookmarkStart w:id="5481" w:name="_Toc516838768"/>
      <w:bookmarkStart w:id="5482" w:name="_Toc516839328"/>
      <w:bookmarkStart w:id="5483" w:name="_Toc517173424"/>
      <w:bookmarkStart w:id="5484" w:name="_Toc517175098"/>
      <w:bookmarkStart w:id="5485" w:name="_Toc517175685"/>
      <w:bookmarkStart w:id="5486" w:name="_Toc517176273"/>
      <w:bookmarkStart w:id="5487" w:name="_Toc517337598"/>
      <w:bookmarkStart w:id="5488" w:name="_Toc517360394"/>
      <w:bookmarkStart w:id="5489" w:name="_Toc516739773"/>
      <w:bookmarkStart w:id="5490" w:name="_Toc516751685"/>
      <w:bookmarkStart w:id="5491" w:name="_Toc516825773"/>
      <w:bookmarkStart w:id="5492" w:name="_Toc516826331"/>
      <w:bookmarkStart w:id="5493" w:name="_Toc516837651"/>
      <w:bookmarkStart w:id="5494" w:name="_Toc516838210"/>
      <w:bookmarkStart w:id="5495" w:name="_Toc516838769"/>
      <w:bookmarkStart w:id="5496" w:name="_Toc516839329"/>
      <w:bookmarkStart w:id="5497" w:name="_Toc517173425"/>
      <w:bookmarkStart w:id="5498" w:name="_Toc517175099"/>
      <w:bookmarkStart w:id="5499" w:name="_Toc517175686"/>
      <w:bookmarkStart w:id="5500" w:name="_Toc517176274"/>
      <w:bookmarkStart w:id="5501" w:name="_Toc517337599"/>
      <w:bookmarkStart w:id="5502" w:name="_Toc517360395"/>
      <w:bookmarkStart w:id="5503" w:name="_Toc516739774"/>
      <w:bookmarkStart w:id="5504" w:name="_Toc516751686"/>
      <w:bookmarkStart w:id="5505" w:name="_Toc516825774"/>
      <w:bookmarkStart w:id="5506" w:name="_Toc516826332"/>
      <w:bookmarkStart w:id="5507" w:name="_Toc516837652"/>
      <w:bookmarkStart w:id="5508" w:name="_Toc516838211"/>
      <w:bookmarkStart w:id="5509" w:name="_Toc516838770"/>
      <w:bookmarkStart w:id="5510" w:name="_Toc516839330"/>
      <w:bookmarkStart w:id="5511" w:name="_Toc517173426"/>
      <w:bookmarkStart w:id="5512" w:name="_Toc517175100"/>
      <w:bookmarkStart w:id="5513" w:name="_Toc517175687"/>
      <w:bookmarkStart w:id="5514" w:name="_Toc517176275"/>
      <w:bookmarkStart w:id="5515" w:name="_Toc517337600"/>
      <w:bookmarkStart w:id="5516" w:name="_Toc517360396"/>
      <w:bookmarkStart w:id="5517" w:name="_Toc516739775"/>
      <w:bookmarkStart w:id="5518" w:name="_Toc516751687"/>
      <w:bookmarkStart w:id="5519" w:name="_Toc516825775"/>
      <w:bookmarkStart w:id="5520" w:name="_Toc516826333"/>
      <w:bookmarkStart w:id="5521" w:name="_Toc516837653"/>
      <w:bookmarkStart w:id="5522" w:name="_Toc516838212"/>
      <w:bookmarkStart w:id="5523" w:name="_Toc516838771"/>
      <w:bookmarkStart w:id="5524" w:name="_Toc516839331"/>
      <w:bookmarkStart w:id="5525" w:name="_Toc517173427"/>
      <w:bookmarkStart w:id="5526" w:name="_Toc517175101"/>
      <w:bookmarkStart w:id="5527" w:name="_Toc517175688"/>
      <w:bookmarkStart w:id="5528" w:name="_Toc517176276"/>
      <w:bookmarkStart w:id="5529" w:name="_Toc517337601"/>
      <w:bookmarkStart w:id="5530" w:name="_Toc517360397"/>
      <w:bookmarkStart w:id="5531" w:name="_Toc516739776"/>
      <w:bookmarkStart w:id="5532" w:name="_Toc516751688"/>
      <w:bookmarkStart w:id="5533" w:name="_Toc516825776"/>
      <w:bookmarkStart w:id="5534" w:name="_Toc516826334"/>
      <w:bookmarkStart w:id="5535" w:name="_Toc516837654"/>
      <w:bookmarkStart w:id="5536" w:name="_Toc516838213"/>
      <w:bookmarkStart w:id="5537" w:name="_Toc516838772"/>
      <w:bookmarkStart w:id="5538" w:name="_Toc516839332"/>
      <w:bookmarkStart w:id="5539" w:name="_Toc517173428"/>
      <w:bookmarkStart w:id="5540" w:name="_Toc517175102"/>
      <w:bookmarkStart w:id="5541" w:name="_Toc517175689"/>
      <w:bookmarkStart w:id="5542" w:name="_Toc517176277"/>
      <w:bookmarkStart w:id="5543" w:name="_Toc517337602"/>
      <w:bookmarkStart w:id="5544" w:name="_Toc517360398"/>
      <w:bookmarkStart w:id="5545" w:name="_Toc516739777"/>
      <w:bookmarkStart w:id="5546" w:name="_Toc516751689"/>
      <w:bookmarkStart w:id="5547" w:name="_Toc516825777"/>
      <w:bookmarkStart w:id="5548" w:name="_Toc516826335"/>
      <w:bookmarkStart w:id="5549" w:name="_Toc516837655"/>
      <w:bookmarkStart w:id="5550" w:name="_Toc516838214"/>
      <w:bookmarkStart w:id="5551" w:name="_Toc516838773"/>
      <w:bookmarkStart w:id="5552" w:name="_Toc516839333"/>
      <w:bookmarkStart w:id="5553" w:name="_Toc517173429"/>
      <w:bookmarkStart w:id="5554" w:name="_Toc517175103"/>
      <w:bookmarkStart w:id="5555" w:name="_Toc517175690"/>
      <w:bookmarkStart w:id="5556" w:name="_Toc517176278"/>
      <w:bookmarkStart w:id="5557" w:name="_Toc517337603"/>
      <w:bookmarkStart w:id="5558" w:name="_Toc517360399"/>
      <w:bookmarkStart w:id="5559" w:name="_Toc516739778"/>
      <w:bookmarkStart w:id="5560" w:name="_Toc516751690"/>
      <w:bookmarkStart w:id="5561" w:name="_Toc516825778"/>
      <w:bookmarkStart w:id="5562" w:name="_Toc516826336"/>
      <w:bookmarkStart w:id="5563" w:name="_Toc516837656"/>
      <w:bookmarkStart w:id="5564" w:name="_Toc516838215"/>
      <w:bookmarkStart w:id="5565" w:name="_Toc516838774"/>
      <w:bookmarkStart w:id="5566" w:name="_Toc516839334"/>
      <w:bookmarkStart w:id="5567" w:name="_Toc517173430"/>
      <w:bookmarkStart w:id="5568" w:name="_Toc517175104"/>
      <w:bookmarkStart w:id="5569" w:name="_Toc517175691"/>
      <w:bookmarkStart w:id="5570" w:name="_Toc517176279"/>
      <w:bookmarkStart w:id="5571" w:name="_Toc517337604"/>
      <w:bookmarkStart w:id="5572" w:name="_Toc517360400"/>
      <w:bookmarkStart w:id="5573" w:name="_Toc516739779"/>
      <w:bookmarkStart w:id="5574" w:name="_Toc516751691"/>
      <w:bookmarkStart w:id="5575" w:name="_Toc516825779"/>
      <w:bookmarkStart w:id="5576" w:name="_Toc516826337"/>
      <w:bookmarkStart w:id="5577" w:name="_Toc516837657"/>
      <w:bookmarkStart w:id="5578" w:name="_Toc516838216"/>
      <w:bookmarkStart w:id="5579" w:name="_Toc516838775"/>
      <w:bookmarkStart w:id="5580" w:name="_Toc516839335"/>
      <w:bookmarkStart w:id="5581" w:name="_Toc517173431"/>
      <w:bookmarkStart w:id="5582" w:name="_Toc517175105"/>
      <w:bookmarkStart w:id="5583" w:name="_Toc517175692"/>
      <w:bookmarkStart w:id="5584" w:name="_Toc517176280"/>
      <w:bookmarkStart w:id="5585" w:name="_Toc517337605"/>
      <w:bookmarkStart w:id="5586" w:name="_Toc517360401"/>
      <w:bookmarkStart w:id="5587" w:name="_Toc516739780"/>
      <w:bookmarkStart w:id="5588" w:name="_Toc516751692"/>
      <w:bookmarkStart w:id="5589" w:name="_Toc516825780"/>
      <w:bookmarkStart w:id="5590" w:name="_Toc516826338"/>
      <w:bookmarkStart w:id="5591" w:name="_Toc516837658"/>
      <w:bookmarkStart w:id="5592" w:name="_Toc516838217"/>
      <w:bookmarkStart w:id="5593" w:name="_Toc516838776"/>
      <w:bookmarkStart w:id="5594" w:name="_Toc516839336"/>
      <w:bookmarkStart w:id="5595" w:name="_Toc517173432"/>
      <w:bookmarkStart w:id="5596" w:name="_Toc517175106"/>
      <w:bookmarkStart w:id="5597" w:name="_Toc517175693"/>
      <w:bookmarkStart w:id="5598" w:name="_Toc517176281"/>
      <w:bookmarkStart w:id="5599" w:name="_Toc517337606"/>
      <w:bookmarkStart w:id="5600" w:name="_Toc517360402"/>
      <w:bookmarkStart w:id="5601" w:name="_Toc516739781"/>
      <w:bookmarkStart w:id="5602" w:name="_Toc516751693"/>
      <w:bookmarkStart w:id="5603" w:name="_Toc516825781"/>
      <w:bookmarkStart w:id="5604" w:name="_Toc516826339"/>
      <w:bookmarkStart w:id="5605" w:name="_Toc516837659"/>
      <w:bookmarkStart w:id="5606" w:name="_Toc516838218"/>
      <w:bookmarkStart w:id="5607" w:name="_Toc516838777"/>
      <w:bookmarkStart w:id="5608" w:name="_Toc516839337"/>
      <w:bookmarkStart w:id="5609" w:name="_Toc517173433"/>
      <w:bookmarkStart w:id="5610" w:name="_Toc517175107"/>
      <w:bookmarkStart w:id="5611" w:name="_Toc517175694"/>
      <w:bookmarkStart w:id="5612" w:name="_Toc517176282"/>
      <w:bookmarkStart w:id="5613" w:name="_Toc517337607"/>
      <w:bookmarkStart w:id="5614" w:name="_Toc517360403"/>
      <w:bookmarkStart w:id="5615" w:name="_Toc516739782"/>
      <w:bookmarkStart w:id="5616" w:name="_Toc516751694"/>
      <w:bookmarkStart w:id="5617" w:name="_Toc516825782"/>
      <w:bookmarkStart w:id="5618" w:name="_Toc516826340"/>
      <w:bookmarkStart w:id="5619" w:name="_Toc516837660"/>
      <w:bookmarkStart w:id="5620" w:name="_Toc516838219"/>
      <w:bookmarkStart w:id="5621" w:name="_Toc516838778"/>
      <w:bookmarkStart w:id="5622" w:name="_Toc516839338"/>
      <w:bookmarkStart w:id="5623" w:name="_Toc517173434"/>
      <w:bookmarkStart w:id="5624" w:name="_Toc517175108"/>
      <w:bookmarkStart w:id="5625" w:name="_Toc517175695"/>
      <w:bookmarkStart w:id="5626" w:name="_Toc517176283"/>
      <w:bookmarkStart w:id="5627" w:name="_Toc517337608"/>
      <w:bookmarkStart w:id="5628" w:name="_Toc517360404"/>
      <w:bookmarkStart w:id="5629" w:name="_Toc516739783"/>
      <w:bookmarkStart w:id="5630" w:name="_Toc516751695"/>
      <w:bookmarkStart w:id="5631" w:name="_Toc516825783"/>
      <w:bookmarkStart w:id="5632" w:name="_Toc516826341"/>
      <w:bookmarkStart w:id="5633" w:name="_Toc516837661"/>
      <w:bookmarkStart w:id="5634" w:name="_Toc516838220"/>
      <w:bookmarkStart w:id="5635" w:name="_Toc516838779"/>
      <w:bookmarkStart w:id="5636" w:name="_Toc516839339"/>
      <w:bookmarkStart w:id="5637" w:name="_Toc517173435"/>
      <w:bookmarkStart w:id="5638" w:name="_Toc517175109"/>
      <w:bookmarkStart w:id="5639" w:name="_Toc517175696"/>
      <w:bookmarkStart w:id="5640" w:name="_Toc517176284"/>
      <w:bookmarkStart w:id="5641" w:name="_Toc517337609"/>
      <w:bookmarkStart w:id="5642" w:name="_Toc517360405"/>
      <w:bookmarkStart w:id="5643" w:name="_Toc516739784"/>
      <w:bookmarkStart w:id="5644" w:name="_Toc516751696"/>
      <w:bookmarkStart w:id="5645" w:name="_Toc516825784"/>
      <w:bookmarkStart w:id="5646" w:name="_Toc516826342"/>
      <w:bookmarkStart w:id="5647" w:name="_Toc516837662"/>
      <w:bookmarkStart w:id="5648" w:name="_Toc516838221"/>
      <w:bookmarkStart w:id="5649" w:name="_Toc516838780"/>
      <w:bookmarkStart w:id="5650" w:name="_Toc516839340"/>
      <w:bookmarkStart w:id="5651" w:name="_Toc517173436"/>
      <w:bookmarkStart w:id="5652" w:name="_Toc517175110"/>
      <w:bookmarkStart w:id="5653" w:name="_Toc517175697"/>
      <w:bookmarkStart w:id="5654" w:name="_Toc517176285"/>
      <w:bookmarkStart w:id="5655" w:name="_Toc517337610"/>
      <w:bookmarkStart w:id="5656" w:name="_Toc517360406"/>
      <w:bookmarkStart w:id="5657" w:name="_Toc512525486"/>
      <w:bookmarkStart w:id="5658" w:name="_Toc515896800"/>
      <w:bookmarkStart w:id="5659" w:name="_Toc74557752"/>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p>
    <w:p w14:paraId="2B4C08EB" w14:textId="025E43E7" w:rsidR="009B153C" w:rsidRPr="00DA6BD2" w:rsidRDefault="009B153C" w:rsidP="00256E9F">
      <w:pPr>
        <w:pStyle w:val="Sam3"/>
      </w:pPr>
      <w:r w:rsidRPr="00DA6BD2">
        <w:t>040/363-04 : Vidange des fosses d'aisance</w:t>
      </w:r>
      <w:bookmarkEnd w:id="5657"/>
      <w:bookmarkEnd w:id="5658"/>
      <w:bookmarkEnd w:id="5659"/>
    </w:p>
    <w:p w14:paraId="1EFEE103" w14:textId="77777777" w:rsidR="009B153C" w:rsidRDefault="009B153C" w:rsidP="008D7EB7">
      <w:pPr>
        <w:spacing w:before="120" w:after="240"/>
        <w:jc w:val="both"/>
        <w:textAlignment w:val="baseline"/>
        <w:rPr>
          <w:rFonts w:asciiTheme="minorHAnsi" w:hAnsiTheme="minorHAnsi" w:cs="Calibri Light"/>
          <w:spacing w:val="-1"/>
        </w:rPr>
      </w:pPr>
      <w:r w:rsidRPr="00DA6BD2">
        <w:rPr>
          <w:rFonts w:asciiTheme="minorHAnsi" w:hAnsiTheme="minorHAnsi" w:cs="Calibri Light"/>
          <w:spacing w:val="-1"/>
        </w:rPr>
        <w:t>Dans un souci de rationalisation, il a été décidé de ne plus reprendre cette redevance dans la liste des taxes et redevances de la présente circulaire. Les communes qui disposaient de cette redevance sont invitées à la transformer en taxe sur l’entretien des égouts.</w:t>
      </w:r>
    </w:p>
    <w:p w14:paraId="6A131829" w14:textId="27627272" w:rsidR="002A7D13" w:rsidRDefault="009B153C" w:rsidP="00256E9F">
      <w:pPr>
        <w:pStyle w:val="Sam3"/>
      </w:pPr>
      <w:bookmarkStart w:id="5660" w:name="_Toc6997776"/>
      <w:bookmarkStart w:id="5661" w:name="_Toc7016552"/>
      <w:bookmarkStart w:id="5662" w:name="_Toc7020720"/>
      <w:bookmarkStart w:id="5663" w:name="_Toc7094792"/>
      <w:bookmarkStart w:id="5664" w:name="_Toc8121827"/>
      <w:bookmarkStart w:id="5665" w:name="_Toc8129768"/>
      <w:bookmarkStart w:id="5666" w:name="_Toc6997777"/>
      <w:bookmarkStart w:id="5667" w:name="_Toc7016553"/>
      <w:bookmarkStart w:id="5668" w:name="_Toc7020721"/>
      <w:bookmarkStart w:id="5669" w:name="_Toc7094793"/>
      <w:bookmarkStart w:id="5670" w:name="_Toc8121828"/>
      <w:bookmarkStart w:id="5671" w:name="_Toc8129769"/>
      <w:bookmarkStart w:id="5672" w:name="_Toc74557753"/>
      <w:bookmarkStart w:id="5673" w:name="_Toc512525487"/>
      <w:bookmarkStart w:id="5674" w:name="_Toc515896801"/>
      <w:bookmarkEnd w:id="5660"/>
      <w:bookmarkEnd w:id="5661"/>
      <w:bookmarkEnd w:id="5662"/>
      <w:bookmarkEnd w:id="5663"/>
      <w:bookmarkEnd w:id="5664"/>
      <w:bookmarkEnd w:id="5665"/>
      <w:bookmarkEnd w:id="5666"/>
      <w:bookmarkEnd w:id="5667"/>
      <w:bookmarkEnd w:id="5668"/>
      <w:bookmarkEnd w:id="5669"/>
      <w:bookmarkEnd w:id="5670"/>
      <w:bookmarkEnd w:id="5671"/>
      <w:r w:rsidRPr="00DA6BD2">
        <w:t>040/363-05 : Enlèvement d'objets encombrants</w:t>
      </w:r>
      <w:bookmarkEnd w:id="5672"/>
      <w:r w:rsidRPr="00DA6BD2">
        <w:t xml:space="preserve"> </w:t>
      </w:r>
    </w:p>
    <w:bookmarkEnd w:id="5673"/>
    <w:bookmarkEnd w:id="5674"/>
    <w:p w14:paraId="7992C198" w14:textId="77777777" w:rsidR="009B153C" w:rsidRPr="00787482" w:rsidRDefault="002A7D13" w:rsidP="00E063FD">
      <w:r>
        <w:t>Redevance.</w:t>
      </w:r>
    </w:p>
    <w:p w14:paraId="75D1FA67" w14:textId="7B97C564" w:rsidR="00221F1B" w:rsidRPr="00221F1B" w:rsidRDefault="00221F1B" w:rsidP="00221F1B">
      <w:pPr>
        <w:spacing w:before="120"/>
        <w:jc w:val="both"/>
        <w:textAlignment w:val="baseline"/>
        <w:rPr>
          <w:rFonts w:asciiTheme="minorHAnsi" w:hAnsiTheme="minorHAnsi" w:cs="Calibri Light"/>
        </w:rPr>
      </w:pPr>
      <w:r w:rsidRPr="00221F1B">
        <w:rPr>
          <w:rFonts w:asciiTheme="minorHAnsi" w:hAnsiTheme="minorHAnsi" w:cs="Calibri Light"/>
        </w:rPr>
        <w:t>L’article 3. § 1</w:t>
      </w:r>
      <w:r w:rsidR="001044C0" w:rsidRPr="00221F1B">
        <w:rPr>
          <w:rFonts w:asciiTheme="minorHAnsi" w:hAnsiTheme="minorHAnsi" w:cs="Calibri Light"/>
          <w:vertAlign w:val="superscript"/>
        </w:rPr>
        <w:t>er,</w:t>
      </w:r>
      <w:r w:rsidRPr="00221F1B">
        <w:rPr>
          <w:rFonts w:asciiTheme="minorHAnsi" w:hAnsiTheme="minorHAnsi" w:cs="Calibri Light"/>
        </w:rPr>
        <w:t xml:space="preserve"> 2 et 17 et § 2 de l'arrêté du Gouvernement wallon du 5 mars 2008 relatif à la gestion des déchets issus de l'activité usuelle des ménages et à la couverture des coûts y afférents prévoit que :</w:t>
      </w:r>
    </w:p>
    <w:p w14:paraId="1380412C" w14:textId="77777777" w:rsidR="00221F1B" w:rsidRPr="00221F1B" w:rsidRDefault="00221F1B" w:rsidP="00221F1B">
      <w:pPr>
        <w:numPr>
          <w:ilvl w:val="0"/>
          <w:numId w:val="124"/>
        </w:numPr>
        <w:spacing w:before="120"/>
        <w:jc w:val="both"/>
        <w:textAlignment w:val="baseline"/>
        <w:rPr>
          <w:rFonts w:asciiTheme="minorHAnsi" w:hAnsiTheme="minorHAnsi" w:cs="Calibri Light"/>
        </w:rPr>
      </w:pPr>
      <w:proofErr w:type="gramStart"/>
      <w:r w:rsidRPr="00221F1B">
        <w:rPr>
          <w:rFonts w:asciiTheme="minorHAnsi" w:hAnsiTheme="minorHAnsi" w:cs="Calibri Light"/>
        </w:rPr>
        <w:t>le</w:t>
      </w:r>
      <w:proofErr w:type="gramEnd"/>
      <w:r w:rsidRPr="00221F1B">
        <w:rPr>
          <w:rFonts w:asciiTheme="minorHAnsi" w:hAnsiTheme="minorHAnsi" w:cs="Calibri Light"/>
        </w:rPr>
        <w:t xml:space="preserve"> service minimum doit permettre aux usagers de se défaire des ordures ménagères brutes et de se défaire de manière sélective, après tri par ceux-ci, des fractions suivantes de leurs déchets : les encombrants ménagers et la fraction en plastique rigide des encombrants ;</w:t>
      </w:r>
    </w:p>
    <w:p w14:paraId="3A510349" w14:textId="77777777" w:rsidR="00221F1B" w:rsidRPr="00221F1B" w:rsidRDefault="00221F1B" w:rsidP="00221F1B">
      <w:pPr>
        <w:numPr>
          <w:ilvl w:val="0"/>
          <w:numId w:val="124"/>
        </w:numPr>
        <w:spacing w:before="120"/>
        <w:jc w:val="both"/>
        <w:textAlignment w:val="baseline"/>
        <w:rPr>
          <w:rFonts w:asciiTheme="minorHAnsi" w:hAnsiTheme="minorHAnsi" w:cs="Calibri Light"/>
        </w:rPr>
      </w:pPr>
      <w:proofErr w:type="gramStart"/>
      <w:r w:rsidRPr="00221F1B">
        <w:rPr>
          <w:rFonts w:asciiTheme="minorHAnsi" w:hAnsiTheme="minorHAnsi" w:cs="Calibri Light"/>
        </w:rPr>
        <w:t>le</w:t>
      </w:r>
      <w:proofErr w:type="gramEnd"/>
      <w:r w:rsidRPr="00221F1B">
        <w:rPr>
          <w:rFonts w:asciiTheme="minorHAnsi" w:hAnsiTheme="minorHAnsi" w:cs="Calibri Light"/>
        </w:rPr>
        <w:t xml:space="preserve"> service minimum comporte notamment les services suivants : la collecte en porte à porte des ordures ménagères brutes et, le cas échéant, d'autres flux tels que les déchets organiques, les encombrants, les PMC, les papiers cartons.</w:t>
      </w:r>
    </w:p>
    <w:p w14:paraId="0E19E938" w14:textId="2A556031"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L'enlèvement</w:t>
      </w:r>
      <w:r w:rsidR="00221F1B" w:rsidRPr="00221F1B">
        <w:t xml:space="preserve"> </w:t>
      </w:r>
      <w:r w:rsidR="00221F1B" w:rsidRPr="00221F1B">
        <w:rPr>
          <w:rFonts w:asciiTheme="minorHAnsi" w:hAnsiTheme="minorHAnsi" w:cs="Calibri Light"/>
        </w:rPr>
        <w:t xml:space="preserve">d’objets </w:t>
      </w:r>
      <w:r w:rsidR="00221F1B" w:rsidRPr="00902733">
        <w:rPr>
          <w:rFonts w:asciiTheme="minorHAnsi" w:hAnsiTheme="minorHAnsi" w:cs="Calibri Light"/>
        </w:rPr>
        <w:t>encombrant</w:t>
      </w:r>
      <w:r w:rsidR="00007999" w:rsidRPr="00902733">
        <w:rPr>
          <w:rFonts w:asciiTheme="minorHAnsi" w:hAnsiTheme="minorHAnsi" w:cs="Calibri Light"/>
        </w:rPr>
        <w:t>s</w:t>
      </w:r>
      <w:r w:rsidR="00221F1B" w:rsidRPr="00902733">
        <w:rPr>
          <w:rFonts w:asciiTheme="minorHAnsi" w:hAnsiTheme="minorHAnsi" w:cs="Calibri Light"/>
        </w:rPr>
        <w:t xml:space="preserve"> relevant du service minimum </w:t>
      </w:r>
      <w:r w:rsidRPr="00902733">
        <w:rPr>
          <w:rFonts w:asciiTheme="minorHAnsi" w:hAnsiTheme="minorHAnsi" w:cs="Calibri Light"/>
        </w:rPr>
        <w:t>peut intervenir dans le cadre du service minimum ou du service complémentaire de gestion des déchets en application de l'AGW du 5</w:t>
      </w:r>
      <w:r w:rsidR="006A79F5">
        <w:rPr>
          <w:rFonts w:asciiTheme="minorHAnsi" w:hAnsiTheme="minorHAnsi" w:cs="Calibri Light"/>
        </w:rPr>
        <w:t xml:space="preserve"> mars </w:t>
      </w:r>
      <w:r w:rsidRPr="00902733">
        <w:rPr>
          <w:rFonts w:asciiTheme="minorHAnsi" w:hAnsiTheme="minorHAnsi" w:cs="Calibri Light"/>
        </w:rPr>
        <w:t>2008.</w:t>
      </w:r>
    </w:p>
    <w:p w14:paraId="1314CCB5" w14:textId="60240830" w:rsidR="009B153C" w:rsidRDefault="00E110E1" w:rsidP="008D7EB7">
      <w:pPr>
        <w:spacing w:before="120" w:after="240"/>
        <w:jc w:val="both"/>
        <w:textAlignment w:val="baseline"/>
        <w:rPr>
          <w:rFonts w:asciiTheme="minorHAnsi" w:hAnsiTheme="minorHAnsi" w:cs="Calibri Light"/>
        </w:rPr>
      </w:pPr>
      <w:r>
        <w:rPr>
          <w:rFonts w:asciiTheme="minorHAnsi" w:hAnsiTheme="minorHAnsi" w:cs="Calibri Light"/>
        </w:rPr>
        <w:t>Pour</w:t>
      </w:r>
      <w:r w:rsidR="009B153C" w:rsidRPr="00DA6BD2">
        <w:rPr>
          <w:rFonts w:asciiTheme="minorHAnsi" w:hAnsiTheme="minorHAnsi" w:cs="Calibri Light"/>
        </w:rPr>
        <w:t xml:space="preserve"> l'enlèvement d'encombrants ne relevant pas du service minimum, </w:t>
      </w:r>
      <w:r w:rsidR="00221F1B">
        <w:rPr>
          <w:rFonts w:asciiTheme="minorHAnsi" w:hAnsiTheme="minorHAnsi" w:cs="Calibri Light"/>
        </w:rPr>
        <w:t>le Conseil communal</w:t>
      </w:r>
      <w:r w:rsidR="009B153C" w:rsidRPr="00DA6BD2">
        <w:rPr>
          <w:rFonts w:asciiTheme="minorHAnsi" w:hAnsiTheme="minorHAnsi" w:cs="Calibri Light"/>
        </w:rPr>
        <w:t xml:space="preserve"> peut </w:t>
      </w:r>
      <w:r w:rsidR="00221F1B">
        <w:rPr>
          <w:rFonts w:asciiTheme="minorHAnsi" w:hAnsiTheme="minorHAnsi" w:cs="Calibri Light"/>
        </w:rPr>
        <w:t>exiger</w:t>
      </w:r>
      <w:r w:rsidR="009B153C" w:rsidRPr="00DA6BD2">
        <w:rPr>
          <w:rFonts w:asciiTheme="minorHAnsi" w:hAnsiTheme="minorHAnsi" w:cs="Calibri Light"/>
        </w:rPr>
        <w:t xml:space="preserve"> une redevance.</w:t>
      </w:r>
    </w:p>
    <w:p w14:paraId="1FFDFA8C" w14:textId="2021AD5B" w:rsidR="002A7D13" w:rsidRPr="00925915" w:rsidRDefault="009B153C" w:rsidP="00256E9F">
      <w:pPr>
        <w:pStyle w:val="Sam3"/>
      </w:pPr>
      <w:bookmarkStart w:id="5675" w:name="_Toc74557754"/>
      <w:bookmarkStart w:id="5676" w:name="_Hlk38968521"/>
      <w:bookmarkStart w:id="5677" w:name="_Toc512525488"/>
      <w:bookmarkStart w:id="5678" w:name="_Toc515896802"/>
      <w:r w:rsidRPr="00925915">
        <w:t>040/363-07 : Enlèvement des versages sauvages</w:t>
      </w:r>
      <w:bookmarkEnd w:id="5675"/>
      <w:r w:rsidRPr="00925915">
        <w:t xml:space="preserve"> </w:t>
      </w:r>
    </w:p>
    <w:p w14:paraId="470449D6" w14:textId="13615372" w:rsidR="00FB0ADF" w:rsidRPr="00493337" w:rsidRDefault="008E0762" w:rsidP="00256E9F">
      <w:pPr>
        <w:pStyle w:val="Sam3"/>
      </w:pPr>
      <w:bookmarkStart w:id="5679" w:name="_Toc40186285"/>
      <w:bookmarkStart w:id="5680" w:name="_Toc74557755"/>
      <w:r w:rsidRPr="00902733">
        <w:t>Redevance</w:t>
      </w:r>
      <w:bookmarkEnd w:id="5679"/>
      <w:bookmarkEnd w:id="5680"/>
    </w:p>
    <w:bookmarkEnd w:id="5676"/>
    <w:p w14:paraId="6D818893" w14:textId="7900D524" w:rsidR="009B153C" w:rsidRPr="003F0B7B" w:rsidRDefault="002A7D13" w:rsidP="00E063FD">
      <w:r w:rsidRPr="00787482">
        <w:t>Modèle disponible.</w:t>
      </w:r>
      <w:bookmarkEnd w:id="5677"/>
      <w:bookmarkEnd w:id="5678"/>
    </w:p>
    <w:p w14:paraId="2D8B8DA7" w14:textId="0F27B08D" w:rsidR="00902733" w:rsidRDefault="009B153C" w:rsidP="00767A6F">
      <w:pPr>
        <w:spacing w:before="120"/>
        <w:jc w:val="both"/>
        <w:textAlignment w:val="baseline"/>
        <w:rPr>
          <w:rFonts w:asciiTheme="minorHAnsi" w:hAnsiTheme="minorHAnsi" w:cs="Calibri Light"/>
        </w:rPr>
      </w:pPr>
      <w:bookmarkStart w:id="5681" w:name="_Hlk38454055"/>
      <w:r w:rsidRPr="00902733">
        <w:rPr>
          <w:rFonts w:asciiTheme="minorHAnsi" w:hAnsiTheme="minorHAnsi" w:cs="Calibri Light"/>
        </w:rPr>
        <w:t xml:space="preserve">Lorsque les services communaux sont amenés à intervenir pour enlever un dépôt sauvage de déchets, </w:t>
      </w:r>
      <w:r w:rsidR="00767A6F" w:rsidRPr="008D7EB7">
        <w:rPr>
          <w:rFonts w:asciiTheme="minorHAnsi" w:hAnsiTheme="minorHAnsi" w:cs="Calibri Light"/>
        </w:rPr>
        <w:t>l’idéal est – en fonction de la définition de la redevance – de prévoir</w:t>
      </w:r>
      <w:r w:rsidR="00767A6F" w:rsidRPr="00902733">
        <w:rPr>
          <w:rFonts w:asciiTheme="minorHAnsi" w:hAnsiTheme="minorHAnsi" w:cs="Calibri Light"/>
        </w:rPr>
        <w:t xml:space="preserve"> un prélèvement couvrant les frais réellement engagés par la commune. </w:t>
      </w:r>
    </w:p>
    <w:p w14:paraId="45FB5768" w14:textId="5A814D9E" w:rsidR="00767A6F" w:rsidRPr="008D7EB7" w:rsidRDefault="00767A6F" w:rsidP="00767A6F">
      <w:pPr>
        <w:spacing w:before="120"/>
        <w:jc w:val="both"/>
        <w:textAlignment w:val="baseline"/>
        <w:rPr>
          <w:rFonts w:asciiTheme="minorHAnsi" w:hAnsiTheme="minorHAnsi" w:cs="Calibri Light"/>
        </w:rPr>
      </w:pPr>
      <w:r w:rsidRPr="008D7EB7">
        <w:rPr>
          <w:rFonts w:asciiTheme="minorHAnsi" w:hAnsiTheme="minorHAnsi" w:cs="Calibri Light"/>
        </w:rPr>
        <w:t>Pour ce faire, on peut agir de la manière suivante :</w:t>
      </w:r>
    </w:p>
    <w:p w14:paraId="4DF41B0E" w14:textId="77777777" w:rsidR="00D24E78" w:rsidRPr="00D24E78" w:rsidRDefault="00D24E78" w:rsidP="00B05546">
      <w:pPr>
        <w:jc w:val="both"/>
        <w:textAlignment w:val="baseline"/>
        <w:rPr>
          <w:rFonts w:asciiTheme="minorHAnsi" w:hAnsiTheme="minorHAnsi" w:cs="Calibri Light"/>
          <w:color w:val="0000FF"/>
        </w:rPr>
      </w:pPr>
    </w:p>
    <w:tbl>
      <w:tblPr>
        <w:tblW w:w="0" w:type="auto"/>
        <w:tblCellMar>
          <w:left w:w="0" w:type="dxa"/>
          <w:right w:w="0" w:type="dxa"/>
        </w:tblCellMar>
        <w:tblLook w:val="04A0" w:firstRow="1" w:lastRow="0" w:firstColumn="1" w:lastColumn="0" w:noHBand="0" w:noVBand="1"/>
      </w:tblPr>
      <w:tblGrid>
        <w:gridCol w:w="2265"/>
        <w:gridCol w:w="2262"/>
        <w:gridCol w:w="2263"/>
        <w:gridCol w:w="2262"/>
      </w:tblGrid>
      <w:tr w:rsidR="00DE1E72" w:rsidRPr="00B05546" w14:paraId="41EA9108" w14:textId="77777777" w:rsidTr="00D24E78">
        <w:tc>
          <w:tcPr>
            <w:tcW w:w="679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BED7CE" w14:textId="77777777" w:rsidR="00D24E78" w:rsidRPr="00B05546"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69CD02" w14:textId="77777777" w:rsidR="00D24E78" w:rsidRPr="00B05546" w:rsidRDefault="00D24E78" w:rsidP="00B05546">
            <w:pPr>
              <w:jc w:val="center"/>
              <w:textAlignment w:val="baseline"/>
              <w:rPr>
                <w:rFonts w:asciiTheme="minorHAnsi" w:hAnsiTheme="minorHAnsi" w:cs="Calibri Light"/>
                <w:sz w:val="20"/>
                <w:szCs w:val="20"/>
              </w:rPr>
            </w:pPr>
            <w:r w:rsidRPr="00B05546">
              <w:rPr>
                <w:rFonts w:asciiTheme="minorHAnsi" w:hAnsiTheme="minorHAnsi" w:cs="Calibri Light"/>
                <w:sz w:val="20"/>
                <w:szCs w:val="20"/>
              </w:rPr>
              <w:t>Coût</w:t>
            </w:r>
          </w:p>
        </w:tc>
      </w:tr>
      <w:tr w:rsidR="00DE1E72" w:rsidRPr="00B05546" w14:paraId="18CF7665" w14:textId="77777777" w:rsidTr="008D7EB7">
        <w:tc>
          <w:tcPr>
            <w:tcW w:w="22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AA86F" w14:textId="77777777" w:rsidR="00D24E78" w:rsidRPr="00B05546" w:rsidRDefault="00D24E78" w:rsidP="00B05546">
            <w:pPr>
              <w:numPr>
                <w:ilvl w:val="0"/>
                <w:numId w:val="125"/>
              </w:numPr>
              <w:jc w:val="both"/>
              <w:textAlignment w:val="baseline"/>
              <w:rPr>
                <w:rFonts w:asciiTheme="minorHAnsi" w:hAnsiTheme="minorHAnsi" w:cs="Calibri Light"/>
                <w:sz w:val="20"/>
                <w:szCs w:val="20"/>
              </w:rPr>
            </w:pPr>
            <w:r w:rsidRPr="00B05546">
              <w:rPr>
                <w:rFonts w:asciiTheme="minorHAnsi" w:hAnsiTheme="minorHAnsi" w:cs="Calibri Light"/>
                <w:sz w:val="20"/>
                <w:szCs w:val="20"/>
              </w:rPr>
              <w:t>Intervention de l’ouvrier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CA3EF"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Nombre d’heures prestées</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9DA19"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Coût horaire</w:t>
            </w: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D0B57E"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4B83ED1E" w14:textId="77777777" w:rsidTr="008D7EB7">
        <w:tc>
          <w:tcPr>
            <w:tcW w:w="0" w:type="auto"/>
            <w:vMerge/>
            <w:tcBorders>
              <w:top w:val="nil"/>
              <w:left w:val="single" w:sz="8" w:space="0" w:color="auto"/>
              <w:bottom w:val="single" w:sz="8" w:space="0" w:color="auto"/>
              <w:right w:val="single" w:sz="8" w:space="0" w:color="auto"/>
            </w:tcBorders>
            <w:vAlign w:val="center"/>
            <w:hideMark/>
          </w:tcPr>
          <w:p w14:paraId="69FDCF70" w14:textId="77777777" w:rsidR="00D24E78" w:rsidRPr="00B05546" w:rsidRDefault="00D24E78" w:rsidP="00B05546">
            <w:pPr>
              <w:jc w:val="both"/>
              <w:textAlignment w:val="baseline"/>
              <w:rPr>
                <w:rFonts w:asciiTheme="minorHAnsi" w:hAnsiTheme="minorHAnsi" w:cs="Calibri Light"/>
                <w:sz w:val="20"/>
                <w:szCs w:val="20"/>
              </w:rPr>
            </w:pPr>
          </w:p>
        </w:tc>
        <w:tc>
          <w:tcPr>
            <w:tcW w:w="226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490BF838" w14:textId="77777777" w:rsidR="00D24E78" w:rsidRPr="00B05546"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6B3E51D6" w14:textId="77777777" w:rsidR="00D24E78" w:rsidRPr="00B05546" w:rsidRDefault="00D24E78"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50D6623F"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092319F2" w14:textId="77777777" w:rsidTr="00D24E78">
        <w:tc>
          <w:tcPr>
            <w:tcW w:w="67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C76C3" w14:textId="77777777" w:rsidR="00D24E78" w:rsidRPr="00B05546" w:rsidRDefault="00D24E78" w:rsidP="00B05546">
            <w:pPr>
              <w:numPr>
                <w:ilvl w:val="0"/>
                <w:numId w:val="125"/>
              </w:numPr>
              <w:jc w:val="both"/>
              <w:textAlignment w:val="baseline"/>
              <w:rPr>
                <w:rFonts w:asciiTheme="minorHAnsi" w:hAnsiTheme="minorHAnsi" w:cs="Calibri Light"/>
                <w:sz w:val="20"/>
                <w:szCs w:val="20"/>
              </w:rPr>
            </w:pPr>
            <w:r w:rsidRPr="00B05546">
              <w:rPr>
                <w:rFonts w:asciiTheme="minorHAnsi" w:hAnsiTheme="minorHAnsi" w:cs="Calibri Light"/>
                <w:sz w:val="20"/>
                <w:szCs w:val="20"/>
              </w:rPr>
              <w:t>Intervention d’une camionnette </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4C8AC"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1B418FB6" w14:textId="77777777" w:rsidTr="00D24E78">
        <w:tc>
          <w:tcPr>
            <w:tcW w:w="67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719E1" w14:textId="77777777" w:rsidR="00D24E78" w:rsidRPr="00B05546" w:rsidRDefault="00D24E78" w:rsidP="00B05546">
            <w:pPr>
              <w:numPr>
                <w:ilvl w:val="0"/>
                <w:numId w:val="125"/>
              </w:numPr>
              <w:jc w:val="both"/>
              <w:textAlignment w:val="baseline"/>
              <w:rPr>
                <w:rFonts w:asciiTheme="minorHAnsi" w:hAnsiTheme="minorHAnsi" w:cs="Calibri Light"/>
                <w:sz w:val="20"/>
                <w:szCs w:val="20"/>
              </w:rPr>
            </w:pPr>
            <w:r w:rsidRPr="00B05546">
              <w:rPr>
                <w:rFonts w:asciiTheme="minorHAnsi" w:hAnsiTheme="minorHAnsi" w:cs="Calibri Light"/>
                <w:sz w:val="20"/>
                <w:szCs w:val="20"/>
              </w:rPr>
              <w:t>Intervention de transport particulier (grue, …) :</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892B8"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421D7B23" w14:textId="77777777" w:rsidTr="008D7EB7">
        <w:tc>
          <w:tcPr>
            <w:tcW w:w="22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2FE20" w14:textId="77777777" w:rsidR="00D24E78" w:rsidRPr="00B05546" w:rsidRDefault="00D24E78" w:rsidP="00B05546">
            <w:pPr>
              <w:numPr>
                <w:ilvl w:val="0"/>
                <w:numId w:val="125"/>
              </w:numPr>
              <w:jc w:val="both"/>
              <w:textAlignment w:val="baseline"/>
              <w:rPr>
                <w:rFonts w:asciiTheme="minorHAnsi" w:hAnsiTheme="minorHAnsi" w:cs="Calibri Light"/>
                <w:sz w:val="20"/>
                <w:szCs w:val="20"/>
              </w:rPr>
            </w:pPr>
            <w:r w:rsidRPr="00B05546">
              <w:rPr>
                <w:rFonts w:asciiTheme="minorHAnsi" w:hAnsiTheme="minorHAnsi" w:cs="Calibri Light"/>
                <w:sz w:val="20"/>
                <w:szCs w:val="20"/>
              </w:rPr>
              <w:t>Frais de kilomètre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BF6A0"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Nombre de kilomètres parcourus</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152A2"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Coût par kilomètres parcourus</w:t>
            </w: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60BEA03"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1093B9ED" w14:textId="77777777" w:rsidTr="008D7EB7">
        <w:tc>
          <w:tcPr>
            <w:tcW w:w="0" w:type="auto"/>
            <w:vMerge/>
            <w:tcBorders>
              <w:top w:val="nil"/>
              <w:left w:val="single" w:sz="8" w:space="0" w:color="auto"/>
              <w:bottom w:val="single" w:sz="8" w:space="0" w:color="auto"/>
              <w:right w:val="single" w:sz="8" w:space="0" w:color="auto"/>
            </w:tcBorders>
            <w:vAlign w:val="center"/>
            <w:hideMark/>
          </w:tcPr>
          <w:p w14:paraId="0009C5E9" w14:textId="77777777" w:rsidR="00D24E78" w:rsidRPr="00B05546" w:rsidRDefault="00D24E78" w:rsidP="00B05546">
            <w:pPr>
              <w:jc w:val="both"/>
              <w:textAlignment w:val="baseline"/>
              <w:rPr>
                <w:rFonts w:asciiTheme="minorHAnsi" w:hAnsiTheme="minorHAnsi" w:cs="Calibri Light"/>
                <w:sz w:val="20"/>
                <w:szCs w:val="20"/>
              </w:rPr>
            </w:pPr>
          </w:p>
        </w:tc>
        <w:tc>
          <w:tcPr>
            <w:tcW w:w="226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1FA271B" w14:textId="77777777" w:rsidR="00D24E78" w:rsidRPr="00B05546"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44BAF7C6" w14:textId="77777777" w:rsidR="00D24E78" w:rsidRPr="00B05546" w:rsidRDefault="00D24E78"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53C03A91"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1583BDFB" w14:textId="77777777" w:rsidTr="008D7EB7">
        <w:tc>
          <w:tcPr>
            <w:tcW w:w="22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06622" w14:textId="77777777" w:rsidR="00D24E78" w:rsidRPr="00B05546" w:rsidRDefault="00D24E78" w:rsidP="00B05546">
            <w:pPr>
              <w:numPr>
                <w:ilvl w:val="0"/>
                <w:numId w:val="125"/>
              </w:numPr>
              <w:jc w:val="both"/>
              <w:textAlignment w:val="baseline"/>
              <w:rPr>
                <w:rFonts w:asciiTheme="minorHAnsi" w:hAnsiTheme="minorHAnsi" w:cs="Calibri Light"/>
                <w:sz w:val="20"/>
                <w:szCs w:val="20"/>
              </w:rPr>
            </w:pPr>
            <w:r w:rsidRPr="00B05546">
              <w:rPr>
                <w:rFonts w:asciiTheme="minorHAnsi" w:hAnsiTheme="minorHAnsi" w:cs="Calibri Light"/>
                <w:sz w:val="20"/>
                <w:szCs w:val="20"/>
              </w:rPr>
              <w:t>Frais de décharge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AE032"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Nombre de tonnes</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7C0B2"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Coût par tonne</w:t>
            </w: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38184109"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21DB599C" w14:textId="77777777" w:rsidTr="008D7EB7">
        <w:tc>
          <w:tcPr>
            <w:tcW w:w="0" w:type="auto"/>
            <w:vMerge/>
            <w:tcBorders>
              <w:top w:val="nil"/>
              <w:left w:val="single" w:sz="8" w:space="0" w:color="auto"/>
              <w:bottom w:val="single" w:sz="8" w:space="0" w:color="auto"/>
              <w:right w:val="single" w:sz="8" w:space="0" w:color="auto"/>
            </w:tcBorders>
            <w:vAlign w:val="center"/>
            <w:hideMark/>
          </w:tcPr>
          <w:p w14:paraId="7A1BF323" w14:textId="77777777" w:rsidR="00D24E78" w:rsidRPr="00B05546" w:rsidRDefault="00D24E78" w:rsidP="00B05546">
            <w:pPr>
              <w:jc w:val="both"/>
              <w:textAlignment w:val="baseline"/>
              <w:rPr>
                <w:rFonts w:asciiTheme="minorHAnsi" w:hAnsiTheme="minorHAnsi" w:cs="Calibri Light"/>
                <w:sz w:val="20"/>
                <w:szCs w:val="20"/>
              </w:rPr>
            </w:pPr>
          </w:p>
        </w:tc>
        <w:tc>
          <w:tcPr>
            <w:tcW w:w="226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D4B8552" w14:textId="77777777" w:rsidR="00D24E78" w:rsidRPr="00B05546"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75465B26" w14:textId="77777777" w:rsidR="00D24E78" w:rsidRPr="00B05546" w:rsidRDefault="00D24E78"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2723C222" w14:textId="77777777" w:rsidR="00D24E78" w:rsidRPr="00B05546" w:rsidRDefault="00D24E78" w:rsidP="00B05546">
            <w:pPr>
              <w:jc w:val="both"/>
              <w:textAlignment w:val="baseline"/>
              <w:rPr>
                <w:rFonts w:asciiTheme="minorHAnsi" w:hAnsiTheme="minorHAnsi" w:cs="Calibri Light"/>
                <w:sz w:val="20"/>
                <w:szCs w:val="20"/>
              </w:rPr>
            </w:pPr>
          </w:p>
        </w:tc>
      </w:tr>
      <w:tr w:rsidR="00DE1E72" w:rsidRPr="00B05546" w14:paraId="3271EE59" w14:textId="77777777" w:rsidTr="00D24E78">
        <w:tc>
          <w:tcPr>
            <w:tcW w:w="67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9858B" w14:textId="77777777" w:rsidR="00D24E78" w:rsidRPr="00B05546" w:rsidRDefault="00D24E78"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Montant de la redevance</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51776" w14:textId="77777777" w:rsidR="00D24E78" w:rsidRPr="00B05546" w:rsidRDefault="00D24E78" w:rsidP="00B05546">
            <w:pPr>
              <w:jc w:val="both"/>
              <w:textAlignment w:val="baseline"/>
              <w:rPr>
                <w:rFonts w:asciiTheme="minorHAnsi" w:hAnsiTheme="minorHAnsi" w:cs="Calibri Light"/>
                <w:sz w:val="20"/>
                <w:szCs w:val="20"/>
              </w:rPr>
            </w:pPr>
          </w:p>
        </w:tc>
      </w:tr>
    </w:tbl>
    <w:p w14:paraId="069D758C" w14:textId="5292BAAE" w:rsidR="00385431" w:rsidRPr="008D7EB7" w:rsidRDefault="00385431" w:rsidP="00385431">
      <w:pPr>
        <w:spacing w:before="120"/>
        <w:jc w:val="both"/>
        <w:textAlignment w:val="baseline"/>
        <w:rPr>
          <w:rFonts w:asciiTheme="minorHAnsi" w:hAnsiTheme="minorHAnsi" w:cs="Calibri Light"/>
        </w:rPr>
      </w:pPr>
      <w:r w:rsidRPr="008D7EB7">
        <w:rPr>
          <w:rFonts w:asciiTheme="minorHAnsi" w:hAnsiTheme="minorHAnsi" w:cs="Calibri Light"/>
        </w:rPr>
        <w:lastRenderedPageBreak/>
        <w:t xml:space="preserve">Afin d’éviter une charge administrative importante pour la commune, il est possible, de prévoir, d’une part un taux forfaitaire de maximum </w:t>
      </w:r>
      <w:r w:rsidRPr="008D7EB7">
        <w:rPr>
          <w:rFonts w:asciiTheme="minorHAnsi" w:hAnsiTheme="minorHAnsi" w:cs="Calibri Light"/>
          <w:b/>
          <w:bCs/>
        </w:rPr>
        <w:t>100</w:t>
      </w:r>
      <w:r w:rsidR="00902733" w:rsidRPr="008D7EB7">
        <w:rPr>
          <w:rFonts w:asciiTheme="minorHAnsi" w:hAnsiTheme="minorHAnsi" w:cs="Calibri Light"/>
          <w:b/>
          <w:bCs/>
        </w:rPr>
        <w:t>,00</w:t>
      </w:r>
      <w:r w:rsidRPr="008D7EB7">
        <w:rPr>
          <w:rFonts w:asciiTheme="minorHAnsi" w:hAnsiTheme="minorHAnsi" w:cs="Calibri Light"/>
          <w:b/>
          <w:bCs/>
        </w:rPr>
        <w:t xml:space="preserve"> euros</w:t>
      </w:r>
      <w:r w:rsidR="00444F42" w:rsidRPr="008D7EB7">
        <w:rPr>
          <w:rFonts w:asciiTheme="minorHAnsi" w:hAnsiTheme="minorHAnsi" w:cs="Calibri Light"/>
        </w:rPr>
        <w:t xml:space="preserve"> </w:t>
      </w:r>
      <w:r w:rsidRPr="008D7EB7">
        <w:rPr>
          <w:rFonts w:asciiTheme="minorHAnsi" w:hAnsiTheme="minorHAnsi" w:cs="Calibri Light"/>
        </w:rPr>
        <w:t>pour l’enlèvement d’un petit déchet (</w:t>
      </w:r>
      <w:r w:rsidR="00FC6256">
        <w:rPr>
          <w:rFonts w:asciiTheme="minorHAnsi" w:hAnsiTheme="minorHAnsi" w:cs="Calibri Light"/>
        </w:rPr>
        <w:t xml:space="preserve">par exemple </w:t>
      </w:r>
      <w:r w:rsidRPr="008D7EB7">
        <w:rPr>
          <w:rFonts w:asciiTheme="minorHAnsi" w:hAnsiTheme="minorHAnsi" w:cs="Calibri Light"/>
        </w:rPr>
        <w:t>: cendrier, un sac, crotte</w:t>
      </w:r>
      <w:r w:rsidR="000D441C" w:rsidRPr="008D7EB7">
        <w:rPr>
          <w:rFonts w:asciiTheme="minorHAnsi" w:hAnsiTheme="minorHAnsi" w:cs="Calibri Light"/>
        </w:rPr>
        <w:t>(s)</w:t>
      </w:r>
      <w:r w:rsidRPr="008D7EB7">
        <w:rPr>
          <w:rFonts w:asciiTheme="minorHAnsi" w:hAnsiTheme="minorHAnsi" w:cs="Calibri Light"/>
        </w:rPr>
        <w:t xml:space="preserve"> de chien, …) et, d’autre part, le décompte ci-dessus pour les autres cas d’enlèvement.</w:t>
      </w:r>
    </w:p>
    <w:p w14:paraId="3CAD4E5F" w14:textId="62107E73" w:rsidR="001B502E" w:rsidRDefault="00767A6F" w:rsidP="00E063FD">
      <w:pPr>
        <w:spacing w:before="120"/>
        <w:jc w:val="both"/>
        <w:textAlignment w:val="baseline"/>
        <w:rPr>
          <w:rFonts w:asciiTheme="minorHAnsi" w:hAnsiTheme="minorHAnsi" w:cs="Calibri Light"/>
        </w:rPr>
      </w:pPr>
      <w:r>
        <w:rPr>
          <w:rFonts w:asciiTheme="minorHAnsi" w:hAnsiTheme="minorHAnsi" w:cs="Calibri Light"/>
        </w:rPr>
        <w:t>Néanmoins, s</w:t>
      </w:r>
      <w:r w:rsidR="009B153C" w:rsidRPr="00DA6BD2">
        <w:rPr>
          <w:rFonts w:asciiTheme="minorHAnsi" w:hAnsiTheme="minorHAnsi" w:cs="Calibri Light"/>
        </w:rPr>
        <w:t>i la commune souhaite établir un forfait au lieu de s'en tenir à la récupération des frais réels encourus, elle ne doit pas perdre de vue qu'il existe une différence importante entre l'enlèvement d'un dépôt mineur (</w:t>
      </w:r>
      <w:r w:rsidR="00FC6256">
        <w:rPr>
          <w:rFonts w:asciiTheme="minorHAnsi" w:hAnsiTheme="minorHAnsi" w:cs="Calibri Light"/>
        </w:rPr>
        <w:t xml:space="preserve">par exemple : </w:t>
      </w:r>
      <w:r w:rsidR="009B153C" w:rsidRPr="00DA6BD2">
        <w:rPr>
          <w:rFonts w:asciiTheme="minorHAnsi" w:hAnsiTheme="minorHAnsi" w:cs="Calibri Light"/>
        </w:rPr>
        <w:t xml:space="preserve">cendrier, un seul sac, ...) et l'enlèvement d'un dépôt important. </w:t>
      </w:r>
    </w:p>
    <w:p w14:paraId="5FA46395" w14:textId="289308CA" w:rsidR="001B502E"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Dès lors, en cas de </w:t>
      </w:r>
      <w:r w:rsidRPr="00DA6BD2">
        <w:rPr>
          <w:rFonts w:asciiTheme="minorHAnsi" w:hAnsiTheme="minorHAnsi" w:cs="Calibri Light"/>
          <w:b/>
        </w:rPr>
        <w:t>forfait unique</w:t>
      </w:r>
      <w:r w:rsidRPr="00DA6BD2">
        <w:rPr>
          <w:rFonts w:asciiTheme="minorHAnsi" w:hAnsiTheme="minorHAnsi" w:cs="Calibri Light"/>
        </w:rPr>
        <w:t xml:space="preserve">, le taux ne pourra dépasser </w:t>
      </w:r>
      <w:r w:rsidRPr="00DA6BD2">
        <w:rPr>
          <w:rFonts w:asciiTheme="minorHAnsi" w:hAnsiTheme="minorHAnsi" w:cs="Calibri Light"/>
          <w:b/>
        </w:rPr>
        <w:t>100</w:t>
      </w:r>
      <w:r w:rsidR="00902733">
        <w:rPr>
          <w:rFonts w:asciiTheme="minorHAnsi" w:hAnsiTheme="minorHAnsi" w:cs="Calibri Light"/>
          <w:b/>
        </w:rPr>
        <w:t>,00</w:t>
      </w:r>
      <w:r w:rsidRPr="00DA6BD2">
        <w:rPr>
          <w:rFonts w:asciiTheme="minorHAnsi" w:hAnsiTheme="minorHAnsi" w:cs="Calibri Light"/>
          <w:b/>
        </w:rPr>
        <w:t xml:space="preserve"> euros</w:t>
      </w:r>
      <w:r w:rsidRPr="00DA6BD2">
        <w:rPr>
          <w:rFonts w:asciiTheme="minorHAnsi" w:hAnsiTheme="minorHAnsi" w:cs="Calibri Light"/>
        </w:rPr>
        <w:t xml:space="preserve">, taux qui semble raisonnable pour </w:t>
      </w:r>
      <w:r w:rsidR="00767A6F">
        <w:rPr>
          <w:rFonts w:asciiTheme="minorHAnsi" w:hAnsiTheme="minorHAnsi" w:cs="Calibri Light"/>
        </w:rPr>
        <w:t>l’enlèvement et le traitement d</w:t>
      </w:r>
      <w:r w:rsidRPr="00DA6BD2">
        <w:rPr>
          <w:rFonts w:asciiTheme="minorHAnsi" w:hAnsiTheme="minorHAnsi" w:cs="Calibri Light"/>
        </w:rPr>
        <w:t xml:space="preserve">es petits déchets. </w:t>
      </w:r>
    </w:p>
    <w:p w14:paraId="122F38C2" w14:textId="3F1DF61F" w:rsidR="00D24E78"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Lorsque le règlement prévoi</w:t>
      </w:r>
      <w:r w:rsidR="00D24E78">
        <w:rPr>
          <w:rFonts w:asciiTheme="minorHAnsi" w:hAnsiTheme="minorHAnsi" w:cs="Calibri Light"/>
        </w:rPr>
        <w:t>t</w:t>
      </w:r>
      <w:r w:rsidRPr="00DA6BD2">
        <w:rPr>
          <w:rFonts w:asciiTheme="minorHAnsi" w:hAnsiTheme="minorHAnsi" w:cs="Calibri Light"/>
        </w:rPr>
        <w:t xml:space="preserve"> différents taux forfaitaires par type de dépôts, les taux s'échelonneront de </w:t>
      </w:r>
      <w:r w:rsidRPr="00DA6BD2">
        <w:rPr>
          <w:rFonts w:asciiTheme="minorHAnsi" w:hAnsiTheme="minorHAnsi" w:cs="Calibri Light"/>
          <w:b/>
        </w:rPr>
        <w:t>100</w:t>
      </w:r>
      <w:r w:rsidR="00902733">
        <w:rPr>
          <w:rFonts w:asciiTheme="minorHAnsi" w:hAnsiTheme="minorHAnsi" w:cs="Calibri Light"/>
          <w:b/>
        </w:rPr>
        <w:t>,00</w:t>
      </w:r>
      <w:r w:rsidRPr="00DA6BD2">
        <w:rPr>
          <w:rFonts w:asciiTheme="minorHAnsi" w:hAnsiTheme="minorHAnsi" w:cs="Calibri Light"/>
          <w:b/>
        </w:rPr>
        <w:t xml:space="preserve"> euros pour les petits déchets à 500</w:t>
      </w:r>
      <w:r w:rsidR="00902733">
        <w:rPr>
          <w:rFonts w:asciiTheme="minorHAnsi" w:hAnsiTheme="minorHAnsi" w:cs="Calibri Light"/>
          <w:b/>
        </w:rPr>
        <w:t>,00</w:t>
      </w:r>
      <w:r w:rsidRPr="00DA6BD2">
        <w:rPr>
          <w:rFonts w:asciiTheme="minorHAnsi" w:hAnsiTheme="minorHAnsi" w:cs="Calibri Light"/>
          <w:b/>
        </w:rPr>
        <w:t xml:space="preserve"> euros</w:t>
      </w:r>
      <w:r w:rsidR="00444F42">
        <w:rPr>
          <w:rFonts w:asciiTheme="minorHAnsi" w:hAnsiTheme="minorHAnsi" w:cs="Calibri Light"/>
          <w:b/>
        </w:rPr>
        <w:t xml:space="preserve"> </w:t>
      </w:r>
      <w:r w:rsidRPr="00DA6BD2">
        <w:rPr>
          <w:rFonts w:asciiTheme="minorHAnsi" w:hAnsiTheme="minorHAnsi" w:cs="Calibri Light"/>
          <w:b/>
        </w:rPr>
        <w:t>pour les déchets volumineux</w:t>
      </w:r>
      <w:r w:rsidRPr="00DA6BD2">
        <w:rPr>
          <w:rFonts w:asciiTheme="minorHAnsi" w:hAnsiTheme="minorHAnsi" w:cs="Calibri Light"/>
        </w:rPr>
        <w:t xml:space="preserve">. </w:t>
      </w:r>
    </w:p>
    <w:p w14:paraId="49600341" w14:textId="110F92D0" w:rsidR="00902733" w:rsidRDefault="009B153C" w:rsidP="00902733">
      <w:pPr>
        <w:spacing w:before="120"/>
        <w:jc w:val="both"/>
        <w:textAlignment w:val="baseline"/>
        <w:rPr>
          <w:rFonts w:asciiTheme="minorHAnsi" w:hAnsiTheme="minorHAnsi" w:cs="Calibri Light"/>
        </w:rPr>
      </w:pPr>
      <w:r w:rsidRPr="00DA6BD2">
        <w:rPr>
          <w:rFonts w:asciiTheme="minorHAnsi" w:hAnsiTheme="minorHAnsi" w:cs="Calibri Light"/>
        </w:rPr>
        <w:t xml:space="preserve">En outre, </w:t>
      </w:r>
      <w:bookmarkStart w:id="5682" w:name="_Hlk39227079"/>
      <w:r w:rsidRPr="00DA6BD2">
        <w:rPr>
          <w:rFonts w:asciiTheme="minorHAnsi" w:hAnsiTheme="minorHAnsi" w:cs="Calibri Light"/>
        </w:rPr>
        <w:t>le règlement</w:t>
      </w:r>
      <w:r w:rsidR="005B7E8F" w:rsidRPr="008D7EB7">
        <w:rPr>
          <w:rFonts w:asciiTheme="minorHAnsi" w:hAnsiTheme="minorHAnsi" w:cs="Calibri Light"/>
        </w:rPr>
        <w:t>-</w:t>
      </w:r>
      <w:r w:rsidR="005B7E8F" w:rsidRPr="00A310A8">
        <w:rPr>
          <w:rFonts w:asciiTheme="minorHAnsi" w:hAnsiTheme="minorHAnsi" w:cs="Calibri Light"/>
        </w:rPr>
        <w:t xml:space="preserve">redevance </w:t>
      </w:r>
      <w:r w:rsidRPr="00DA6BD2">
        <w:rPr>
          <w:rFonts w:asciiTheme="minorHAnsi" w:hAnsiTheme="minorHAnsi" w:cs="Calibri Light"/>
        </w:rPr>
        <w:t>p</w:t>
      </w:r>
      <w:r w:rsidR="00D24E78">
        <w:rPr>
          <w:rFonts w:asciiTheme="minorHAnsi" w:hAnsiTheme="minorHAnsi" w:cs="Calibri Light"/>
        </w:rPr>
        <w:t>eut</w:t>
      </w:r>
      <w:r w:rsidRPr="00DA6BD2">
        <w:rPr>
          <w:rFonts w:asciiTheme="minorHAnsi" w:hAnsiTheme="minorHAnsi" w:cs="Calibri Light"/>
        </w:rPr>
        <w:t xml:space="preserve"> toujours prévoir que l'enlèvement des dépôts qui entraîne une dépense supérieure au taux forfaitaire prévu pour la catégorie de déchets concernés sera facturé sur base d'un décompte des frais réels. </w:t>
      </w:r>
      <w:r w:rsidR="002E4936" w:rsidRPr="00DA6BD2">
        <w:rPr>
          <w:rFonts w:asciiTheme="minorHAnsi" w:hAnsiTheme="minorHAnsi" w:cs="Calibri Light"/>
        </w:rPr>
        <w:t>À</w:t>
      </w:r>
      <w:r w:rsidRPr="00DA6BD2">
        <w:rPr>
          <w:rFonts w:asciiTheme="minorHAnsi" w:hAnsiTheme="minorHAnsi" w:cs="Calibri Light"/>
        </w:rPr>
        <w:t xml:space="preserve"> défaut de prévoir une disposition en ce sens, la commune serait dans l'impossibilité de se rémunérer correctement lorsque plusieurs tonnes de déchets doivent être enlevées par les services communaux</w:t>
      </w:r>
      <w:bookmarkEnd w:id="5682"/>
      <w:r w:rsidRPr="00DA6BD2">
        <w:rPr>
          <w:rFonts w:asciiTheme="minorHAnsi" w:hAnsiTheme="minorHAnsi" w:cs="Calibri Light"/>
        </w:rPr>
        <w:t>.</w:t>
      </w:r>
      <w:r w:rsidR="00902733">
        <w:rPr>
          <w:rFonts w:asciiTheme="minorHAnsi" w:hAnsiTheme="minorHAnsi" w:cs="Calibri Light"/>
        </w:rPr>
        <w:t xml:space="preserve"> </w:t>
      </w:r>
    </w:p>
    <w:p w14:paraId="0334670B" w14:textId="467B7676" w:rsidR="00767A6F" w:rsidRPr="008D7EB7" w:rsidRDefault="00444F42" w:rsidP="008D7EB7">
      <w:pPr>
        <w:spacing w:before="120"/>
        <w:jc w:val="both"/>
        <w:textAlignment w:val="baseline"/>
        <w:rPr>
          <w:rFonts w:asciiTheme="minorHAnsi" w:hAnsiTheme="minorHAnsi" w:cs="Calibri Light"/>
        </w:rPr>
      </w:pPr>
      <w:r>
        <w:rPr>
          <w:rFonts w:asciiTheme="minorHAnsi" w:hAnsiTheme="minorHAnsi" w:cs="Calibri Light"/>
        </w:rPr>
        <w:t>L</w:t>
      </w:r>
      <w:r w:rsidR="00767A6F" w:rsidRPr="00E217C8">
        <w:rPr>
          <w:rFonts w:asciiTheme="minorHAnsi" w:hAnsiTheme="minorHAnsi" w:cs="Calibri Light"/>
        </w:rPr>
        <w:t>e dépôt de déchets dans des endroits non autorisés constitue une infraction au regard de l'article 7 du décret du Conseil régional wallon du 27 juin 1996 relatif aux déchets et sa répression est assurée par la mise en œuvre des sanctions pénales prévues au dit décret.</w:t>
      </w:r>
    </w:p>
    <w:bookmarkEnd w:id="5681"/>
    <w:p w14:paraId="3C6D772E" w14:textId="77777777" w:rsidR="006B47EE" w:rsidRPr="00DA6BD2" w:rsidRDefault="006B47EE" w:rsidP="00E063FD">
      <w:pPr>
        <w:spacing w:before="120"/>
        <w:jc w:val="both"/>
        <w:textAlignment w:val="baseline"/>
        <w:rPr>
          <w:rFonts w:asciiTheme="minorHAnsi" w:hAnsiTheme="minorHAnsi" w:cs="Calibri Light"/>
        </w:rPr>
      </w:pPr>
    </w:p>
    <w:p w14:paraId="04E3AC56" w14:textId="77777777" w:rsidR="002A7D13" w:rsidRPr="001E537F" w:rsidRDefault="009B153C" w:rsidP="00256E9F">
      <w:pPr>
        <w:pStyle w:val="Sam3"/>
        <w:rPr>
          <w:rStyle w:val="Titre3Car"/>
          <w:rFonts w:ascii="Calibri" w:eastAsia="PMingLiU" w:hAnsi="Calibri" w:cs="Calibri Light"/>
          <w:b/>
          <w:sz w:val="24"/>
          <w:szCs w:val="24"/>
          <w:lang w:val="fr-BE" w:eastAsia="fr-FR"/>
        </w:rPr>
      </w:pPr>
      <w:bookmarkStart w:id="5683" w:name="_Toc516739788"/>
      <w:bookmarkStart w:id="5684" w:name="_Toc516751700"/>
      <w:bookmarkStart w:id="5685" w:name="_Toc516825788"/>
      <w:bookmarkStart w:id="5686" w:name="_Toc516826346"/>
      <w:bookmarkStart w:id="5687" w:name="_Toc516837666"/>
      <w:bookmarkStart w:id="5688" w:name="_Toc516838225"/>
      <w:bookmarkStart w:id="5689" w:name="_Toc516838784"/>
      <w:bookmarkStart w:id="5690" w:name="_Toc516839344"/>
      <w:bookmarkStart w:id="5691" w:name="_Toc517173440"/>
      <w:bookmarkStart w:id="5692" w:name="_Toc517175114"/>
      <w:bookmarkStart w:id="5693" w:name="_Toc517175701"/>
      <w:bookmarkStart w:id="5694" w:name="_Toc517176289"/>
      <w:bookmarkStart w:id="5695" w:name="_Toc517337614"/>
      <w:bookmarkStart w:id="5696" w:name="_Toc517360410"/>
      <w:bookmarkStart w:id="5697" w:name="_Toc516739789"/>
      <w:bookmarkStart w:id="5698" w:name="_Toc516751701"/>
      <w:bookmarkStart w:id="5699" w:name="_Toc516825789"/>
      <w:bookmarkStart w:id="5700" w:name="_Toc516826347"/>
      <w:bookmarkStart w:id="5701" w:name="_Toc516837667"/>
      <w:bookmarkStart w:id="5702" w:name="_Toc516838226"/>
      <w:bookmarkStart w:id="5703" w:name="_Toc516838785"/>
      <w:bookmarkStart w:id="5704" w:name="_Toc516839345"/>
      <w:bookmarkStart w:id="5705" w:name="_Toc517173441"/>
      <w:bookmarkStart w:id="5706" w:name="_Toc517175115"/>
      <w:bookmarkStart w:id="5707" w:name="_Toc517175702"/>
      <w:bookmarkStart w:id="5708" w:name="_Toc517176290"/>
      <w:bookmarkStart w:id="5709" w:name="_Toc517337615"/>
      <w:bookmarkStart w:id="5710" w:name="_Toc517360411"/>
      <w:bookmarkStart w:id="5711" w:name="_Toc516739790"/>
      <w:bookmarkStart w:id="5712" w:name="_Toc516751702"/>
      <w:bookmarkStart w:id="5713" w:name="_Toc516825790"/>
      <w:bookmarkStart w:id="5714" w:name="_Toc516826348"/>
      <w:bookmarkStart w:id="5715" w:name="_Toc516837668"/>
      <w:bookmarkStart w:id="5716" w:name="_Toc516838227"/>
      <w:bookmarkStart w:id="5717" w:name="_Toc516838786"/>
      <w:bookmarkStart w:id="5718" w:name="_Toc516839346"/>
      <w:bookmarkStart w:id="5719" w:name="_Toc517173442"/>
      <w:bookmarkStart w:id="5720" w:name="_Toc517175116"/>
      <w:bookmarkStart w:id="5721" w:name="_Toc517175703"/>
      <w:bookmarkStart w:id="5722" w:name="_Toc517176291"/>
      <w:bookmarkStart w:id="5723" w:name="_Toc517337616"/>
      <w:bookmarkStart w:id="5724" w:name="_Toc517360412"/>
      <w:bookmarkStart w:id="5725" w:name="_Toc74557756"/>
      <w:bookmarkStart w:id="5726" w:name="_Toc512525489"/>
      <w:bookmarkStart w:id="5727" w:name="_Toc515896803"/>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r w:rsidRPr="00AC6FB1">
        <w:rPr>
          <w:rStyle w:val="Titre3Car"/>
          <w:rFonts w:asciiTheme="minorHAnsi" w:eastAsia="PMingLiU" w:hAnsiTheme="minorHAnsi"/>
          <w:b/>
          <w:sz w:val="24"/>
          <w:szCs w:val="24"/>
        </w:rPr>
        <w:t>040/363-08 : Immeubles reliés ou reliables au réseau d'égouts</w:t>
      </w:r>
      <w:bookmarkEnd w:id="5725"/>
      <w:r w:rsidRPr="00AC6FB1">
        <w:rPr>
          <w:rStyle w:val="Titre3Car"/>
          <w:rFonts w:asciiTheme="minorHAnsi" w:eastAsia="PMingLiU" w:hAnsiTheme="minorHAnsi"/>
          <w:b/>
          <w:sz w:val="24"/>
          <w:szCs w:val="24"/>
        </w:rPr>
        <w:t xml:space="preserve"> </w:t>
      </w:r>
    </w:p>
    <w:p w14:paraId="2D5701A3" w14:textId="16B6D9A4" w:rsidR="009B153C" w:rsidRPr="00902733" w:rsidRDefault="002A7D13" w:rsidP="00E063FD">
      <w:r w:rsidRPr="00902733">
        <w:rPr>
          <w:rStyle w:val="Titre3Car"/>
          <w:rFonts w:asciiTheme="minorHAnsi" w:eastAsia="PMingLiU" w:hAnsiTheme="minorHAnsi"/>
          <w:b w:val="0"/>
          <w:sz w:val="24"/>
          <w:szCs w:val="24"/>
        </w:rPr>
        <w:t>T</w:t>
      </w:r>
      <w:r w:rsidR="009B153C" w:rsidRPr="00902733">
        <w:rPr>
          <w:rStyle w:val="Titre3Car"/>
          <w:rFonts w:asciiTheme="minorHAnsi" w:eastAsia="PMingLiU" w:hAnsiTheme="minorHAnsi"/>
          <w:b w:val="0"/>
          <w:sz w:val="24"/>
          <w:szCs w:val="24"/>
        </w:rPr>
        <w:t>axe directe</w:t>
      </w:r>
      <w:bookmarkEnd w:id="5726"/>
      <w:bookmarkEnd w:id="5727"/>
      <w:r w:rsidR="009B153C" w:rsidRPr="00902733">
        <w:t xml:space="preserve"> - Modèle disponible </w:t>
      </w:r>
    </w:p>
    <w:p w14:paraId="7DE68C00" w14:textId="5C42807E" w:rsidR="009B153C" w:rsidRPr="00902733" w:rsidRDefault="009B153C" w:rsidP="00E063FD">
      <w:pPr>
        <w:spacing w:before="274"/>
        <w:jc w:val="both"/>
        <w:textAlignment w:val="baseline"/>
        <w:rPr>
          <w:rFonts w:asciiTheme="minorHAnsi" w:hAnsiTheme="minorHAnsi" w:cs="Calibri Light"/>
          <w:b/>
        </w:rPr>
      </w:pPr>
      <w:r w:rsidRPr="00902733">
        <w:rPr>
          <w:rFonts w:asciiTheme="minorHAnsi" w:hAnsiTheme="minorHAnsi" w:cs="Calibri Light"/>
        </w:rPr>
        <w:t xml:space="preserve">Taux maximum recommandé : </w:t>
      </w:r>
      <w:r w:rsidR="000D441C" w:rsidRPr="008D7EB7">
        <w:rPr>
          <w:rFonts w:asciiTheme="minorHAnsi" w:hAnsiTheme="minorHAnsi" w:cs="Calibri Light"/>
        </w:rPr>
        <w:t>70</w:t>
      </w:r>
      <w:r w:rsidR="00902733" w:rsidRPr="00902733">
        <w:rPr>
          <w:rFonts w:asciiTheme="minorHAnsi" w:hAnsiTheme="minorHAnsi" w:cs="Calibri Light"/>
        </w:rPr>
        <w:t>,00</w:t>
      </w:r>
      <w:r w:rsidRPr="00902733">
        <w:rPr>
          <w:rFonts w:asciiTheme="minorHAnsi" w:hAnsiTheme="minorHAnsi" w:cs="Calibri Light"/>
        </w:rPr>
        <w:t xml:space="preserve"> euros</w:t>
      </w:r>
      <w:r w:rsidR="00444F42" w:rsidRPr="00902733">
        <w:rPr>
          <w:rFonts w:asciiTheme="minorHAnsi" w:hAnsiTheme="minorHAnsi" w:cs="Calibri Light"/>
        </w:rPr>
        <w:t xml:space="preserve"> </w:t>
      </w:r>
      <w:r w:rsidRPr="00902733">
        <w:rPr>
          <w:rFonts w:asciiTheme="minorHAnsi" w:hAnsiTheme="minorHAnsi" w:cs="Calibri Light"/>
        </w:rPr>
        <w:t>par logement ou immeuble.</w:t>
      </w:r>
    </w:p>
    <w:p w14:paraId="5054B1A8" w14:textId="77777777" w:rsidR="00767A6F" w:rsidRPr="00902733" w:rsidRDefault="00767A6F" w:rsidP="00E063FD">
      <w:pPr>
        <w:spacing w:before="120"/>
        <w:ind w:left="708" w:hanging="708"/>
        <w:jc w:val="both"/>
        <w:textAlignment w:val="baseline"/>
        <w:rPr>
          <w:rFonts w:asciiTheme="minorHAnsi" w:hAnsiTheme="minorHAnsi" w:cs="Calibri Light"/>
          <w:spacing w:val="-1"/>
        </w:rPr>
      </w:pPr>
      <w:r w:rsidRPr="00902733">
        <w:rPr>
          <w:rFonts w:asciiTheme="minorHAnsi" w:hAnsiTheme="minorHAnsi" w:cs="Calibri Light"/>
          <w:spacing w:val="-1"/>
        </w:rPr>
        <w:t>La taxe est due par l’occupant.</w:t>
      </w:r>
    </w:p>
    <w:p w14:paraId="5F039530" w14:textId="77777777" w:rsidR="00767A6F" w:rsidRPr="00902733" w:rsidRDefault="00767A6F" w:rsidP="008D7EB7">
      <w:pPr>
        <w:spacing w:before="120"/>
        <w:jc w:val="both"/>
        <w:textAlignment w:val="baseline"/>
        <w:rPr>
          <w:rFonts w:asciiTheme="minorHAnsi" w:hAnsiTheme="minorHAnsi" w:cs="Calibri Light"/>
          <w:spacing w:val="-1"/>
        </w:rPr>
      </w:pPr>
      <w:r w:rsidRPr="008D7EB7">
        <w:rPr>
          <w:rFonts w:asciiTheme="minorHAnsi" w:hAnsiTheme="minorHAnsi" w:cs="Calibri Light"/>
        </w:rPr>
        <w:t>Dans</w:t>
      </w:r>
      <w:r w:rsidRPr="00902733">
        <w:rPr>
          <w:rFonts w:asciiTheme="minorHAnsi" w:hAnsiTheme="minorHAnsi" w:cs="Calibri Light"/>
          <w:spacing w:val="-1"/>
        </w:rPr>
        <w:t xml:space="preserve"> l’hypothèse d’un immeuble à appartements, la taxe est due par l’occupant de chaque logement.</w:t>
      </w:r>
    </w:p>
    <w:p w14:paraId="2CFA3C92" w14:textId="0EB8B4FA" w:rsidR="009B153C" w:rsidRPr="00902733" w:rsidRDefault="009B153C" w:rsidP="00E063FD">
      <w:pPr>
        <w:spacing w:before="120"/>
        <w:ind w:left="708" w:hanging="708"/>
        <w:jc w:val="both"/>
        <w:textAlignment w:val="baseline"/>
        <w:rPr>
          <w:rFonts w:asciiTheme="minorHAnsi" w:hAnsiTheme="minorHAnsi" w:cs="Calibri Light"/>
          <w:spacing w:val="-1"/>
        </w:rPr>
      </w:pPr>
      <w:r w:rsidRPr="00902733">
        <w:rPr>
          <w:rFonts w:asciiTheme="minorHAnsi" w:hAnsiTheme="minorHAnsi" w:cs="Calibri Light"/>
          <w:spacing w:val="-1"/>
        </w:rPr>
        <w:t>Ne peut faire double emploi avec 040/363-09.</w:t>
      </w:r>
    </w:p>
    <w:p w14:paraId="16F28934" w14:textId="77777777" w:rsidR="009B153C" w:rsidRDefault="009B153C" w:rsidP="008D7EB7">
      <w:pPr>
        <w:spacing w:before="120" w:after="240"/>
        <w:jc w:val="both"/>
        <w:textAlignment w:val="baseline"/>
        <w:rPr>
          <w:rFonts w:asciiTheme="minorHAnsi" w:hAnsiTheme="minorHAnsi" w:cs="Calibri Light"/>
        </w:rPr>
      </w:pPr>
      <w:r w:rsidRPr="00902733">
        <w:rPr>
          <w:rFonts w:asciiTheme="minorHAnsi" w:hAnsiTheme="minorHAnsi" w:cs="Calibri Light"/>
        </w:rPr>
        <w:t>Dans un souci de récompenser les personnes qui ont consenti un investissement en faveur de l'environnement, j'autorise les communes à établir un tarif préférentiel pour les habitations munies d'une station d'épuration individuelle.</w:t>
      </w:r>
    </w:p>
    <w:p w14:paraId="71865366" w14:textId="77777777" w:rsidR="009D393B" w:rsidRPr="00DA6BD2" w:rsidRDefault="00C82157" w:rsidP="00256E9F">
      <w:pPr>
        <w:pStyle w:val="Sam3"/>
      </w:pPr>
      <w:bookmarkStart w:id="5728" w:name="_Toc74557757"/>
      <w:r>
        <w:t>040/363-09 : E</w:t>
      </w:r>
      <w:r w:rsidR="009D393B">
        <w:t>ntretien des égouts</w:t>
      </w:r>
      <w:bookmarkEnd w:id="5728"/>
      <w:r w:rsidR="009D393B">
        <w:t xml:space="preserve"> </w:t>
      </w:r>
    </w:p>
    <w:p w14:paraId="493A6325" w14:textId="77777777" w:rsidR="0084076C" w:rsidRPr="00E063FD" w:rsidRDefault="0084076C" w:rsidP="00E063FD">
      <w:pPr>
        <w:rPr>
          <w:lang w:val="fr-BE"/>
        </w:rPr>
      </w:pPr>
      <w:r w:rsidRPr="006126A1">
        <w:t xml:space="preserve">Taxe directe – Modèle disponible. </w:t>
      </w:r>
    </w:p>
    <w:p w14:paraId="5FFA5C47" w14:textId="1489415D"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 </w:t>
      </w:r>
      <w:r w:rsidR="000D441C" w:rsidRPr="008D7EB7">
        <w:rPr>
          <w:rFonts w:asciiTheme="minorHAnsi" w:hAnsiTheme="minorHAnsi" w:cs="Calibri Light"/>
        </w:rPr>
        <w:t>70</w:t>
      </w:r>
      <w:r w:rsidR="00902733" w:rsidRPr="00902733">
        <w:rPr>
          <w:rFonts w:asciiTheme="minorHAnsi" w:hAnsiTheme="minorHAnsi" w:cs="Calibri Light"/>
        </w:rPr>
        <w:t>,00</w:t>
      </w:r>
      <w:r w:rsidR="000D441C" w:rsidRPr="00DA6BD2">
        <w:rPr>
          <w:rFonts w:asciiTheme="minorHAnsi" w:hAnsiTheme="minorHAnsi" w:cs="Calibri Light"/>
        </w:rPr>
        <w:t xml:space="preserve"> euros </w:t>
      </w:r>
      <w:r w:rsidRPr="00DA6BD2">
        <w:rPr>
          <w:rFonts w:asciiTheme="minorHAnsi" w:hAnsiTheme="minorHAnsi" w:cs="Calibri Light"/>
          <w:spacing w:val="-1"/>
        </w:rPr>
        <w:t>par logement.</w:t>
      </w:r>
    </w:p>
    <w:p w14:paraId="22B307D5" w14:textId="709D44FB"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Taxe due par l'occupant </w:t>
      </w:r>
      <w:r w:rsidR="00767A6F">
        <w:rPr>
          <w:rFonts w:asciiTheme="minorHAnsi" w:hAnsiTheme="minorHAnsi" w:cs="Calibri Light"/>
          <w:spacing w:val="-1"/>
        </w:rPr>
        <w:t>du logement</w:t>
      </w:r>
      <w:r w:rsidRPr="00DA6BD2">
        <w:rPr>
          <w:rFonts w:asciiTheme="minorHAnsi" w:hAnsiTheme="minorHAnsi" w:cs="Calibri Light"/>
          <w:spacing w:val="-1"/>
        </w:rPr>
        <w:t>. Ne peut faire double emploi avec 040/363-08.</w:t>
      </w:r>
    </w:p>
    <w:p w14:paraId="49402968" w14:textId="648B367C" w:rsidR="009B153C" w:rsidRDefault="009B153C" w:rsidP="00E063FD">
      <w:pPr>
        <w:spacing w:before="120"/>
        <w:jc w:val="both"/>
        <w:textAlignment w:val="baseline"/>
        <w:rPr>
          <w:rFonts w:asciiTheme="minorHAnsi" w:hAnsiTheme="minorHAnsi" w:cs="Calibri Light"/>
        </w:rPr>
      </w:pPr>
      <w:bookmarkStart w:id="5729" w:name="_Hlk38968786"/>
      <w:r w:rsidRPr="00DA6BD2">
        <w:rPr>
          <w:rFonts w:asciiTheme="minorHAnsi" w:hAnsiTheme="minorHAnsi" w:cs="Calibri Light"/>
        </w:rPr>
        <w:t>Dans un souci de récompenser les personnes qui ont consenti un investissement en faveur de l'environnement, j'autorise les communes à établir un tarif préférentiel pour les habitations munies d'une station d'épuration individuelle.</w:t>
      </w:r>
      <w:r w:rsidR="00A165AB" w:rsidRPr="00A165AB">
        <w:t xml:space="preserve"> </w:t>
      </w:r>
      <w:r w:rsidR="005438AF" w:rsidRPr="008D7EB7">
        <w:t xml:space="preserve">Cependant, </w:t>
      </w:r>
      <w:r w:rsidR="00A165AB" w:rsidRPr="008D7EB7">
        <w:rPr>
          <w:rFonts w:asciiTheme="minorHAnsi" w:hAnsiTheme="minorHAnsi" w:cs="Calibri Light"/>
        </w:rPr>
        <w:t>aucun cas ce</w:t>
      </w:r>
      <w:r w:rsidR="005438AF" w:rsidRPr="008D7EB7">
        <w:rPr>
          <w:rFonts w:asciiTheme="minorHAnsi" w:hAnsiTheme="minorHAnsi" w:cs="Calibri Light"/>
        </w:rPr>
        <w:t xml:space="preserve"> montant préférentiel ne </w:t>
      </w:r>
      <w:r w:rsidR="00A165AB" w:rsidRPr="008D7EB7">
        <w:rPr>
          <w:rFonts w:asciiTheme="minorHAnsi" w:hAnsiTheme="minorHAnsi" w:cs="Calibri Light"/>
        </w:rPr>
        <w:t xml:space="preserve">peut être inférieur à </w:t>
      </w:r>
      <w:r w:rsidR="005438AF" w:rsidRPr="008D7EB7">
        <w:rPr>
          <w:rFonts w:asciiTheme="minorHAnsi" w:hAnsiTheme="minorHAnsi" w:cs="Calibri Light"/>
        </w:rPr>
        <w:t>50</w:t>
      </w:r>
      <w:r w:rsidR="00A165AB" w:rsidRPr="008D7EB7">
        <w:rPr>
          <w:rFonts w:asciiTheme="minorHAnsi" w:hAnsiTheme="minorHAnsi" w:cs="Calibri Light"/>
        </w:rPr>
        <w:t xml:space="preserve"> % du montant </w:t>
      </w:r>
      <w:r w:rsidR="005438AF" w:rsidRPr="008D7EB7">
        <w:rPr>
          <w:rFonts w:asciiTheme="minorHAnsi" w:hAnsiTheme="minorHAnsi" w:cs="Calibri Light"/>
        </w:rPr>
        <w:t>établi.</w:t>
      </w:r>
    </w:p>
    <w:bookmarkEnd w:id="5729"/>
    <w:p w14:paraId="0F90DB0C" w14:textId="13BD94D2" w:rsidR="00F55B04" w:rsidRDefault="00F55B04" w:rsidP="00F55B04">
      <w:pPr>
        <w:spacing w:before="120"/>
        <w:jc w:val="both"/>
        <w:textAlignment w:val="baseline"/>
        <w:rPr>
          <w:rFonts w:asciiTheme="minorHAnsi" w:hAnsiTheme="minorHAnsi" w:cs="Calibri Light"/>
        </w:rPr>
      </w:pPr>
      <w:r w:rsidRPr="008D7EB7">
        <w:rPr>
          <w:rFonts w:asciiTheme="minorHAnsi" w:hAnsiTheme="minorHAnsi" w:cs="Calibri Light"/>
        </w:rPr>
        <w:lastRenderedPageBreak/>
        <w:t xml:space="preserve">Dans l’hypothèse d’un immeuble à appartements, la taxe est due par l’occupant de chaque logement. </w:t>
      </w:r>
    </w:p>
    <w:p w14:paraId="6B02EF76" w14:textId="77777777" w:rsidR="00BB7DBD" w:rsidRPr="008D7EB7" w:rsidRDefault="00BB7DBD" w:rsidP="00F55B04">
      <w:pPr>
        <w:spacing w:before="120"/>
        <w:jc w:val="both"/>
        <w:textAlignment w:val="baseline"/>
        <w:rPr>
          <w:rFonts w:asciiTheme="minorHAnsi" w:hAnsiTheme="minorHAnsi" w:cs="Calibri Light"/>
        </w:rPr>
      </w:pPr>
    </w:p>
    <w:p w14:paraId="3D814902" w14:textId="70455695" w:rsidR="009D393B" w:rsidRPr="00DA6BD2" w:rsidRDefault="00C82157" w:rsidP="00256E9F">
      <w:pPr>
        <w:pStyle w:val="Sam3"/>
      </w:pPr>
      <w:bookmarkStart w:id="5730" w:name="_Hlk38968872"/>
      <w:bookmarkStart w:id="5731" w:name="_Toc74557758"/>
      <w:r>
        <w:t>040</w:t>
      </w:r>
      <w:r w:rsidR="008E0762" w:rsidRPr="00902733">
        <w:t>01</w:t>
      </w:r>
      <w:r>
        <w:t xml:space="preserve">/363-10 : </w:t>
      </w:r>
      <w:bookmarkStart w:id="5732" w:name="_Hlk69123296"/>
      <w:r>
        <w:t>I</w:t>
      </w:r>
      <w:r w:rsidR="009D393B">
        <w:t xml:space="preserve">nhumations, dispersions </w:t>
      </w:r>
      <w:bookmarkEnd w:id="5730"/>
      <w:r w:rsidR="009D393B">
        <w:t>des cendres et mises en columbarium</w:t>
      </w:r>
      <w:bookmarkEnd w:id="5731"/>
      <w:r w:rsidR="009D393B">
        <w:t xml:space="preserve"> </w:t>
      </w:r>
      <w:bookmarkEnd w:id="5732"/>
    </w:p>
    <w:p w14:paraId="23DA9D7B" w14:textId="77777777" w:rsidR="0084076C" w:rsidRDefault="0084076C" w:rsidP="00E063FD">
      <w:pPr>
        <w:rPr>
          <w:rFonts w:cs="Calibri Light"/>
          <w:spacing w:val="-1"/>
        </w:rPr>
      </w:pPr>
      <w:r>
        <w:rPr>
          <w:rFonts w:cs="Calibri Light"/>
          <w:spacing w:val="-1"/>
        </w:rPr>
        <w:t>Taxe indirecte – Modèle disponible.</w:t>
      </w:r>
    </w:p>
    <w:p w14:paraId="14D843AA" w14:textId="05BBF3C4" w:rsidR="009B153C"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 </w:t>
      </w:r>
      <w:r w:rsidR="000D441C" w:rsidRPr="008D7EB7">
        <w:rPr>
          <w:rFonts w:asciiTheme="minorHAnsi" w:hAnsiTheme="minorHAnsi" w:cs="Calibri Light"/>
          <w:spacing w:val="-1"/>
        </w:rPr>
        <w:t>420</w:t>
      </w:r>
      <w:r w:rsidR="00902733" w:rsidRPr="00902733">
        <w:rPr>
          <w:rFonts w:asciiTheme="minorHAnsi" w:hAnsiTheme="minorHAnsi" w:cs="Calibri Light"/>
          <w:spacing w:val="-1"/>
        </w:rPr>
        <w:t>,00</w:t>
      </w:r>
      <w:r w:rsidR="000D441C">
        <w:rPr>
          <w:rFonts w:asciiTheme="minorHAnsi" w:hAnsiTheme="minorHAnsi" w:cs="Calibri Light"/>
          <w:spacing w:val="-1"/>
        </w:rPr>
        <w:t xml:space="preserve"> </w:t>
      </w:r>
      <w:r w:rsidRPr="00DA6BD2">
        <w:rPr>
          <w:rFonts w:asciiTheme="minorHAnsi" w:hAnsiTheme="minorHAnsi" w:cs="Calibri Light"/>
          <w:spacing w:val="-1"/>
        </w:rPr>
        <w:t>euros.</w:t>
      </w:r>
    </w:p>
    <w:p w14:paraId="07C234A0" w14:textId="16836A64" w:rsidR="00F55B04" w:rsidRDefault="00F55B04" w:rsidP="008D7EB7">
      <w:pPr>
        <w:spacing w:before="120"/>
        <w:jc w:val="both"/>
        <w:textAlignment w:val="baseline"/>
        <w:rPr>
          <w:rFonts w:asciiTheme="minorHAnsi" w:hAnsiTheme="minorHAnsi" w:cs="Calibri Light"/>
        </w:rPr>
      </w:pPr>
      <w:r w:rsidRPr="008D7EB7">
        <w:rPr>
          <w:rFonts w:asciiTheme="minorHAnsi" w:hAnsiTheme="minorHAnsi" w:cs="Calibri Light"/>
        </w:rPr>
        <w:t xml:space="preserve">L’article L 1232-17 du CDLD </w:t>
      </w:r>
      <w:r w:rsidRPr="00DA6BD2">
        <w:rPr>
          <w:rFonts w:asciiTheme="minorHAnsi" w:hAnsiTheme="minorHAnsi" w:cs="Calibri Light"/>
        </w:rPr>
        <w:t xml:space="preserve">prévoit </w:t>
      </w:r>
      <w:r w:rsidRPr="00CC610D">
        <w:rPr>
          <w:rFonts w:asciiTheme="minorHAnsi" w:hAnsiTheme="minorHAnsi" w:cs="Calibri Light"/>
        </w:rPr>
        <w:t>deu</w:t>
      </w:r>
      <w:r>
        <w:rPr>
          <w:rFonts w:asciiTheme="minorHAnsi" w:hAnsiTheme="minorHAnsi" w:cs="Calibri Light"/>
        </w:rPr>
        <w:t xml:space="preserve">x </w:t>
      </w:r>
      <w:r w:rsidRPr="00DA6BD2">
        <w:rPr>
          <w:rFonts w:asciiTheme="minorHAnsi" w:hAnsiTheme="minorHAnsi" w:cs="Calibri Light"/>
        </w:rPr>
        <w:t xml:space="preserve">modes de sépulture qui sont l'inhumation et la dispersion ou conservation des cendres après crémation. Afin d'éviter toute discrimination fondée sur des opinions philosophiques ou religieuses, ces deux modes de sépulture doivent être taxés de manière </w:t>
      </w:r>
      <w:r w:rsidRPr="00354FD1">
        <w:rPr>
          <w:rFonts w:asciiTheme="minorHAnsi" w:hAnsiTheme="minorHAnsi" w:cs="Calibri Light"/>
          <w:b/>
        </w:rPr>
        <w:t>identique</w:t>
      </w:r>
      <w:r w:rsidRPr="00DA6BD2">
        <w:rPr>
          <w:rFonts w:asciiTheme="minorHAnsi" w:hAnsiTheme="minorHAnsi" w:cs="Calibri Light"/>
        </w:rPr>
        <w:t xml:space="preserve">. </w:t>
      </w:r>
    </w:p>
    <w:p w14:paraId="40698E01" w14:textId="195FCE9E" w:rsidR="00F55B04" w:rsidRPr="00CE330E" w:rsidRDefault="00F55B04" w:rsidP="00F55B04">
      <w:pPr>
        <w:tabs>
          <w:tab w:val="left" w:pos="-148"/>
          <w:tab w:val="left" w:pos="0"/>
        </w:tabs>
        <w:spacing w:before="120"/>
        <w:jc w:val="both"/>
        <w:textAlignment w:val="baseline"/>
        <w:rPr>
          <w:rFonts w:asciiTheme="minorHAnsi" w:hAnsiTheme="minorHAnsi" w:cs="Calibri Light"/>
          <w:color w:val="0000FF"/>
        </w:rPr>
      </w:pPr>
      <w:r w:rsidRPr="008D7EB7">
        <w:rPr>
          <w:rFonts w:asciiTheme="minorHAnsi" w:hAnsiTheme="minorHAnsi" w:cs="Calibri Light"/>
        </w:rPr>
        <w:t xml:space="preserve">L’article L 1232-2, §5 du CDLD précise que l’inhumation, la dispersion des cendres et la mise en columbarium est </w:t>
      </w:r>
      <w:r w:rsidRPr="008D7EB7">
        <w:rPr>
          <w:rFonts w:asciiTheme="minorHAnsi" w:hAnsiTheme="minorHAnsi" w:cs="Calibri Light"/>
          <w:b/>
        </w:rPr>
        <w:t>gratuite</w:t>
      </w:r>
      <w:r w:rsidRPr="008D7EB7">
        <w:rPr>
          <w:rFonts w:asciiTheme="minorHAnsi" w:hAnsiTheme="minorHAnsi" w:cs="Calibri Light"/>
        </w:rPr>
        <w:t xml:space="preserve"> pour les indigents, les personnes inscrites dans le registre de la population, le registre des étrangers ou le registre d’attente de la commune.</w:t>
      </w:r>
      <w:r w:rsidRPr="00902733">
        <w:rPr>
          <w:rFonts w:asciiTheme="minorHAnsi" w:hAnsiTheme="minorHAnsi" w:cs="Calibri Light"/>
        </w:rPr>
        <w:t xml:space="preserve"> </w:t>
      </w:r>
      <w:r w:rsidRPr="00DA6BD2">
        <w:rPr>
          <w:rFonts w:asciiTheme="minorHAnsi" w:hAnsiTheme="minorHAnsi" w:cs="Calibri Light"/>
        </w:rPr>
        <w:t xml:space="preserve">Cette exonération ne vise que les opérations d’inhumation, dispersion des cendres et mise en columbarium. Elle ne concerne </w:t>
      </w:r>
      <w:r w:rsidR="00444F42">
        <w:rPr>
          <w:rFonts w:asciiTheme="minorHAnsi" w:hAnsiTheme="minorHAnsi" w:cs="Calibri Light"/>
        </w:rPr>
        <w:t>ni la redevance pour</w:t>
      </w:r>
      <w:r w:rsidRPr="00DA6BD2">
        <w:rPr>
          <w:rFonts w:asciiTheme="minorHAnsi" w:hAnsiTheme="minorHAnsi" w:cs="Calibri Light"/>
        </w:rPr>
        <w:t xml:space="preserve"> l’octroi d’une concession </w:t>
      </w:r>
      <w:r w:rsidR="00444F42">
        <w:rPr>
          <w:rFonts w:asciiTheme="minorHAnsi" w:hAnsiTheme="minorHAnsi" w:cs="Calibri Light"/>
        </w:rPr>
        <w:t>ni la taxe pour l’utilisation d’un cercueil en polyester, lesquelles</w:t>
      </w:r>
      <w:r w:rsidRPr="00DA6BD2">
        <w:rPr>
          <w:rFonts w:asciiTheme="minorHAnsi" w:hAnsiTheme="minorHAnsi" w:cs="Calibri Light"/>
        </w:rPr>
        <w:t xml:space="preserve"> demeure</w:t>
      </w:r>
      <w:r w:rsidR="00444F42">
        <w:rPr>
          <w:rFonts w:asciiTheme="minorHAnsi" w:hAnsiTheme="minorHAnsi" w:cs="Calibri Light"/>
        </w:rPr>
        <w:t>nt</w:t>
      </w:r>
      <w:r w:rsidRPr="00DA6BD2">
        <w:rPr>
          <w:rFonts w:asciiTheme="minorHAnsi" w:hAnsiTheme="minorHAnsi" w:cs="Calibri Light"/>
        </w:rPr>
        <w:t xml:space="preserve"> payante</w:t>
      </w:r>
      <w:r w:rsidR="00444F42">
        <w:rPr>
          <w:rFonts w:asciiTheme="minorHAnsi" w:hAnsiTheme="minorHAnsi" w:cs="Calibri Light"/>
        </w:rPr>
        <w:t>s.</w:t>
      </w:r>
    </w:p>
    <w:p w14:paraId="2C7998D4" w14:textId="5A53AA1C" w:rsidR="00F55B04" w:rsidRPr="008D7EB7" w:rsidRDefault="00444F42" w:rsidP="00F55B04">
      <w:pPr>
        <w:tabs>
          <w:tab w:val="left" w:pos="-148"/>
          <w:tab w:val="left" w:pos="0"/>
        </w:tabs>
        <w:spacing w:before="120"/>
        <w:jc w:val="both"/>
        <w:textAlignment w:val="baseline"/>
        <w:rPr>
          <w:rFonts w:asciiTheme="minorHAnsi" w:hAnsiTheme="minorHAnsi" w:cs="Calibri Light"/>
        </w:rPr>
      </w:pPr>
      <w:r w:rsidRPr="008D7EB7">
        <w:rPr>
          <w:rFonts w:asciiTheme="minorHAnsi" w:hAnsiTheme="minorHAnsi" w:cs="Calibri Light"/>
          <w:b/>
        </w:rPr>
        <w:t>L</w:t>
      </w:r>
      <w:r w:rsidR="00F55B04" w:rsidRPr="008D7EB7">
        <w:rPr>
          <w:rFonts w:asciiTheme="minorHAnsi" w:hAnsiTheme="minorHAnsi" w:cs="Calibri Light"/>
          <w:b/>
        </w:rPr>
        <w:t>’indigent est défini</w:t>
      </w:r>
      <w:r w:rsidR="00F55B04" w:rsidRPr="008D7EB7">
        <w:rPr>
          <w:rFonts w:asciiTheme="minorHAnsi" w:hAnsiTheme="minorHAnsi" w:cs="Calibri Light"/>
        </w:rPr>
        <w:t xml:space="preserve"> comme la personne, bénéficiant du statut d'indigence, accordé par la commune d'inscription au registre de la population, au registre des étrangers ou au registre d'attente, ou à défaut d'une telle inscription, par la commune sur le territoire de laquelle survient le décès, en raison de son absence de ressources ou de ressources suffisantes pour couvrir ses besoins élémentaires en référence à l'article 16 de la loi du 26 mai 2002 concernant le droit à l'intégration sociale</w:t>
      </w:r>
      <w:r w:rsidR="00902733">
        <w:rPr>
          <w:rStyle w:val="Appelnotedebasdep"/>
          <w:rFonts w:asciiTheme="minorHAnsi" w:hAnsiTheme="minorHAnsi" w:cs="Calibri Light"/>
        </w:rPr>
        <w:footnoteReference w:id="147"/>
      </w:r>
      <w:r w:rsidR="00F55B04" w:rsidRPr="008D7EB7">
        <w:rPr>
          <w:rFonts w:asciiTheme="minorHAnsi" w:hAnsiTheme="minorHAnsi" w:cs="Calibri Light"/>
        </w:rPr>
        <w:t xml:space="preserve"> ».</w:t>
      </w:r>
    </w:p>
    <w:p w14:paraId="1C339AAA" w14:textId="77777777" w:rsidR="009B153C" w:rsidRPr="00DA6BD2" w:rsidRDefault="009B153C" w:rsidP="00E063FD">
      <w:pPr>
        <w:spacing w:before="120"/>
        <w:jc w:val="both"/>
        <w:textAlignment w:val="baseline"/>
        <w:rPr>
          <w:rFonts w:asciiTheme="minorHAnsi" w:hAnsiTheme="minorHAnsi" w:cs="Calibri Light"/>
          <w:color w:val="0D0D0D"/>
        </w:rPr>
      </w:pPr>
      <w:r w:rsidRPr="00DA6BD2">
        <w:rPr>
          <w:rFonts w:asciiTheme="minorHAnsi" w:hAnsiTheme="minorHAnsi" w:cs="Calibri Light"/>
          <w:color w:val="0D0D0D"/>
        </w:rPr>
        <w:t>L’article L 1232-16 du CDLD précise que :</w:t>
      </w:r>
    </w:p>
    <w:p w14:paraId="02C12A07" w14:textId="0737D439" w:rsidR="009B153C" w:rsidRPr="008D7EB7" w:rsidRDefault="00902733" w:rsidP="008D7EB7">
      <w:pPr>
        <w:pStyle w:val="Paragraphedeliste"/>
        <w:numPr>
          <w:ilvl w:val="0"/>
          <w:numId w:val="161"/>
        </w:numPr>
        <w:tabs>
          <w:tab w:val="left" w:pos="-148"/>
        </w:tabs>
        <w:spacing w:before="120"/>
        <w:contextualSpacing/>
        <w:jc w:val="both"/>
        <w:textAlignment w:val="baseline"/>
        <w:rPr>
          <w:rFonts w:asciiTheme="minorHAnsi" w:hAnsiTheme="minorHAnsi" w:cs="Calibri Light"/>
          <w:color w:val="0D0D0D"/>
        </w:rPr>
      </w:pPr>
      <w:proofErr w:type="gramStart"/>
      <w:r>
        <w:rPr>
          <w:rFonts w:asciiTheme="minorHAnsi" w:hAnsiTheme="minorHAnsi" w:cs="Calibri Light"/>
          <w:color w:val="0D0D0D"/>
        </w:rPr>
        <w:t>l</w:t>
      </w:r>
      <w:r w:rsidR="009B153C" w:rsidRPr="008D7EB7">
        <w:rPr>
          <w:rFonts w:asciiTheme="minorHAnsi" w:hAnsiTheme="minorHAnsi" w:cs="Calibri Light"/>
          <w:color w:val="0D0D0D"/>
        </w:rPr>
        <w:t>es</w:t>
      </w:r>
      <w:proofErr w:type="gramEnd"/>
      <w:r w:rsidR="009B153C" w:rsidRPr="008D7EB7">
        <w:rPr>
          <w:rFonts w:asciiTheme="minorHAnsi" w:hAnsiTheme="minorHAnsi" w:cs="Calibri Light"/>
          <w:color w:val="0D0D0D"/>
        </w:rPr>
        <w:t xml:space="preserve"> funérailles des indigents doivent être </w:t>
      </w:r>
      <w:r w:rsidR="009B153C" w:rsidRPr="008D7EB7">
        <w:rPr>
          <w:rFonts w:asciiTheme="minorHAnsi" w:hAnsiTheme="minorHAnsi" w:cs="Calibri Light"/>
          <w:b/>
          <w:bCs/>
          <w:color w:val="0D0D0D"/>
        </w:rPr>
        <w:t xml:space="preserve">décentes </w:t>
      </w:r>
      <w:r w:rsidR="009B153C" w:rsidRPr="008D7EB7">
        <w:rPr>
          <w:rFonts w:asciiTheme="minorHAnsi" w:hAnsiTheme="minorHAnsi" w:cs="Calibri Light"/>
          <w:color w:val="0D0D0D"/>
        </w:rPr>
        <w:t>et conformes aux dernières volontés visées à l’article L 1232-17, §2 ;</w:t>
      </w:r>
    </w:p>
    <w:p w14:paraId="4775FFD8" w14:textId="24E912D0" w:rsidR="009B153C" w:rsidRPr="008D7EB7" w:rsidRDefault="00902733" w:rsidP="008D7EB7">
      <w:pPr>
        <w:pStyle w:val="Paragraphedeliste"/>
        <w:numPr>
          <w:ilvl w:val="0"/>
          <w:numId w:val="161"/>
        </w:numPr>
        <w:tabs>
          <w:tab w:val="left" w:pos="-148"/>
        </w:tabs>
        <w:spacing w:before="120"/>
        <w:contextualSpacing/>
        <w:jc w:val="both"/>
        <w:textAlignment w:val="baseline"/>
        <w:rPr>
          <w:rFonts w:asciiTheme="minorHAnsi" w:hAnsiTheme="minorHAnsi" w:cs="Calibri Light"/>
          <w:color w:val="0D0D0D"/>
        </w:rPr>
      </w:pPr>
      <w:proofErr w:type="gramStart"/>
      <w:r>
        <w:rPr>
          <w:rFonts w:asciiTheme="minorHAnsi" w:hAnsiTheme="minorHAnsi" w:cs="Calibri Light"/>
          <w:color w:val="0D0D0D"/>
        </w:rPr>
        <w:t>l</w:t>
      </w:r>
      <w:r w:rsidR="009B153C" w:rsidRPr="008D7EB7">
        <w:rPr>
          <w:rFonts w:asciiTheme="minorHAnsi" w:hAnsiTheme="minorHAnsi" w:cs="Calibri Light"/>
          <w:color w:val="0D0D0D"/>
        </w:rPr>
        <w:t>es</w:t>
      </w:r>
      <w:proofErr w:type="gramEnd"/>
      <w:r w:rsidR="009B153C" w:rsidRPr="008D7EB7">
        <w:rPr>
          <w:rFonts w:asciiTheme="minorHAnsi" w:hAnsiTheme="minorHAnsi" w:cs="Calibri Light"/>
          <w:color w:val="0D0D0D"/>
        </w:rPr>
        <w:t xml:space="preserve"> </w:t>
      </w:r>
      <w:r w:rsidR="009B153C" w:rsidRPr="008D7EB7">
        <w:rPr>
          <w:rFonts w:asciiTheme="minorHAnsi" w:hAnsiTheme="minorHAnsi" w:cs="Calibri Light"/>
          <w:b/>
          <w:bCs/>
          <w:color w:val="0D0D0D"/>
        </w:rPr>
        <w:t xml:space="preserve">frais des opérations civiles </w:t>
      </w:r>
      <w:r w:rsidR="009B153C" w:rsidRPr="008D7EB7">
        <w:rPr>
          <w:rFonts w:asciiTheme="minorHAnsi" w:hAnsiTheme="minorHAnsi" w:cs="Calibri Light"/>
          <w:b/>
          <w:bCs/>
          <w:color w:val="0D0D0D"/>
          <w:u w:val="single"/>
        </w:rPr>
        <w:t>à</w:t>
      </w:r>
      <w:r>
        <w:rPr>
          <w:rFonts w:asciiTheme="minorHAnsi" w:hAnsiTheme="minorHAnsi" w:cs="Calibri Light"/>
          <w:b/>
          <w:bCs/>
          <w:color w:val="0D0D0D"/>
          <w:u w:val="single"/>
        </w:rPr>
        <w:t xml:space="preserve"> </w:t>
      </w:r>
      <w:r w:rsidR="009B153C" w:rsidRPr="008D7EB7">
        <w:rPr>
          <w:rFonts w:asciiTheme="minorHAnsi" w:hAnsiTheme="minorHAnsi" w:cs="Calibri Light"/>
          <w:b/>
          <w:bCs/>
          <w:color w:val="0D0D0D"/>
          <w:u w:val="single"/>
        </w:rPr>
        <w:t>l’exclusion</w:t>
      </w:r>
      <w:r w:rsidR="009B153C" w:rsidRPr="008D7EB7">
        <w:rPr>
          <w:rFonts w:asciiTheme="minorHAnsi" w:hAnsiTheme="minorHAnsi" w:cs="Calibri Light"/>
          <w:color w:val="0D0D0D"/>
        </w:rPr>
        <w:t xml:space="preserve"> des cérémonies cultuelles ou philosophiques non confessionnelles des indigents sont à charge de la commune de la région de langue française dans laquelle le défunt est inscrit au registre de la population, des étrangers ou d’attente ou, à défaut, dans laquelle le décès a eu lieu ;</w:t>
      </w:r>
    </w:p>
    <w:p w14:paraId="400FB2DA" w14:textId="549E5BBA" w:rsidR="00F55B04" w:rsidRPr="008D7EB7" w:rsidRDefault="00902733" w:rsidP="008D7EB7">
      <w:pPr>
        <w:pStyle w:val="Paragraphedeliste"/>
        <w:numPr>
          <w:ilvl w:val="0"/>
          <w:numId w:val="161"/>
        </w:numPr>
        <w:tabs>
          <w:tab w:val="left" w:pos="-148"/>
        </w:tabs>
        <w:spacing w:before="120"/>
        <w:contextualSpacing/>
        <w:jc w:val="both"/>
        <w:textAlignment w:val="baseline"/>
        <w:rPr>
          <w:rFonts w:asciiTheme="minorHAnsi" w:hAnsiTheme="minorHAnsi" w:cs="Calibri Light"/>
        </w:rPr>
      </w:pPr>
      <w:proofErr w:type="gramStart"/>
      <w:r w:rsidRPr="008D7EB7">
        <w:rPr>
          <w:rFonts w:asciiTheme="minorHAnsi" w:hAnsiTheme="minorHAnsi" w:cs="Calibri Light"/>
        </w:rPr>
        <w:t>s</w:t>
      </w:r>
      <w:r w:rsidR="00F55B04" w:rsidRPr="008D7EB7">
        <w:rPr>
          <w:rFonts w:asciiTheme="minorHAnsi" w:hAnsiTheme="minorHAnsi" w:cs="Calibri Light"/>
        </w:rPr>
        <w:t>i</w:t>
      </w:r>
      <w:proofErr w:type="gramEnd"/>
      <w:r w:rsidR="00F55B04" w:rsidRPr="008D7EB7">
        <w:rPr>
          <w:rFonts w:asciiTheme="minorHAnsi" w:hAnsiTheme="minorHAnsi" w:cs="Calibri Light"/>
        </w:rPr>
        <w:t xml:space="preserve"> aucune place ne leur est attribuée dans une concession préexistante les indigents sont inhumé</w:t>
      </w:r>
      <w:r w:rsidR="00444F42" w:rsidRPr="008D7EB7">
        <w:rPr>
          <w:rFonts w:asciiTheme="minorHAnsi" w:hAnsiTheme="minorHAnsi" w:cs="Calibri Light"/>
        </w:rPr>
        <w:t>s</w:t>
      </w:r>
      <w:r w:rsidR="00F55B04" w:rsidRPr="008D7EB7">
        <w:rPr>
          <w:rFonts w:asciiTheme="minorHAnsi" w:hAnsiTheme="minorHAnsi" w:cs="Calibri Light"/>
        </w:rPr>
        <w:t xml:space="preserve"> en zone non concédée</w:t>
      </w:r>
      <w:r w:rsidR="00D501F5">
        <w:rPr>
          <w:rStyle w:val="Appelnotedebasdep"/>
          <w:rFonts w:asciiTheme="minorHAnsi" w:hAnsiTheme="minorHAnsi" w:cs="Calibri Light"/>
        </w:rPr>
        <w:footnoteReference w:id="148"/>
      </w:r>
      <w:r w:rsidR="00F55B04" w:rsidRPr="008D7EB7">
        <w:rPr>
          <w:rFonts w:asciiTheme="minorHAnsi" w:hAnsiTheme="minorHAnsi" w:cs="Calibri Light"/>
        </w:rPr>
        <w:t xml:space="preserve">. </w:t>
      </w:r>
      <w:r w:rsidR="00444F42" w:rsidRPr="008D7EB7">
        <w:rPr>
          <w:rFonts w:asciiTheme="minorHAnsi" w:hAnsiTheme="minorHAnsi" w:cs="Calibri Light"/>
          <w:bCs/>
        </w:rPr>
        <w:t>Si la concession pré</w:t>
      </w:r>
      <w:r w:rsidR="001F44AF">
        <w:rPr>
          <w:rFonts w:asciiTheme="minorHAnsi" w:hAnsiTheme="minorHAnsi" w:cs="Calibri Light"/>
          <w:bCs/>
        </w:rPr>
        <w:t>e</w:t>
      </w:r>
      <w:r w:rsidR="00444F42" w:rsidRPr="008D7EB7">
        <w:rPr>
          <w:rFonts w:asciiTheme="minorHAnsi" w:hAnsiTheme="minorHAnsi" w:cs="Calibri Light"/>
          <w:bCs/>
        </w:rPr>
        <w:t xml:space="preserve">xistante est un caveau, la commune devra supporter un coût supplémentaire du fait que la législation impose que le cercueil placé dans un caveau </w:t>
      </w:r>
      <w:bookmarkStart w:id="5733" w:name="_Hlk36490769"/>
      <w:r w:rsidR="00444F42" w:rsidRPr="008D7EB7">
        <w:rPr>
          <w:rFonts w:asciiTheme="minorHAnsi" w:hAnsiTheme="minorHAnsi" w:cs="Calibri Light"/>
          <w:bCs/>
        </w:rPr>
        <w:t xml:space="preserve">corresponde au mode d’inhumation en caveau (enveloppe en zinc, polyester ventilé, </w:t>
      </w:r>
      <w:proofErr w:type="spellStart"/>
      <w:r w:rsidR="00444F42" w:rsidRPr="008D7EB7">
        <w:rPr>
          <w:rFonts w:asciiTheme="minorHAnsi" w:hAnsiTheme="minorHAnsi" w:cs="Calibri Light"/>
          <w:bCs/>
        </w:rPr>
        <w:t>sarcométal</w:t>
      </w:r>
      <w:proofErr w:type="spellEnd"/>
      <w:r w:rsidR="00444F42" w:rsidRPr="008D7EB7">
        <w:rPr>
          <w:rFonts w:asciiTheme="minorHAnsi" w:hAnsiTheme="minorHAnsi" w:cs="Calibri Light"/>
          <w:bCs/>
        </w:rPr>
        <w:t xml:space="preserve"> ventilé</w:t>
      </w:r>
      <w:bookmarkEnd w:id="5733"/>
      <w:r w:rsidR="001F44AF">
        <w:rPr>
          <w:rFonts w:asciiTheme="minorHAnsi" w:hAnsiTheme="minorHAnsi" w:cs="Calibri Light"/>
          <w:bCs/>
        </w:rPr>
        <w:t>)</w:t>
      </w:r>
      <w:r w:rsidR="00444F42" w:rsidRPr="008D7EB7">
        <w:rPr>
          <w:rFonts w:asciiTheme="minorHAnsi" w:hAnsiTheme="minorHAnsi" w:cs="Calibri Light"/>
          <w:bCs/>
        </w:rPr>
        <w:t>.</w:t>
      </w:r>
    </w:p>
    <w:p w14:paraId="14E4EF3E" w14:textId="77777777" w:rsidR="009B153C" w:rsidRPr="00DA6BD2" w:rsidRDefault="00177E0F" w:rsidP="00E063FD">
      <w:pPr>
        <w:tabs>
          <w:tab w:val="left" w:pos="288"/>
        </w:tabs>
        <w:spacing w:before="120"/>
        <w:ind w:left="1"/>
        <w:jc w:val="both"/>
        <w:textAlignment w:val="baseline"/>
        <w:rPr>
          <w:rFonts w:asciiTheme="minorHAnsi" w:hAnsiTheme="minorHAnsi" w:cs="Calibri Light"/>
          <w:color w:val="0D0D0D"/>
        </w:rPr>
      </w:pPr>
      <w:r>
        <w:rPr>
          <w:rFonts w:asciiTheme="minorHAnsi" w:hAnsiTheme="minorHAnsi" w:cs="Calibri Light"/>
          <w:color w:val="0D0D0D"/>
        </w:rPr>
        <w:t xml:space="preserve">Pour plus de détails, vous pouvez vous référer à la circulaire </w:t>
      </w:r>
      <w:r w:rsidR="009B153C" w:rsidRPr="00DA6BD2">
        <w:rPr>
          <w:rFonts w:asciiTheme="minorHAnsi" w:hAnsiTheme="minorHAnsi" w:cs="Calibri Light"/>
          <w:color w:val="0D0D0D"/>
        </w:rPr>
        <w:t>du 4 juin 2014 relative à la modification de la législation relative aux funérailles et sépultures</w:t>
      </w:r>
      <w:r>
        <w:rPr>
          <w:rFonts w:asciiTheme="minorHAnsi" w:hAnsiTheme="minorHAnsi" w:cs="Calibri Light"/>
          <w:color w:val="0D0D0D"/>
        </w:rPr>
        <w:t>.</w:t>
      </w:r>
    </w:p>
    <w:p w14:paraId="42D403D2" w14:textId="1738BF7A" w:rsidR="00F55B04" w:rsidRPr="00DA6BD2" w:rsidRDefault="00F55B04" w:rsidP="00F55B04">
      <w:pPr>
        <w:tabs>
          <w:tab w:val="left" w:pos="-148"/>
          <w:tab w:val="left" w:pos="504"/>
        </w:tabs>
        <w:spacing w:before="120"/>
        <w:jc w:val="both"/>
        <w:textAlignment w:val="baseline"/>
        <w:rPr>
          <w:rFonts w:asciiTheme="minorHAnsi" w:hAnsiTheme="minorHAnsi" w:cs="Calibri Light"/>
        </w:rPr>
      </w:pPr>
      <w:r w:rsidRPr="00DA6BD2">
        <w:rPr>
          <w:rFonts w:asciiTheme="minorHAnsi" w:hAnsiTheme="minorHAnsi" w:cs="Calibri Light"/>
        </w:rPr>
        <w:t xml:space="preserve">La taxe sur les inhumations et dispersion ou conservation des cendres après crémation englobant déjà les prestations effectuées par le personnel </w:t>
      </w:r>
      <w:r w:rsidRPr="00902733">
        <w:rPr>
          <w:rFonts w:asciiTheme="minorHAnsi" w:hAnsiTheme="minorHAnsi" w:cs="Calibri Light"/>
        </w:rPr>
        <w:t xml:space="preserve">communal </w:t>
      </w:r>
      <w:r w:rsidRPr="008D7EB7">
        <w:rPr>
          <w:rFonts w:asciiTheme="minorHAnsi" w:hAnsiTheme="minorHAnsi" w:cs="Calibri Light"/>
        </w:rPr>
        <w:t>(</w:t>
      </w:r>
      <w:r w:rsidR="00902733" w:rsidRPr="008D7EB7">
        <w:rPr>
          <w:rFonts w:asciiTheme="minorHAnsi" w:hAnsiTheme="minorHAnsi" w:cs="Calibri Light"/>
        </w:rPr>
        <w:t xml:space="preserve">par exemple </w:t>
      </w:r>
      <w:r w:rsidRPr="008D7EB7">
        <w:rPr>
          <w:rFonts w:asciiTheme="minorHAnsi" w:hAnsiTheme="minorHAnsi" w:cs="Calibri Light"/>
        </w:rPr>
        <w:t>: travail pour l’ouverture de caveau)</w:t>
      </w:r>
      <w:r w:rsidRPr="00DA6BD2">
        <w:rPr>
          <w:rFonts w:asciiTheme="minorHAnsi" w:hAnsiTheme="minorHAnsi" w:cs="Calibri Light"/>
        </w:rPr>
        <w:t>, il ne peut y être ajouté une redevance pour couvrir ces frais.</w:t>
      </w:r>
    </w:p>
    <w:p w14:paraId="5AA37198" w14:textId="63888FC9" w:rsidR="00F55B04" w:rsidRDefault="00F55B04" w:rsidP="00F55B04">
      <w:pPr>
        <w:tabs>
          <w:tab w:val="left" w:pos="-148"/>
          <w:tab w:val="left" w:pos="504"/>
        </w:tabs>
        <w:spacing w:before="120"/>
        <w:jc w:val="both"/>
        <w:textAlignment w:val="baseline"/>
        <w:rPr>
          <w:rFonts w:asciiTheme="minorHAnsi" w:hAnsiTheme="minorHAnsi" w:cs="Calibri Light"/>
        </w:rPr>
      </w:pPr>
      <w:r w:rsidRPr="00DA6BD2">
        <w:rPr>
          <w:rFonts w:asciiTheme="minorHAnsi" w:hAnsiTheme="minorHAnsi" w:cs="Calibri Light"/>
        </w:rPr>
        <w:lastRenderedPageBreak/>
        <w:t xml:space="preserve">La taxe sur les inhumations concerne aussi les </w:t>
      </w:r>
      <w:r w:rsidRPr="00B4321B">
        <w:rPr>
          <w:rFonts w:asciiTheme="minorHAnsi" w:hAnsiTheme="minorHAnsi" w:cs="Calibri Light"/>
          <w:b/>
        </w:rPr>
        <w:t>inhumations surnuméraires</w:t>
      </w:r>
      <w:r w:rsidRPr="00DA6BD2">
        <w:rPr>
          <w:rFonts w:asciiTheme="minorHAnsi" w:hAnsiTheme="minorHAnsi" w:cs="Calibri Light"/>
        </w:rPr>
        <w:t xml:space="preserve"> dans une concession</w:t>
      </w:r>
      <w:r w:rsidR="00444F42">
        <w:rPr>
          <w:rFonts w:asciiTheme="minorHAnsi" w:hAnsiTheme="minorHAnsi" w:cs="Calibri Light"/>
        </w:rPr>
        <w:t xml:space="preserve"> </w:t>
      </w:r>
      <w:r w:rsidR="00444F42" w:rsidRPr="00444F42">
        <w:rPr>
          <w:rFonts w:asciiTheme="minorHAnsi" w:hAnsiTheme="minorHAnsi" w:cs="Calibri Light"/>
        </w:rPr>
        <w:t>(cette taxe est due en plus du prix éventuellement demandé pour ajouter le corps à la concession dont le quota est déjà atteint).</w:t>
      </w:r>
    </w:p>
    <w:p w14:paraId="4B49BA0C" w14:textId="1D7FFB66" w:rsidR="00F55B04" w:rsidRPr="00B71528" w:rsidRDefault="00F55B04" w:rsidP="00F55B04">
      <w:pPr>
        <w:tabs>
          <w:tab w:val="left" w:pos="-148"/>
          <w:tab w:val="left" w:pos="0"/>
        </w:tabs>
        <w:spacing w:before="120"/>
        <w:jc w:val="both"/>
        <w:textAlignment w:val="baseline"/>
        <w:rPr>
          <w:rFonts w:asciiTheme="minorHAnsi" w:hAnsiTheme="minorHAnsi" w:cs="Calibri Light"/>
        </w:rPr>
      </w:pPr>
      <w:r>
        <w:rPr>
          <w:rFonts w:asciiTheme="minorHAnsi" w:hAnsiTheme="minorHAnsi" w:cs="Calibri Light"/>
          <w:spacing w:val="-2"/>
        </w:rPr>
        <w:t>I</w:t>
      </w:r>
      <w:r w:rsidRPr="00F4613A">
        <w:rPr>
          <w:rFonts w:asciiTheme="minorHAnsi" w:hAnsiTheme="minorHAnsi" w:cs="Calibri Light"/>
          <w:spacing w:val="-2"/>
        </w:rPr>
        <w:t xml:space="preserve">l ne peut être levé aucune taxe ou rétribution sur les sépultures non concédées et provisoirement conservées à l'issue du </w:t>
      </w:r>
      <w:r w:rsidRPr="008D7EB7">
        <w:rPr>
          <w:rFonts w:asciiTheme="minorHAnsi" w:hAnsiTheme="minorHAnsi" w:cs="Calibri Light"/>
          <w:spacing w:val="-2"/>
        </w:rPr>
        <w:t xml:space="preserve">délai de cinq ans </w:t>
      </w:r>
      <w:r w:rsidRPr="00F4613A">
        <w:rPr>
          <w:rFonts w:asciiTheme="minorHAnsi" w:hAnsiTheme="minorHAnsi" w:cs="Calibri Light"/>
          <w:spacing w:val="-2"/>
        </w:rPr>
        <w:t>prévu</w:t>
      </w:r>
      <w:r w:rsidR="00DE1E72">
        <w:rPr>
          <w:rFonts w:asciiTheme="minorHAnsi" w:hAnsiTheme="minorHAnsi" w:cs="Calibri Light"/>
          <w:spacing w:val="-2"/>
        </w:rPr>
        <w:t>s</w:t>
      </w:r>
      <w:r w:rsidRPr="00F4613A">
        <w:rPr>
          <w:rFonts w:asciiTheme="minorHAnsi" w:hAnsiTheme="minorHAnsi" w:cs="Calibri Light"/>
          <w:spacing w:val="-2"/>
        </w:rPr>
        <w:t xml:space="preserve"> par l'article L 1232</w:t>
      </w:r>
      <w:r w:rsidRPr="00B4321B">
        <w:rPr>
          <w:rFonts w:asciiTheme="minorHAnsi" w:hAnsiTheme="minorHAnsi" w:cs="Calibri Light"/>
          <w:spacing w:val="-2"/>
        </w:rPr>
        <w:t xml:space="preserve">-21 </w:t>
      </w:r>
      <w:r w:rsidRPr="00F4613A">
        <w:rPr>
          <w:rFonts w:asciiTheme="minorHAnsi" w:hAnsiTheme="minorHAnsi" w:cs="Calibri Light"/>
          <w:spacing w:val="-2"/>
        </w:rPr>
        <w:t>du CDLD</w:t>
      </w:r>
      <w:r>
        <w:rPr>
          <w:rFonts w:asciiTheme="minorHAnsi" w:hAnsiTheme="minorHAnsi" w:cs="Calibri Light"/>
          <w:spacing w:val="-2"/>
        </w:rPr>
        <w:t>.</w:t>
      </w:r>
    </w:p>
    <w:p w14:paraId="2DBAEBFA" w14:textId="77166F47" w:rsidR="009B153C" w:rsidRDefault="00444F42" w:rsidP="00E063FD">
      <w:pPr>
        <w:spacing w:before="120"/>
        <w:jc w:val="both"/>
        <w:textAlignment w:val="baseline"/>
        <w:rPr>
          <w:rFonts w:asciiTheme="minorHAnsi" w:hAnsiTheme="minorHAnsi" w:cs="Calibri Light"/>
          <w:spacing w:val="-2"/>
        </w:rPr>
      </w:pPr>
      <w:r>
        <w:rPr>
          <w:rFonts w:asciiTheme="minorHAnsi" w:hAnsiTheme="minorHAnsi" w:cs="Calibri Light"/>
          <w:spacing w:val="-2"/>
        </w:rPr>
        <w:t>L</w:t>
      </w:r>
      <w:r w:rsidR="009B153C" w:rsidRPr="00DA6BD2">
        <w:rPr>
          <w:rFonts w:asciiTheme="minorHAnsi" w:hAnsiTheme="minorHAnsi" w:cs="Calibri Light"/>
          <w:spacing w:val="-2"/>
        </w:rPr>
        <w:t>orsque les entreprises de pompes funèbres accomplissent des formalités auprès des administrations communales, elles n'agissent qu'en tant que mandataires et ne doivent dès lors pas être considérées comme les redevables des taxes et redevances relatives aux funérailles et sépultures.</w:t>
      </w:r>
    </w:p>
    <w:p w14:paraId="735B5702" w14:textId="77777777" w:rsidR="00F55B04" w:rsidRPr="00256E9F" w:rsidRDefault="00F55B04" w:rsidP="00256E9F">
      <w:pPr>
        <w:spacing w:before="240" w:after="240"/>
        <w:jc w:val="both"/>
        <w:rPr>
          <w:b/>
          <w:u w:val="single"/>
          <w:lang w:val="fr-BE"/>
        </w:rPr>
      </w:pPr>
      <w:bookmarkStart w:id="5734" w:name="_Hlk34918788"/>
      <w:r w:rsidRPr="00256E9F">
        <w:rPr>
          <w:b/>
          <w:u w:val="single"/>
          <w:lang w:val="fr-BE"/>
        </w:rPr>
        <w:t>04002/363-10 : taxe sur l’utilisation de cercueils en polyester</w:t>
      </w:r>
    </w:p>
    <w:bookmarkEnd w:id="5734"/>
    <w:p w14:paraId="5298AEB5" w14:textId="77777777" w:rsidR="00F55B04" w:rsidRPr="008D7EB7" w:rsidRDefault="00F55B04" w:rsidP="00F55B04">
      <w:pPr>
        <w:rPr>
          <w:highlight w:val="yellow"/>
        </w:rPr>
      </w:pPr>
      <w:r w:rsidRPr="008D7EB7">
        <w:t xml:space="preserve">Taxe indirecte </w:t>
      </w:r>
    </w:p>
    <w:p w14:paraId="46733EF4" w14:textId="77777777" w:rsidR="00F55B04" w:rsidRPr="006B47EE" w:rsidRDefault="00F55B04" w:rsidP="00F55B04">
      <w:pPr>
        <w:rPr>
          <w:sz w:val="10"/>
          <w:szCs w:val="10"/>
        </w:rPr>
      </w:pPr>
    </w:p>
    <w:p w14:paraId="4E42F161" w14:textId="40D714E4" w:rsidR="00F55B04" w:rsidRPr="008D7EB7" w:rsidRDefault="00F55B04" w:rsidP="00F55B04">
      <w:pPr>
        <w:jc w:val="both"/>
      </w:pPr>
      <w:r w:rsidRPr="008D7EB7">
        <w:t>Taux maximum recommandé : 250</w:t>
      </w:r>
      <w:r w:rsidR="00857D92" w:rsidRPr="008D7EB7">
        <w:t>,00</w:t>
      </w:r>
      <w:r w:rsidRPr="008D7EB7">
        <w:t xml:space="preserve"> </w:t>
      </w:r>
      <w:r w:rsidR="00D501F5">
        <w:t>euros</w:t>
      </w:r>
      <w:r w:rsidRPr="008D7EB7">
        <w:t xml:space="preserve"> par cercueil</w:t>
      </w:r>
      <w:r w:rsidR="00444F42" w:rsidRPr="008D7EB7">
        <w:t>.</w:t>
      </w:r>
      <w:r w:rsidRPr="008D7EB7">
        <w:t xml:space="preserve"> </w:t>
      </w:r>
    </w:p>
    <w:p w14:paraId="7932EECD" w14:textId="04BA629E" w:rsidR="00F55B04" w:rsidRPr="008D7EB7" w:rsidRDefault="00F55B04" w:rsidP="00F55B04">
      <w:pPr>
        <w:spacing w:before="120"/>
        <w:jc w:val="both"/>
        <w:textAlignment w:val="baseline"/>
        <w:rPr>
          <w:rFonts w:asciiTheme="minorHAnsi" w:hAnsiTheme="minorHAnsi" w:cs="Calibri Light"/>
        </w:rPr>
      </w:pPr>
      <w:r w:rsidRPr="008D7EB7">
        <w:rPr>
          <w:rFonts w:asciiTheme="minorHAnsi" w:hAnsiTheme="minorHAnsi" w:cs="Calibri Light"/>
        </w:rPr>
        <w:t xml:space="preserve">Il est indéniable que </w:t>
      </w:r>
      <w:bookmarkStart w:id="5735" w:name="_Hlk34918858"/>
      <w:r w:rsidRPr="008D7EB7">
        <w:rPr>
          <w:rFonts w:asciiTheme="minorHAnsi" w:hAnsiTheme="minorHAnsi" w:cs="Calibri Light"/>
        </w:rPr>
        <w:t xml:space="preserve">l’usage de cercueils en polyester (matériau non biodégradable) représente un coût </w:t>
      </w:r>
      <w:r w:rsidR="004605EA" w:rsidRPr="008D7EB7">
        <w:rPr>
          <w:rFonts w:asciiTheme="minorHAnsi" w:hAnsiTheme="minorHAnsi" w:cs="Calibri Light"/>
        </w:rPr>
        <w:t xml:space="preserve">de gestion (horaire et technique) </w:t>
      </w:r>
      <w:r w:rsidRPr="008D7EB7">
        <w:rPr>
          <w:rFonts w:asciiTheme="minorHAnsi" w:hAnsiTheme="minorHAnsi" w:cs="Calibri Light"/>
        </w:rPr>
        <w:t xml:space="preserve">supplémentaire </w:t>
      </w:r>
      <w:r w:rsidR="004605EA" w:rsidRPr="008D7EB7">
        <w:rPr>
          <w:rFonts w:asciiTheme="minorHAnsi" w:hAnsiTheme="minorHAnsi" w:cs="Calibri Light"/>
        </w:rPr>
        <w:t xml:space="preserve">ainsi qu’un coût de traitement du matériau par une filière plus onéreuse </w:t>
      </w:r>
      <w:r w:rsidRPr="008D7EB7">
        <w:rPr>
          <w:rFonts w:asciiTheme="minorHAnsi" w:hAnsiTheme="minorHAnsi" w:cs="Calibri Light"/>
        </w:rPr>
        <w:t>lors du recyclage de ce type de cercueils par la commune par rapport au cercueil en bois classique. Dès lors, afin de contrer ce coût auquel devra faire face la commune lors de l’assainissement de la sépulture, il est possible de prendre une taxe pour l’utilisation de ce type de cercueil lors de l’inhumation</w:t>
      </w:r>
      <w:bookmarkEnd w:id="5735"/>
      <w:r w:rsidRPr="008D7EB7">
        <w:rPr>
          <w:rFonts w:asciiTheme="minorHAnsi" w:hAnsiTheme="minorHAnsi" w:cs="Calibri Light"/>
        </w:rPr>
        <w:t>.</w:t>
      </w:r>
    </w:p>
    <w:p w14:paraId="4A50C883" w14:textId="087AE257" w:rsidR="00F55B04" w:rsidRPr="008D7EB7" w:rsidRDefault="00F55B04" w:rsidP="00F55B04">
      <w:pPr>
        <w:spacing w:before="240"/>
        <w:jc w:val="both"/>
      </w:pPr>
      <w:r w:rsidRPr="008D7EB7">
        <w:t xml:space="preserve">L’article 18 de l’Arrêté du Gouvernement wallon du 29 octobre 2009 portant exécution du décret du 6 mars 2009 modifiant le chapitre II du titre III du livre II de la première partie du </w:t>
      </w:r>
      <w:r w:rsidR="004605EA" w:rsidRPr="008D7EB7">
        <w:t>CDLD</w:t>
      </w:r>
      <w:r w:rsidRPr="008D7EB7">
        <w:t xml:space="preserve"> et modifiant l' arrêté du Gouvernement wallon du 3 juin 2010 déterminant les conditions sectorielles relatives aux crématoriums et modifiant l'arrêté du Gouvernement wallon du 30 juin 1994 relatif aux déchets d'activités hospitalières et de soins de santé tel que modifié par l’arrêté du 28 mars 2019 précise désormais que </w:t>
      </w:r>
      <w:r w:rsidRPr="008D7EB7">
        <w:rPr>
          <w:u w:val="single"/>
        </w:rPr>
        <w:t>seuls les cercueils fabriqués en bois massif équipés d’une doublure en zinc avec soupape, les cercueils en métal ventilés ou les cercueils en polyester ventilés peuvent être utilisés dans les sépultures en caveau</w:t>
      </w:r>
      <w:r w:rsidRPr="008D7EB7">
        <w:t>.</w:t>
      </w:r>
    </w:p>
    <w:p w14:paraId="1829186B" w14:textId="441A0952" w:rsidR="00F55B04" w:rsidRPr="008D7EB7" w:rsidRDefault="00F55B04" w:rsidP="00F55B04">
      <w:pPr>
        <w:spacing w:before="120"/>
        <w:jc w:val="both"/>
        <w:textAlignment w:val="baseline"/>
        <w:rPr>
          <w:rFonts w:asciiTheme="minorHAnsi" w:hAnsiTheme="minorHAnsi" w:cs="Calibri Light"/>
        </w:rPr>
      </w:pPr>
      <w:r w:rsidRPr="008D7EB7">
        <w:rPr>
          <w:rFonts w:asciiTheme="minorHAnsi" w:hAnsiTheme="minorHAnsi" w:cs="Calibri Light"/>
          <w:u w:val="single"/>
        </w:rPr>
        <w:t xml:space="preserve">Dans les sépultures en </w:t>
      </w:r>
      <w:r w:rsidR="008C1333" w:rsidRPr="008D7EB7">
        <w:rPr>
          <w:rFonts w:asciiTheme="minorHAnsi" w:hAnsiTheme="minorHAnsi" w:cs="Calibri Light"/>
          <w:u w:val="single"/>
        </w:rPr>
        <w:t xml:space="preserve">pleine </w:t>
      </w:r>
      <w:r w:rsidRPr="008D7EB7">
        <w:rPr>
          <w:rFonts w:asciiTheme="minorHAnsi" w:hAnsiTheme="minorHAnsi" w:cs="Calibri Light"/>
          <w:u w:val="single"/>
        </w:rPr>
        <w:t>terre, seuls les cercueils fabriqués en bois massif ou « en d’autres matériaux biodégradables n’empêchant pas la décomposition naturelle et normale de la dépouille » peuvent être utilisés</w:t>
      </w:r>
      <w:r w:rsidRPr="008D7EB7">
        <w:rPr>
          <w:rFonts w:asciiTheme="minorHAnsi" w:hAnsiTheme="minorHAnsi" w:cs="Calibri Light"/>
        </w:rPr>
        <w:t xml:space="preserve">. </w:t>
      </w:r>
    </w:p>
    <w:p w14:paraId="7B9A77A4" w14:textId="77777777" w:rsidR="00F55B04" w:rsidRPr="008D7EB7" w:rsidRDefault="00F55B04" w:rsidP="00F55B04">
      <w:pPr>
        <w:spacing w:before="120"/>
        <w:jc w:val="both"/>
        <w:textAlignment w:val="baseline"/>
        <w:rPr>
          <w:rFonts w:asciiTheme="minorHAnsi" w:hAnsiTheme="minorHAnsi" w:cs="Calibri Light"/>
        </w:rPr>
      </w:pPr>
      <w:r w:rsidRPr="008D7EB7">
        <w:rPr>
          <w:rFonts w:asciiTheme="minorHAnsi" w:hAnsiTheme="minorHAnsi" w:cs="Calibri Light"/>
        </w:rPr>
        <w:t>L’exonération prévue à l’article L1232-2 §5 du CDLD en faveur des indigents n’est pas applicable à cette taxe.</w:t>
      </w:r>
    </w:p>
    <w:p w14:paraId="268E86AF" w14:textId="77777777" w:rsidR="00857D92" w:rsidRDefault="00857D92" w:rsidP="00256E9F">
      <w:pPr>
        <w:pStyle w:val="Sam3"/>
      </w:pPr>
      <w:bookmarkStart w:id="5736" w:name="_Toc512525492"/>
      <w:bookmarkStart w:id="5737" w:name="_Toc515896806"/>
    </w:p>
    <w:p w14:paraId="76FB901D" w14:textId="34E73FFC" w:rsidR="0084076C" w:rsidRDefault="009B153C" w:rsidP="00256E9F">
      <w:pPr>
        <w:pStyle w:val="Sam3"/>
      </w:pPr>
      <w:bookmarkStart w:id="5738" w:name="_Toc74557759"/>
      <w:r w:rsidRPr="00DA6BD2">
        <w:t>040/363-11</w:t>
      </w:r>
      <w:r w:rsidR="009D393B">
        <w:t> :</w:t>
      </w:r>
      <w:r w:rsidRPr="00DA6BD2">
        <w:t xml:space="preserve"> </w:t>
      </w:r>
      <w:r w:rsidR="00C82157">
        <w:t>E</w:t>
      </w:r>
      <w:r w:rsidRPr="00DA6BD2">
        <w:t>xhumation</w:t>
      </w:r>
      <w:r w:rsidR="00DF794D" w:rsidRPr="005B7E8F">
        <w:t>s</w:t>
      </w:r>
      <w:bookmarkEnd w:id="5738"/>
      <w:r w:rsidRPr="00DA6BD2">
        <w:t xml:space="preserve"> </w:t>
      </w:r>
    </w:p>
    <w:bookmarkEnd w:id="5736"/>
    <w:bookmarkEnd w:id="5737"/>
    <w:p w14:paraId="50F58C88" w14:textId="0A9F80B9" w:rsidR="007A10F4" w:rsidRDefault="004605EA" w:rsidP="007A10F4">
      <w:pPr>
        <w:spacing w:before="120"/>
        <w:jc w:val="both"/>
        <w:textAlignment w:val="baseline"/>
        <w:rPr>
          <w:rFonts w:asciiTheme="minorHAnsi" w:hAnsiTheme="minorHAnsi" w:cs="Calibri Light"/>
        </w:rPr>
      </w:pPr>
      <w:r>
        <w:rPr>
          <w:rFonts w:asciiTheme="minorHAnsi" w:hAnsiTheme="minorHAnsi" w:cs="Calibri Light"/>
        </w:rPr>
        <w:t>L</w:t>
      </w:r>
      <w:r w:rsidR="007A10F4" w:rsidRPr="00A310A8">
        <w:rPr>
          <w:rFonts w:asciiTheme="minorHAnsi" w:hAnsiTheme="minorHAnsi" w:cs="Calibri Light"/>
        </w:rPr>
        <w:t>e décret du 14 février 2019</w:t>
      </w:r>
      <w:r w:rsidR="00263259" w:rsidRPr="008D7EB7">
        <w:rPr>
          <w:rStyle w:val="Appelnotedebasdep"/>
          <w:rFonts w:asciiTheme="minorHAnsi" w:hAnsiTheme="minorHAnsi" w:cs="Calibri Light"/>
        </w:rPr>
        <w:footnoteReference w:id="149"/>
      </w:r>
      <w:r w:rsidR="00263259" w:rsidRPr="00C671B5">
        <w:rPr>
          <w:rFonts w:asciiTheme="minorHAnsi" w:hAnsiTheme="minorHAnsi" w:cs="Calibri Light"/>
          <w:color w:val="0000FF"/>
        </w:rPr>
        <w:t xml:space="preserve"> </w:t>
      </w:r>
      <w:r w:rsidR="007A10F4" w:rsidRPr="00A310A8">
        <w:rPr>
          <w:rFonts w:asciiTheme="minorHAnsi" w:hAnsiTheme="minorHAnsi" w:cs="Calibri Light"/>
        </w:rPr>
        <w:t xml:space="preserve">entré en vigueur le 15 avril 2019 a apporté différents changements à la matière (art L1232-1 à 32 du </w:t>
      </w:r>
      <w:r>
        <w:rPr>
          <w:rFonts w:asciiTheme="minorHAnsi" w:hAnsiTheme="minorHAnsi" w:cs="Calibri Light"/>
        </w:rPr>
        <w:t>CDLD</w:t>
      </w:r>
      <w:r w:rsidR="007A10F4" w:rsidRPr="00A310A8">
        <w:rPr>
          <w:rFonts w:asciiTheme="minorHAnsi" w:hAnsiTheme="minorHAnsi" w:cs="Calibri Light"/>
        </w:rPr>
        <w:t xml:space="preserve">). Ainsi, on relèvera notamment </w:t>
      </w:r>
      <w:r w:rsidR="001044C0" w:rsidRPr="00A310A8">
        <w:rPr>
          <w:rFonts w:asciiTheme="minorHAnsi" w:hAnsiTheme="minorHAnsi" w:cs="Calibri Light"/>
        </w:rPr>
        <w:t>que</w:t>
      </w:r>
      <w:r w:rsidR="00B05546">
        <w:rPr>
          <w:rFonts w:asciiTheme="minorHAnsi" w:hAnsiTheme="minorHAnsi" w:cs="Calibri Light"/>
        </w:rPr>
        <w:t xml:space="preserve"> </w:t>
      </w:r>
      <w:r w:rsidR="001044C0" w:rsidRPr="00A310A8">
        <w:rPr>
          <w:rFonts w:asciiTheme="minorHAnsi" w:hAnsiTheme="minorHAnsi" w:cs="Calibri Light"/>
        </w:rPr>
        <w:t>:</w:t>
      </w:r>
    </w:p>
    <w:p w14:paraId="771D1C6A" w14:textId="039A316C" w:rsidR="007A10F4" w:rsidRPr="00A310A8" w:rsidRDefault="00E5445B" w:rsidP="008D7EB7">
      <w:pPr>
        <w:pStyle w:val="Paragraphedeliste"/>
        <w:numPr>
          <w:ilvl w:val="0"/>
          <w:numId w:val="163"/>
        </w:numPr>
        <w:tabs>
          <w:tab w:val="left" w:pos="284"/>
        </w:tabs>
        <w:spacing w:before="120"/>
        <w:ind w:hanging="284"/>
        <w:jc w:val="both"/>
        <w:textAlignment w:val="baseline"/>
        <w:rPr>
          <w:rFonts w:asciiTheme="minorHAnsi" w:hAnsiTheme="minorHAnsi" w:cs="Calibri Light"/>
        </w:rPr>
      </w:pPr>
      <w:proofErr w:type="gramStart"/>
      <w:r>
        <w:rPr>
          <w:rFonts w:asciiTheme="minorHAnsi" w:hAnsiTheme="minorHAnsi" w:cs="Calibri Light"/>
        </w:rPr>
        <w:t>l</w:t>
      </w:r>
      <w:r w:rsidR="007A10F4" w:rsidRPr="00A310A8">
        <w:rPr>
          <w:rFonts w:asciiTheme="minorHAnsi" w:hAnsiTheme="minorHAnsi" w:cs="Calibri Light"/>
        </w:rPr>
        <w:t>’exhumation</w:t>
      </w:r>
      <w:proofErr w:type="gramEnd"/>
      <w:r w:rsidR="007A10F4" w:rsidRPr="00A310A8">
        <w:rPr>
          <w:rFonts w:asciiTheme="minorHAnsi" w:hAnsiTheme="minorHAnsi" w:cs="Calibri Light"/>
        </w:rPr>
        <w:t xml:space="preserve"> de confort est définie comme le retrait d'un cercueil ou d'une urne cinéraire de sa sépulture, à la demande de proches ou sur initiative du gestionnaire public, en vue de lui conférer un nouveau mode ou lieu de sépulture</w:t>
      </w:r>
      <w:r>
        <w:rPr>
          <w:rStyle w:val="Appelnotedebasdep"/>
          <w:rFonts w:asciiTheme="minorHAnsi" w:hAnsiTheme="minorHAnsi" w:cs="Calibri Light"/>
        </w:rPr>
        <w:footnoteReference w:id="150"/>
      </w:r>
      <w:r w:rsidR="007A10F4" w:rsidRPr="00A310A8">
        <w:rPr>
          <w:rFonts w:asciiTheme="minorHAnsi" w:hAnsiTheme="minorHAnsi" w:cs="Calibri Light"/>
        </w:rPr>
        <w:t xml:space="preserve"> ;</w:t>
      </w:r>
    </w:p>
    <w:p w14:paraId="21D0DADF" w14:textId="6CA15996" w:rsidR="007A10F4" w:rsidRPr="00A310A8" w:rsidRDefault="00E5445B" w:rsidP="00B05546">
      <w:pPr>
        <w:pStyle w:val="Paragraphedeliste"/>
        <w:numPr>
          <w:ilvl w:val="0"/>
          <w:numId w:val="163"/>
        </w:numPr>
        <w:tabs>
          <w:tab w:val="left" w:pos="284"/>
        </w:tabs>
        <w:ind w:hanging="284"/>
        <w:jc w:val="both"/>
        <w:textAlignment w:val="baseline"/>
        <w:rPr>
          <w:rFonts w:asciiTheme="minorHAnsi" w:hAnsiTheme="minorHAnsi" w:cs="Calibri Light"/>
        </w:rPr>
      </w:pPr>
      <w:proofErr w:type="gramStart"/>
      <w:r>
        <w:rPr>
          <w:rFonts w:asciiTheme="minorHAnsi" w:hAnsiTheme="minorHAnsi" w:cs="Calibri Light"/>
        </w:rPr>
        <w:lastRenderedPageBreak/>
        <w:t>l</w:t>
      </w:r>
      <w:r w:rsidR="007A10F4" w:rsidRPr="00A310A8">
        <w:rPr>
          <w:rFonts w:asciiTheme="minorHAnsi" w:hAnsiTheme="minorHAnsi" w:cs="Calibri Light"/>
        </w:rPr>
        <w:t>’assainissement</w:t>
      </w:r>
      <w:proofErr w:type="gramEnd"/>
      <w:r w:rsidR="007A10F4" w:rsidRPr="00A310A8">
        <w:rPr>
          <w:rFonts w:asciiTheme="minorHAnsi" w:hAnsiTheme="minorHAnsi" w:cs="Calibri Light"/>
        </w:rPr>
        <w:t xml:space="preserve"> ou l’exhumation technique est définie comme le retrait, au terme de la désaffectation de la sépulture, d'un cercueil ou d'une urne cinéraire, sur -initiative du gestionnaire public, impliquant le transfert des restes mortels vers l'ossuaire</w:t>
      </w:r>
      <w:r>
        <w:rPr>
          <w:rStyle w:val="Appelnotedebasdep"/>
          <w:rFonts w:asciiTheme="minorHAnsi" w:hAnsiTheme="minorHAnsi" w:cs="Calibri Light"/>
        </w:rPr>
        <w:footnoteReference w:id="151"/>
      </w:r>
      <w:r w:rsidR="007A10F4" w:rsidRPr="00A310A8">
        <w:rPr>
          <w:rFonts w:asciiTheme="minorHAnsi" w:hAnsiTheme="minorHAnsi" w:cs="Calibri Light"/>
        </w:rPr>
        <w:t xml:space="preserve"> » ;</w:t>
      </w:r>
    </w:p>
    <w:p w14:paraId="646965B1" w14:textId="45F0AD75" w:rsidR="007A10F4" w:rsidRPr="00A310A8" w:rsidRDefault="00E5445B" w:rsidP="00B05546">
      <w:pPr>
        <w:pStyle w:val="Paragraphedeliste"/>
        <w:numPr>
          <w:ilvl w:val="0"/>
          <w:numId w:val="163"/>
        </w:numPr>
        <w:tabs>
          <w:tab w:val="left" w:pos="284"/>
        </w:tabs>
        <w:ind w:hanging="284"/>
        <w:jc w:val="both"/>
        <w:textAlignment w:val="baseline"/>
        <w:rPr>
          <w:rFonts w:asciiTheme="minorHAnsi" w:hAnsiTheme="minorHAnsi" w:cs="Calibri Light"/>
        </w:rPr>
      </w:pPr>
      <w:proofErr w:type="gramStart"/>
      <w:r>
        <w:rPr>
          <w:rFonts w:asciiTheme="minorHAnsi" w:hAnsiTheme="minorHAnsi" w:cs="Calibri Light"/>
        </w:rPr>
        <w:t>a</w:t>
      </w:r>
      <w:r w:rsidRPr="00A310A8">
        <w:rPr>
          <w:rFonts w:asciiTheme="minorHAnsi" w:hAnsiTheme="minorHAnsi" w:cs="Calibri Light"/>
        </w:rPr>
        <w:t>ucune</w:t>
      </w:r>
      <w:proofErr w:type="gramEnd"/>
      <w:r w:rsidRPr="00A310A8">
        <w:rPr>
          <w:rFonts w:asciiTheme="minorHAnsi" w:hAnsiTheme="minorHAnsi" w:cs="Calibri Light"/>
        </w:rPr>
        <w:t xml:space="preserve"> </w:t>
      </w:r>
      <w:r w:rsidR="007A10F4" w:rsidRPr="00A310A8">
        <w:rPr>
          <w:rFonts w:asciiTheme="minorHAnsi" w:hAnsiTheme="minorHAnsi" w:cs="Calibri Light"/>
        </w:rPr>
        <w:t>exhumation de confort ne peut avoir lieu sans l'autorisation du bourgmestre, conformément à l'article 133, alinéa 2, de la nouvelle loi communale</w:t>
      </w:r>
      <w:r>
        <w:rPr>
          <w:rStyle w:val="Appelnotedebasdep"/>
          <w:rFonts w:asciiTheme="minorHAnsi" w:hAnsiTheme="minorHAnsi" w:cs="Calibri Light"/>
        </w:rPr>
        <w:footnoteReference w:id="152"/>
      </w:r>
      <w:r w:rsidR="007A10F4" w:rsidRPr="00A310A8">
        <w:rPr>
          <w:rFonts w:asciiTheme="minorHAnsi" w:hAnsiTheme="minorHAnsi" w:cs="Calibri Light"/>
        </w:rPr>
        <w:t xml:space="preserve"> et en dehors des hypothèses décrites à l’article 3</w:t>
      </w:r>
      <w:r>
        <w:rPr>
          <w:rFonts w:asciiTheme="minorHAnsi" w:hAnsiTheme="minorHAnsi" w:cs="Calibri Light"/>
        </w:rPr>
        <w:t xml:space="preserve">, </w:t>
      </w:r>
      <w:r w:rsidR="007A10F4" w:rsidRPr="00A310A8">
        <w:rPr>
          <w:rFonts w:asciiTheme="minorHAnsi" w:hAnsiTheme="minorHAnsi" w:cs="Calibri Light"/>
        </w:rPr>
        <w:t>§2 du décret du 14</w:t>
      </w:r>
      <w:r>
        <w:rPr>
          <w:rFonts w:asciiTheme="minorHAnsi" w:hAnsiTheme="minorHAnsi" w:cs="Calibri Light"/>
        </w:rPr>
        <w:t xml:space="preserve"> février </w:t>
      </w:r>
      <w:r w:rsidR="007A10F4" w:rsidRPr="00A310A8">
        <w:rPr>
          <w:rFonts w:asciiTheme="minorHAnsi" w:hAnsiTheme="minorHAnsi" w:cs="Calibri Light"/>
        </w:rPr>
        <w:t>2019 ;</w:t>
      </w:r>
      <w:r w:rsidR="00821C8C">
        <w:rPr>
          <w:rFonts w:asciiTheme="minorHAnsi" w:hAnsiTheme="minorHAnsi" w:cs="Calibri Light"/>
        </w:rPr>
        <w:t xml:space="preserve"> </w:t>
      </w:r>
    </w:p>
    <w:p w14:paraId="3C882A8F" w14:textId="77777777" w:rsidR="001E4B87" w:rsidRDefault="00226143" w:rsidP="00226143">
      <w:pPr>
        <w:pStyle w:val="Paragraphedeliste"/>
        <w:tabs>
          <w:tab w:val="left" w:pos="284"/>
        </w:tabs>
        <w:ind w:left="284"/>
        <w:jc w:val="both"/>
        <w:textAlignment w:val="baseline"/>
        <w:rPr>
          <w:rFonts w:cs="Calibri"/>
        </w:rPr>
      </w:pPr>
      <w:r w:rsidRPr="00256E9F">
        <w:rPr>
          <w:rFonts w:cs="Calibri"/>
        </w:rPr>
        <w:t>Conformément à l’article L1232-5 du CDLD, sauf dérogation, les exhumations, qu'elles soient de confort ou techniques, sont interdites dans un délai sanitaire de huit semaines à cinq ans suivant l'inhumation.</w:t>
      </w:r>
    </w:p>
    <w:p w14:paraId="77B41604" w14:textId="6E95B8C3" w:rsidR="00226143" w:rsidRPr="00256E9F" w:rsidRDefault="00226143" w:rsidP="00226143">
      <w:pPr>
        <w:pStyle w:val="Paragraphedeliste"/>
        <w:tabs>
          <w:tab w:val="left" w:pos="284"/>
        </w:tabs>
        <w:ind w:left="284"/>
        <w:jc w:val="both"/>
        <w:textAlignment w:val="baseline"/>
        <w:rPr>
          <w:rFonts w:cs="Calibri"/>
        </w:rPr>
      </w:pPr>
      <w:r w:rsidRPr="00256E9F">
        <w:rPr>
          <w:rFonts w:cs="Calibri"/>
        </w:rPr>
        <w:t>Les exhumations effectuées dans les huit premières semaines de l'inhumation peuvent être réalisées toute l'année.</w:t>
      </w:r>
    </w:p>
    <w:p w14:paraId="52BD7F61" w14:textId="77777777" w:rsidR="00226143" w:rsidRPr="00256E9F" w:rsidRDefault="00226143" w:rsidP="00226143">
      <w:pPr>
        <w:pStyle w:val="Paragraphedeliste"/>
        <w:tabs>
          <w:tab w:val="left" w:pos="284"/>
        </w:tabs>
        <w:ind w:left="284"/>
        <w:jc w:val="both"/>
        <w:textAlignment w:val="baseline"/>
        <w:rPr>
          <w:rFonts w:cs="Calibri"/>
          <w:shd w:val="clear" w:color="auto" w:fill="FFFFFF"/>
        </w:rPr>
      </w:pPr>
      <w:r w:rsidRPr="00256E9F">
        <w:rPr>
          <w:rFonts w:cs="Calibri"/>
        </w:rPr>
        <w:t xml:space="preserve">Ce délai ne s’applique pas </w:t>
      </w:r>
      <w:r w:rsidRPr="00256E9F">
        <w:rPr>
          <w:rFonts w:cs="Calibri"/>
          <w:shd w:val="clear" w:color="auto" w:fill="FFFFFF"/>
        </w:rPr>
        <w:t>à l'exhumation de confort d'urnes placées en cellule de columbarium.</w:t>
      </w:r>
    </w:p>
    <w:p w14:paraId="4ACC83AE" w14:textId="77777777" w:rsidR="00226143" w:rsidRPr="00146113" w:rsidRDefault="00226143" w:rsidP="00226143">
      <w:pPr>
        <w:pStyle w:val="Paragraphedeliste"/>
        <w:tabs>
          <w:tab w:val="left" w:pos="284"/>
        </w:tabs>
        <w:ind w:left="284"/>
        <w:jc w:val="both"/>
        <w:textAlignment w:val="baseline"/>
        <w:rPr>
          <w:rFonts w:cs="Calibri"/>
          <w:shd w:val="clear" w:color="auto" w:fill="FFFFFF"/>
        </w:rPr>
      </w:pPr>
      <w:r w:rsidRPr="00256E9F">
        <w:rPr>
          <w:rFonts w:cs="Calibri"/>
        </w:rPr>
        <w:t>Les exhumations effectuées après l'échéance du délai sanitaire de cinq ans sont réalisées exclusivement entre le 15 novembre et le 15 avril.</w:t>
      </w:r>
    </w:p>
    <w:p w14:paraId="77B66A79" w14:textId="77777777" w:rsidR="00226143" w:rsidRPr="00A310A8" w:rsidRDefault="00226143" w:rsidP="00256E9F">
      <w:pPr>
        <w:pStyle w:val="Paragraphedeliste"/>
        <w:tabs>
          <w:tab w:val="left" w:pos="-148"/>
          <w:tab w:val="left" w:pos="284"/>
        </w:tabs>
        <w:ind w:left="284"/>
        <w:jc w:val="both"/>
        <w:textAlignment w:val="baseline"/>
        <w:rPr>
          <w:rFonts w:asciiTheme="minorHAnsi" w:hAnsiTheme="minorHAnsi" w:cs="Calibri Light"/>
        </w:rPr>
      </w:pPr>
    </w:p>
    <w:p w14:paraId="530B1713" w14:textId="4208DE02" w:rsidR="007A10F4" w:rsidRDefault="00E5445B" w:rsidP="00B05546">
      <w:pPr>
        <w:pStyle w:val="Paragraphedeliste"/>
        <w:numPr>
          <w:ilvl w:val="0"/>
          <w:numId w:val="163"/>
        </w:numPr>
        <w:tabs>
          <w:tab w:val="left" w:pos="284"/>
        </w:tabs>
        <w:ind w:hanging="284"/>
        <w:jc w:val="both"/>
        <w:textAlignment w:val="baseline"/>
        <w:rPr>
          <w:rFonts w:asciiTheme="minorHAnsi" w:hAnsiTheme="minorHAnsi" w:cs="Calibri Light"/>
        </w:rPr>
      </w:pPr>
      <w:proofErr w:type="gramStart"/>
      <w:r>
        <w:rPr>
          <w:rFonts w:asciiTheme="minorHAnsi" w:hAnsiTheme="minorHAnsi" w:cs="Calibri Light"/>
        </w:rPr>
        <w:t>l</w:t>
      </w:r>
      <w:r w:rsidRPr="00A310A8">
        <w:rPr>
          <w:rFonts w:asciiTheme="minorHAnsi" w:hAnsiTheme="minorHAnsi" w:cs="Calibri Light"/>
        </w:rPr>
        <w:t>es</w:t>
      </w:r>
      <w:proofErr w:type="gramEnd"/>
      <w:r w:rsidRPr="00A310A8">
        <w:rPr>
          <w:rFonts w:asciiTheme="minorHAnsi" w:hAnsiTheme="minorHAnsi" w:cs="Calibri Light"/>
        </w:rPr>
        <w:t xml:space="preserve"> </w:t>
      </w:r>
      <w:r w:rsidR="007A10F4" w:rsidRPr="00A310A8">
        <w:rPr>
          <w:rFonts w:asciiTheme="minorHAnsi" w:hAnsiTheme="minorHAnsi" w:cs="Calibri Light"/>
        </w:rPr>
        <w:t xml:space="preserve">exhumations de confort de cercueils </w:t>
      </w:r>
      <w:r w:rsidR="00263259">
        <w:rPr>
          <w:rFonts w:asciiTheme="minorHAnsi" w:hAnsiTheme="minorHAnsi" w:cs="Calibri Light"/>
        </w:rPr>
        <w:t xml:space="preserve">ne </w:t>
      </w:r>
      <w:r w:rsidR="007A10F4" w:rsidRPr="00A310A8">
        <w:rPr>
          <w:rFonts w:asciiTheme="minorHAnsi" w:hAnsiTheme="minorHAnsi" w:cs="Calibri Light"/>
        </w:rPr>
        <w:t xml:space="preserve">peuvent être réalisées </w:t>
      </w:r>
      <w:r w:rsidR="00263259">
        <w:rPr>
          <w:rFonts w:asciiTheme="minorHAnsi" w:hAnsiTheme="minorHAnsi" w:cs="Calibri Light"/>
        </w:rPr>
        <w:t>que</w:t>
      </w:r>
      <w:r w:rsidR="007A10F4" w:rsidRPr="00A310A8">
        <w:rPr>
          <w:rFonts w:asciiTheme="minorHAnsi" w:hAnsiTheme="minorHAnsi" w:cs="Calibri Light"/>
        </w:rPr>
        <w:t xml:space="preserve"> par des entreprises </w:t>
      </w:r>
      <w:r w:rsidR="004605EA">
        <w:rPr>
          <w:rFonts w:asciiTheme="minorHAnsi" w:hAnsiTheme="minorHAnsi" w:cs="Calibri Light"/>
        </w:rPr>
        <w:t xml:space="preserve">de pompes funèbres </w:t>
      </w:r>
      <w:r w:rsidR="007A10F4" w:rsidRPr="00A310A8">
        <w:rPr>
          <w:rFonts w:asciiTheme="minorHAnsi" w:hAnsiTheme="minorHAnsi" w:cs="Calibri Light"/>
        </w:rPr>
        <w:t>privées</w:t>
      </w:r>
      <w:r w:rsidR="004605EA">
        <w:rPr>
          <w:rFonts w:asciiTheme="minorHAnsi" w:hAnsiTheme="minorHAnsi" w:cs="Calibri Light"/>
        </w:rPr>
        <w:t xml:space="preserve"> sous surveillance communale</w:t>
      </w:r>
      <w:r w:rsidR="007A10F4" w:rsidRPr="00A310A8">
        <w:rPr>
          <w:rFonts w:asciiTheme="minorHAnsi" w:hAnsiTheme="minorHAnsi" w:cs="Calibri Light"/>
        </w:rPr>
        <w:t>. Elles respectent les normes de sécurité et de salubrité ainsi que la mémoire des défunts</w:t>
      </w:r>
      <w:r>
        <w:rPr>
          <w:rStyle w:val="Appelnotedebasdep"/>
          <w:rFonts w:asciiTheme="minorHAnsi" w:hAnsiTheme="minorHAnsi" w:cs="Calibri Light"/>
        </w:rPr>
        <w:footnoteReference w:id="153"/>
      </w:r>
      <w:r w:rsidR="007A10F4" w:rsidRPr="00A310A8">
        <w:rPr>
          <w:rFonts w:asciiTheme="minorHAnsi" w:hAnsiTheme="minorHAnsi" w:cs="Calibri Light"/>
        </w:rPr>
        <w:t>. La seule exception à cette règle est celle où l'exhumation de confort est faite à l'initiative du gestionnaire public (et dans ce cas l'autorisation visée ci-dessus prend la forme d'un arrêté actant l'opération envisagée)</w:t>
      </w:r>
      <w:r w:rsidR="004605EA">
        <w:rPr>
          <w:rFonts w:asciiTheme="minorHAnsi" w:hAnsiTheme="minorHAnsi" w:cs="Calibri Light"/>
        </w:rPr>
        <w:t> ;</w:t>
      </w:r>
    </w:p>
    <w:p w14:paraId="0A2F60C0" w14:textId="731634D9" w:rsidR="004605EA" w:rsidRPr="008D7EB7" w:rsidRDefault="00E5445B" w:rsidP="00B05546">
      <w:pPr>
        <w:pStyle w:val="Paragraphedeliste"/>
        <w:numPr>
          <w:ilvl w:val="0"/>
          <w:numId w:val="163"/>
        </w:numPr>
        <w:tabs>
          <w:tab w:val="left" w:pos="284"/>
        </w:tabs>
        <w:ind w:hanging="284"/>
        <w:jc w:val="both"/>
        <w:textAlignment w:val="baseline"/>
        <w:rPr>
          <w:rFonts w:cs="Calibri Light"/>
        </w:rPr>
      </w:pPr>
      <w:proofErr w:type="gramStart"/>
      <w:r w:rsidRPr="008D7EB7">
        <w:rPr>
          <w:rFonts w:cs="Calibri Light"/>
        </w:rPr>
        <w:t>l</w:t>
      </w:r>
      <w:r w:rsidR="004605EA" w:rsidRPr="008D7EB7">
        <w:rPr>
          <w:rFonts w:cs="Calibri Light"/>
        </w:rPr>
        <w:t>es</w:t>
      </w:r>
      <w:proofErr w:type="gramEnd"/>
      <w:r w:rsidR="004605EA" w:rsidRPr="008D7EB7">
        <w:rPr>
          <w:rFonts w:cs="Calibri Light"/>
        </w:rPr>
        <w:t xml:space="preserve"> exhumations de </w:t>
      </w:r>
      <w:r w:rsidR="004605EA" w:rsidRPr="00B05546">
        <w:rPr>
          <w:rFonts w:asciiTheme="minorHAnsi" w:hAnsiTheme="minorHAnsi" w:cs="Calibri Light"/>
        </w:rPr>
        <w:t>confort</w:t>
      </w:r>
      <w:r w:rsidR="004605EA" w:rsidRPr="008D7EB7">
        <w:rPr>
          <w:rFonts w:cs="Calibri Light"/>
        </w:rPr>
        <w:t xml:space="preserve"> </w:t>
      </w:r>
      <w:r w:rsidR="004605EA" w:rsidRPr="008D7EB7">
        <w:rPr>
          <w:rFonts w:cs="Calibri Light"/>
          <w:u w:val="single"/>
        </w:rPr>
        <w:t>d’urnes cinéraires</w:t>
      </w:r>
      <w:r w:rsidR="004605EA" w:rsidRPr="008D7EB7">
        <w:rPr>
          <w:rFonts w:cs="Calibri Light"/>
        </w:rPr>
        <w:t xml:space="preserve"> </w:t>
      </w:r>
      <w:r w:rsidR="004605EA" w:rsidRPr="008D7EB7">
        <w:rPr>
          <w:rFonts w:cs="Calibri Light"/>
          <w:b/>
        </w:rPr>
        <w:t xml:space="preserve">peuvent toujours être </w:t>
      </w:r>
      <w:r w:rsidR="004605EA" w:rsidRPr="008D7EB7">
        <w:rPr>
          <w:rFonts w:cs="Calibri Light"/>
        </w:rPr>
        <w:t>réalisées par le personnel communal.</w:t>
      </w:r>
      <w:r w:rsidR="004605EA" w:rsidRPr="00E5445B">
        <w:t xml:space="preserve"> </w:t>
      </w:r>
      <w:r w:rsidR="004605EA" w:rsidRPr="008D7EB7">
        <w:rPr>
          <w:rFonts w:cs="Calibri Light"/>
        </w:rPr>
        <w:t xml:space="preserve">À cet effet, la commune peut percevoir une facturation sur base des frais réels ou opter pour un taux forfaitaire de maximum </w:t>
      </w:r>
      <w:r w:rsidR="000D441C" w:rsidRPr="008D7EB7">
        <w:rPr>
          <w:rFonts w:cs="Calibri Light"/>
        </w:rPr>
        <w:t>550</w:t>
      </w:r>
      <w:r w:rsidRPr="008D7EB7">
        <w:rPr>
          <w:rFonts w:cs="Calibri Light"/>
        </w:rPr>
        <w:t>,00</w:t>
      </w:r>
      <w:r w:rsidR="000D441C" w:rsidRPr="008D7EB7">
        <w:rPr>
          <w:rFonts w:cs="Calibri Light"/>
        </w:rPr>
        <w:t xml:space="preserve"> </w:t>
      </w:r>
      <w:r w:rsidR="004605EA" w:rsidRPr="008D7EB7">
        <w:rPr>
          <w:rFonts w:cs="Calibri Light"/>
        </w:rPr>
        <w:t>euros</w:t>
      </w:r>
      <w:bookmarkStart w:id="5739" w:name="_Hlk36211861"/>
      <w:r w:rsidR="004605EA" w:rsidRPr="008D7EB7">
        <w:rPr>
          <w:rFonts w:asciiTheme="minorHAnsi" w:hAnsiTheme="minorHAnsi" w:cs="Calibri Light"/>
          <w:spacing w:val="-2"/>
        </w:rPr>
        <w:t xml:space="preserve"> </w:t>
      </w:r>
      <w:bookmarkEnd w:id="5739"/>
      <w:r w:rsidR="004605EA" w:rsidRPr="008D7EB7">
        <w:rPr>
          <w:rFonts w:cs="Calibri Light"/>
        </w:rPr>
        <w:t>par exhumation d’une urne ;</w:t>
      </w:r>
    </w:p>
    <w:p w14:paraId="38B69649" w14:textId="354150AB" w:rsidR="00263259" w:rsidRPr="008D7EB7" w:rsidRDefault="00E5445B" w:rsidP="00B05546">
      <w:pPr>
        <w:pStyle w:val="Paragraphedeliste"/>
        <w:numPr>
          <w:ilvl w:val="0"/>
          <w:numId w:val="163"/>
        </w:numPr>
        <w:tabs>
          <w:tab w:val="left" w:pos="284"/>
        </w:tabs>
        <w:ind w:hanging="284"/>
        <w:jc w:val="both"/>
        <w:textAlignment w:val="baseline"/>
        <w:rPr>
          <w:rFonts w:cs="Calibri Light"/>
        </w:rPr>
      </w:pPr>
      <w:proofErr w:type="gramStart"/>
      <w:r w:rsidRPr="008D7EB7">
        <w:rPr>
          <w:rFonts w:cs="Calibri Light"/>
        </w:rPr>
        <w:t>d</w:t>
      </w:r>
      <w:r w:rsidR="00263259" w:rsidRPr="008D7EB7">
        <w:rPr>
          <w:rFonts w:cs="Calibri Light"/>
        </w:rPr>
        <w:t>ans</w:t>
      </w:r>
      <w:proofErr w:type="gramEnd"/>
      <w:r w:rsidR="00263259" w:rsidRPr="008D7EB7">
        <w:rPr>
          <w:rFonts w:cs="Calibri Light"/>
        </w:rPr>
        <w:t xml:space="preserve"> le </w:t>
      </w:r>
      <w:r w:rsidR="00263259" w:rsidRPr="00B05546">
        <w:rPr>
          <w:rFonts w:asciiTheme="minorHAnsi" w:hAnsiTheme="minorHAnsi" w:cs="Calibri Light"/>
        </w:rPr>
        <w:t>cadre</w:t>
      </w:r>
      <w:r w:rsidR="00263259" w:rsidRPr="008D7EB7">
        <w:rPr>
          <w:rFonts w:cs="Calibri Light"/>
        </w:rPr>
        <w:t xml:space="preserve"> d’une exhumation de confort (réalisée exclusivement par une </w:t>
      </w:r>
      <w:r w:rsidR="004605EA" w:rsidRPr="008D7EB7">
        <w:rPr>
          <w:rFonts w:cs="Calibri Light"/>
        </w:rPr>
        <w:t>entreprise de pompes funèbres</w:t>
      </w:r>
      <w:r w:rsidR="00263259" w:rsidRPr="008D7EB7">
        <w:rPr>
          <w:rFonts w:cs="Calibri Light"/>
        </w:rPr>
        <w:t xml:space="preserve"> privée) il est possible pour la commune de lever une </w:t>
      </w:r>
      <w:r w:rsidR="00263259" w:rsidRPr="008D7EB7">
        <w:rPr>
          <w:rFonts w:cs="Calibri Light"/>
          <w:b/>
        </w:rPr>
        <w:t xml:space="preserve">redevance pour récupérer les frais administratifs et autres </w:t>
      </w:r>
      <w:r w:rsidR="00263259" w:rsidRPr="00B05546">
        <w:rPr>
          <w:rFonts w:cs="Calibri Light"/>
          <w:bCs/>
        </w:rPr>
        <w:t>(prestation du personnel communal, surveillance communale, rédaction du procès</w:t>
      </w:r>
      <w:r w:rsidR="00D501F5" w:rsidRPr="00B05546">
        <w:rPr>
          <w:rFonts w:cs="Calibri Light"/>
          <w:bCs/>
        </w:rPr>
        <w:t>-</w:t>
      </w:r>
      <w:r w:rsidR="00263259" w:rsidRPr="00B05546">
        <w:rPr>
          <w:rFonts w:cs="Calibri Light"/>
          <w:bCs/>
        </w:rPr>
        <w:t>verbal)</w:t>
      </w:r>
      <w:r w:rsidR="00263259" w:rsidRPr="008D7EB7">
        <w:rPr>
          <w:rFonts w:cs="Calibri Light"/>
        </w:rPr>
        <w:t xml:space="preserve"> </w:t>
      </w:r>
      <w:r w:rsidR="00263259" w:rsidRPr="008D7EB7">
        <w:rPr>
          <w:rFonts w:cs="Calibri Light"/>
          <w:b/>
        </w:rPr>
        <w:t>liés à l’exhumation faite par une société de pompes funèbres</w:t>
      </w:r>
      <w:r w:rsidR="00263259" w:rsidRPr="008D7EB7">
        <w:rPr>
          <w:rFonts w:cs="Calibri Light"/>
        </w:rPr>
        <w:t xml:space="preserve">. Si celle-ci n’opte pas pour une facturation selon les frais réels, elle pourra adopter un taux forfaitaire dont le taux maximum recommandé est de </w:t>
      </w:r>
      <w:r w:rsidR="000D441C" w:rsidRPr="008D7EB7">
        <w:rPr>
          <w:rFonts w:cs="Calibri Light"/>
          <w:b/>
        </w:rPr>
        <w:t>350</w:t>
      </w:r>
      <w:r w:rsidRPr="008D7EB7">
        <w:rPr>
          <w:rFonts w:cs="Calibri Light"/>
          <w:b/>
        </w:rPr>
        <w:t>,00</w:t>
      </w:r>
      <w:r w:rsidR="000D441C" w:rsidRPr="008D7EB7">
        <w:rPr>
          <w:rFonts w:cs="Calibri Light"/>
          <w:b/>
        </w:rPr>
        <w:t xml:space="preserve"> </w:t>
      </w:r>
      <w:r w:rsidR="00263259" w:rsidRPr="008D7EB7">
        <w:rPr>
          <w:rFonts w:cs="Calibri Light"/>
          <w:b/>
        </w:rPr>
        <w:t>euro</w:t>
      </w:r>
      <w:r w:rsidR="00263259" w:rsidRPr="008D7EB7">
        <w:rPr>
          <w:rFonts w:cs="Calibri Light"/>
        </w:rPr>
        <w:t>s</w:t>
      </w:r>
      <w:r w:rsidR="004605EA" w:rsidRPr="008D7EB7">
        <w:rPr>
          <w:rFonts w:cs="Calibri Light"/>
        </w:rPr>
        <w:t xml:space="preserve"> ;</w:t>
      </w:r>
    </w:p>
    <w:p w14:paraId="4E2DC19B" w14:textId="25C06D31" w:rsidR="00263259" w:rsidRPr="008D7EB7" w:rsidRDefault="00E5445B" w:rsidP="00B05546">
      <w:pPr>
        <w:pStyle w:val="Paragraphedeliste"/>
        <w:numPr>
          <w:ilvl w:val="0"/>
          <w:numId w:val="163"/>
        </w:numPr>
        <w:tabs>
          <w:tab w:val="left" w:pos="284"/>
        </w:tabs>
        <w:ind w:hanging="284"/>
        <w:jc w:val="both"/>
        <w:textAlignment w:val="baseline"/>
        <w:rPr>
          <w:rFonts w:cs="Calibri Light"/>
          <w:b/>
        </w:rPr>
      </w:pPr>
      <w:proofErr w:type="gramStart"/>
      <w:r w:rsidRPr="008D7EB7">
        <w:rPr>
          <w:rFonts w:cs="Calibri Light"/>
          <w:b/>
        </w:rPr>
        <w:t>p</w:t>
      </w:r>
      <w:r w:rsidR="00263259" w:rsidRPr="008D7EB7">
        <w:rPr>
          <w:rFonts w:cs="Calibri Light"/>
          <w:b/>
        </w:rPr>
        <w:t>ar</w:t>
      </w:r>
      <w:proofErr w:type="gramEnd"/>
      <w:r w:rsidR="00263259" w:rsidRPr="008D7EB7">
        <w:rPr>
          <w:rFonts w:cs="Calibri Light"/>
          <w:b/>
        </w:rPr>
        <w:t xml:space="preserve"> contre, aucune </w:t>
      </w:r>
      <w:r w:rsidR="00263259" w:rsidRPr="00B05546">
        <w:rPr>
          <w:rFonts w:asciiTheme="minorHAnsi" w:hAnsiTheme="minorHAnsi" w:cs="Calibri Light"/>
          <w:b/>
          <w:bCs/>
        </w:rPr>
        <w:t>redevance</w:t>
      </w:r>
      <w:r w:rsidR="00263259" w:rsidRPr="00B05546">
        <w:rPr>
          <w:rFonts w:cs="Calibri Light"/>
          <w:b/>
          <w:bCs/>
        </w:rPr>
        <w:t xml:space="preserve"> n</w:t>
      </w:r>
      <w:r w:rsidR="00263259" w:rsidRPr="008D7EB7">
        <w:rPr>
          <w:rFonts w:cs="Calibri Light"/>
          <w:b/>
        </w:rPr>
        <w:t>e peut être prélevée pour les exhumations techniques</w:t>
      </w:r>
      <w:r w:rsidR="00263259" w:rsidRPr="008D7EB7">
        <w:rPr>
          <w:rFonts w:cs="Calibri Light"/>
        </w:rPr>
        <w:t xml:space="preserve"> </w:t>
      </w:r>
      <w:r w:rsidR="00263259" w:rsidRPr="008D7EB7">
        <w:rPr>
          <w:rFonts w:cs="Calibri Light"/>
          <w:b/>
        </w:rPr>
        <w:t>réalisées d’initiative par la commune au terme de la concession</w:t>
      </w:r>
      <w:r w:rsidR="00263259" w:rsidRPr="008D7EB7">
        <w:rPr>
          <w:rFonts w:cs="Calibri Light"/>
        </w:rPr>
        <w:t xml:space="preserve">.  </w:t>
      </w:r>
      <w:r w:rsidR="00263259" w:rsidRPr="008D7EB7">
        <w:rPr>
          <w:rFonts w:cs="Calibri Light"/>
          <w:bCs/>
        </w:rPr>
        <w:t>En effet, dans ce cas, il n’y a aucun service rendu à un particulier</w:t>
      </w:r>
      <w:r w:rsidR="004605EA" w:rsidRPr="008D7EB7">
        <w:rPr>
          <w:rFonts w:cs="Calibri Light"/>
          <w:bCs/>
        </w:rPr>
        <w:t xml:space="preserve"> et il faut rappeler que l’assainissement est une mission communale prévue dans le prix de la concession initiale.</w:t>
      </w:r>
    </w:p>
    <w:p w14:paraId="119AACFB" w14:textId="453DBA63" w:rsidR="009B153C" w:rsidRDefault="004605EA">
      <w:pPr>
        <w:spacing w:before="120" w:after="240"/>
        <w:jc w:val="both"/>
        <w:textAlignment w:val="baseline"/>
        <w:rPr>
          <w:rFonts w:cs="Calibri Light"/>
          <w:color w:val="0000FF"/>
        </w:rPr>
      </w:pPr>
      <w:r>
        <w:rPr>
          <w:rFonts w:asciiTheme="minorHAnsi" w:hAnsiTheme="minorHAnsi" w:cs="Calibri Light"/>
          <w:color w:val="0D0D0D"/>
        </w:rPr>
        <w:t xml:space="preserve">La </w:t>
      </w:r>
      <w:r w:rsidRPr="008D7EB7">
        <w:rPr>
          <w:rFonts w:asciiTheme="minorHAnsi" w:hAnsiTheme="minorHAnsi" w:cs="Calibri Light"/>
          <w:b/>
          <w:bCs/>
          <w:color w:val="0D0D0D"/>
        </w:rPr>
        <w:t>procédure de rassemblement des restes mortels</w:t>
      </w:r>
      <w:r>
        <w:rPr>
          <w:rFonts w:asciiTheme="minorHAnsi" w:hAnsiTheme="minorHAnsi" w:cs="Calibri Light"/>
          <w:color w:val="0D0D0D"/>
        </w:rPr>
        <w:t xml:space="preserve"> permet de lutter contre le manque de place dans les cimetières.</w:t>
      </w:r>
      <w:r w:rsidR="009B153C" w:rsidRPr="00DA6BD2">
        <w:rPr>
          <w:rFonts w:asciiTheme="minorHAnsi" w:hAnsiTheme="minorHAnsi" w:cs="Calibri Light"/>
          <w:color w:val="0D0D0D"/>
        </w:rPr>
        <w:t xml:space="preserve"> </w:t>
      </w:r>
      <w:r w:rsidR="004343B1">
        <w:rPr>
          <w:rFonts w:asciiTheme="minorHAnsi" w:hAnsiTheme="minorHAnsi" w:cs="Calibri Light"/>
          <w:color w:val="0D0D0D"/>
        </w:rPr>
        <w:t>L</w:t>
      </w:r>
      <w:r w:rsidR="009B153C" w:rsidRPr="00DA6BD2">
        <w:rPr>
          <w:rFonts w:asciiTheme="minorHAnsi" w:hAnsiTheme="minorHAnsi" w:cs="Calibri Light"/>
          <w:color w:val="0D0D0D"/>
        </w:rPr>
        <w:t xml:space="preserve">e rassemblement ne peut jamais se faire entre parcelles ou entre cimetières. </w:t>
      </w:r>
      <w:r w:rsidRPr="004605EA">
        <w:rPr>
          <w:rFonts w:asciiTheme="minorHAnsi" w:hAnsiTheme="minorHAnsi" w:cs="Calibri Light"/>
          <w:color w:val="0D0D0D"/>
        </w:rPr>
        <w:t xml:space="preserve">Le rassemblement de restes mortels ne peut être réalisé qu’au sein d’un même caveau, pas pour les </w:t>
      </w:r>
      <w:r w:rsidR="007952CF" w:rsidRPr="00E5445B">
        <w:rPr>
          <w:rFonts w:asciiTheme="minorHAnsi" w:hAnsiTheme="minorHAnsi" w:cs="Calibri Light"/>
          <w:color w:val="0D0D0D"/>
        </w:rPr>
        <w:t>concessions en</w:t>
      </w:r>
      <w:r w:rsidR="007952CF" w:rsidRPr="004605EA">
        <w:rPr>
          <w:rFonts w:asciiTheme="minorHAnsi" w:hAnsiTheme="minorHAnsi" w:cs="Calibri Light"/>
          <w:color w:val="0D0D0D"/>
        </w:rPr>
        <w:t xml:space="preserve"> </w:t>
      </w:r>
      <w:r w:rsidRPr="004605EA">
        <w:rPr>
          <w:rFonts w:asciiTheme="minorHAnsi" w:hAnsiTheme="minorHAnsi" w:cs="Calibri Light"/>
          <w:color w:val="0D0D0D"/>
        </w:rPr>
        <w:t>pleine-terre.</w:t>
      </w:r>
      <w:r>
        <w:rPr>
          <w:rFonts w:asciiTheme="minorHAnsi" w:hAnsiTheme="minorHAnsi" w:cs="Calibri Light"/>
          <w:color w:val="0D0D0D"/>
        </w:rPr>
        <w:t xml:space="preserve"> </w:t>
      </w:r>
      <w:r w:rsidR="009B153C" w:rsidRPr="00DA6BD2">
        <w:rPr>
          <w:rFonts w:asciiTheme="minorHAnsi" w:hAnsiTheme="minorHAnsi" w:cs="Calibri Light"/>
          <w:color w:val="0D0D0D"/>
        </w:rPr>
        <w:t xml:space="preserve">Il est conseillé de confier cette opération aux seules entreprises de pompes funèbres et il convient de rappeler que cette opération, doit se faire à cimetière fermé et en présence d’un représentant communal. Au vu des modalités pratiques de cette mesure, il est possible de lever une </w:t>
      </w:r>
      <w:r w:rsidR="009B153C" w:rsidRPr="00DA6BD2">
        <w:rPr>
          <w:rFonts w:asciiTheme="minorHAnsi" w:hAnsiTheme="minorHAnsi" w:cs="Calibri Light"/>
          <w:b/>
          <w:color w:val="0D0D0D"/>
          <w:u w:val="single"/>
        </w:rPr>
        <w:t xml:space="preserve">redevance pour récupérer les frais </w:t>
      </w:r>
      <w:r w:rsidR="009B153C" w:rsidRPr="00DA6BD2">
        <w:rPr>
          <w:rFonts w:asciiTheme="minorHAnsi" w:hAnsiTheme="minorHAnsi" w:cs="Calibri Light"/>
          <w:b/>
          <w:color w:val="0D0D0D"/>
          <w:u w:val="single"/>
        </w:rPr>
        <w:lastRenderedPageBreak/>
        <w:t>administratifs liés au rassemblement des restes mortels</w:t>
      </w:r>
      <w:r w:rsidR="009B153C" w:rsidRPr="00DA6BD2">
        <w:rPr>
          <w:rFonts w:asciiTheme="minorHAnsi" w:hAnsiTheme="minorHAnsi" w:cs="Calibri Light"/>
          <w:color w:val="0D0D0D"/>
        </w:rPr>
        <w:t xml:space="preserve">. Si celle-ci n’opte pas pour une facturation selon les frais réels, elle pourra adopter un taux forfaitaire dont le taux maximum recommandé est de </w:t>
      </w:r>
      <w:r w:rsidR="000D441C" w:rsidRPr="008D7EB7">
        <w:rPr>
          <w:rFonts w:cs="Calibri Light"/>
        </w:rPr>
        <w:t xml:space="preserve">de </w:t>
      </w:r>
      <w:r w:rsidR="000D441C" w:rsidRPr="008D7EB7">
        <w:rPr>
          <w:rFonts w:cs="Calibri Light"/>
          <w:b/>
        </w:rPr>
        <w:t>350</w:t>
      </w:r>
      <w:r w:rsidR="00E5445B" w:rsidRPr="008D7EB7">
        <w:rPr>
          <w:rFonts w:cs="Calibri Light"/>
          <w:b/>
        </w:rPr>
        <w:t>,00</w:t>
      </w:r>
      <w:r w:rsidR="000D441C" w:rsidRPr="008D7EB7">
        <w:rPr>
          <w:rFonts w:cs="Calibri Light"/>
          <w:b/>
        </w:rPr>
        <w:t xml:space="preserve"> euro</w:t>
      </w:r>
      <w:r w:rsidR="000D441C" w:rsidRPr="008D7EB7">
        <w:rPr>
          <w:rFonts w:cs="Calibri Light"/>
        </w:rPr>
        <w:t>s</w:t>
      </w:r>
      <w:r w:rsidR="00E5445B">
        <w:rPr>
          <w:rFonts w:cs="Calibri Light"/>
          <w:color w:val="0000FF"/>
        </w:rPr>
        <w:t>.</w:t>
      </w:r>
      <w:r w:rsidR="000D441C">
        <w:rPr>
          <w:rFonts w:cs="Calibri Light"/>
          <w:color w:val="0000FF"/>
        </w:rPr>
        <w:t> </w:t>
      </w:r>
    </w:p>
    <w:p w14:paraId="75EADAF8" w14:textId="77777777" w:rsidR="009B153C" w:rsidRPr="00DA6BD2" w:rsidRDefault="009D393B" w:rsidP="00256E9F">
      <w:pPr>
        <w:pStyle w:val="Sam3"/>
      </w:pPr>
      <w:bookmarkStart w:id="5740" w:name="_Toc74557760"/>
      <w:r>
        <w:t xml:space="preserve">040/363-12 : </w:t>
      </w:r>
      <w:r w:rsidR="00C82157">
        <w:t>T</w:t>
      </w:r>
      <w:r>
        <w:t>ransports funèbres</w:t>
      </w:r>
      <w:bookmarkEnd w:id="5740"/>
      <w:r>
        <w:t xml:space="preserve"> </w:t>
      </w:r>
    </w:p>
    <w:p w14:paraId="4DDF485D" w14:textId="77777777" w:rsidR="009B153C" w:rsidRDefault="009B153C" w:rsidP="008D7EB7">
      <w:pPr>
        <w:spacing w:before="120" w:after="240"/>
        <w:jc w:val="both"/>
        <w:textAlignment w:val="baseline"/>
        <w:rPr>
          <w:rFonts w:asciiTheme="minorHAnsi" w:hAnsiTheme="minorHAnsi" w:cs="Calibri Light"/>
          <w:spacing w:val="4"/>
        </w:rPr>
      </w:pPr>
      <w:r w:rsidRPr="00DA6BD2">
        <w:rPr>
          <w:rFonts w:asciiTheme="minorHAnsi" w:hAnsiTheme="minorHAnsi" w:cs="Calibri Light"/>
          <w:spacing w:val="4"/>
        </w:rPr>
        <w:t>Dans un souci de rationalisation, il a été décidé de ne plus reprendre cette taxe dans la liste des taxes de la présente circulaire. Les communes qui disposaient de cette taxe sont invitées à ne plus la renouveler.</w:t>
      </w:r>
    </w:p>
    <w:p w14:paraId="09E803C3" w14:textId="77777777" w:rsidR="009D393B" w:rsidRDefault="00C82157" w:rsidP="00256E9F">
      <w:pPr>
        <w:pStyle w:val="Sam3"/>
      </w:pPr>
      <w:bookmarkStart w:id="5741" w:name="_Toc74557761"/>
      <w:r>
        <w:t>040/363-13 : L</w:t>
      </w:r>
      <w:r w:rsidR="009D393B">
        <w:t>ocation de caveaux d’attente</w:t>
      </w:r>
      <w:bookmarkEnd w:id="5741"/>
    </w:p>
    <w:p w14:paraId="24E4F981" w14:textId="77777777" w:rsidR="0084076C" w:rsidRPr="006126A1" w:rsidRDefault="0084076C" w:rsidP="008D7EB7">
      <w:pPr>
        <w:spacing w:after="240"/>
      </w:pPr>
      <w:r w:rsidRPr="00E063FD">
        <w:t>Redevance.</w:t>
      </w:r>
    </w:p>
    <w:p w14:paraId="7F447D09" w14:textId="77777777" w:rsidR="009D393B" w:rsidRDefault="00C82157" w:rsidP="00256E9F">
      <w:pPr>
        <w:pStyle w:val="Sam3"/>
      </w:pPr>
      <w:bookmarkStart w:id="5742" w:name="_Toc74557762"/>
      <w:bookmarkStart w:id="5743" w:name="_Hlk95139222"/>
      <w:r>
        <w:t>040/363-14 : S</w:t>
      </w:r>
      <w:r w:rsidR="009D393B">
        <w:t>éjour à la morgue ou au dépôt mortuaire</w:t>
      </w:r>
      <w:bookmarkEnd w:id="5742"/>
    </w:p>
    <w:p w14:paraId="017DC4CC" w14:textId="53641815" w:rsidR="0084076C" w:rsidRDefault="0084076C" w:rsidP="008D7EB7">
      <w:pPr>
        <w:spacing w:after="240"/>
      </w:pPr>
      <w:r w:rsidRPr="00E063FD">
        <w:t>Redevance.</w:t>
      </w:r>
    </w:p>
    <w:bookmarkEnd w:id="5743"/>
    <w:p w14:paraId="3039C099" w14:textId="569EECAA" w:rsidR="001C06BE" w:rsidRDefault="001C06BE" w:rsidP="00256E9F">
      <w:pPr>
        <w:pStyle w:val="Sam3"/>
      </w:pPr>
      <w:r>
        <w:t>040/363-15 : Concession dans les cimetières</w:t>
      </w:r>
    </w:p>
    <w:p w14:paraId="329E707F" w14:textId="77777777" w:rsidR="001C06BE" w:rsidRDefault="001C06BE" w:rsidP="001C06BE">
      <w:pPr>
        <w:spacing w:after="240"/>
      </w:pPr>
      <w:r w:rsidRPr="00E063FD">
        <w:t>Redevance.</w:t>
      </w:r>
    </w:p>
    <w:p w14:paraId="2DF21288" w14:textId="77777777" w:rsidR="001C06BE" w:rsidRDefault="001C06BE" w:rsidP="001C06BE">
      <w:pPr>
        <w:jc w:val="both"/>
      </w:pPr>
      <w:r>
        <w:t>Selon l'article L1232-9 du CDLD, le tarif des concessions constitue une redevance. Les concessions peuvent être accordées pour une durée minimum de 10 ans et pour une durée maximum de 30 ans (article L 1232-8, §1er du CDLD).</w:t>
      </w:r>
    </w:p>
    <w:p w14:paraId="3ABDBC08" w14:textId="77777777" w:rsidR="001C06BE" w:rsidRDefault="001C06BE" w:rsidP="001C06BE">
      <w:pPr>
        <w:jc w:val="both"/>
      </w:pPr>
    </w:p>
    <w:p w14:paraId="1BE34378" w14:textId="2AE6D5FF" w:rsidR="001C06BE" w:rsidRDefault="001C06BE" w:rsidP="00B3464F">
      <w:pPr>
        <w:pStyle w:val="Paragraphedeliste"/>
        <w:numPr>
          <w:ilvl w:val="0"/>
          <w:numId w:val="316"/>
        </w:numPr>
        <w:ind w:left="2410"/>
        <w:jc w:val="both"/>
      </w:pPr>
      <w:r>
        <w:t>Parcelle en pleine terre, avec caveau, ancienne sépulture</w:t>
      </w:r>
      <w:r w:rsidR="001E537F">
        <w:t>, cellule de colombarium, cavurne</w:t>
      </w:r>
      <w:r>
        <w:tab/>
      </w:r>
    </w:p>
    <w:p w14:paraId="78A00DC9" w14:textId="77777777" w:rsidR="001C06BE" w:rsidRDefault="001C06BE" w:rsidP="001C06BE">
      <w:pPr>
        <w:pStyle w:val="Paragraphedeliste"/>
        <w:ind w:left="3900"/>
        <w:jc w:val="both"/>
      </w:pPr>
      <w:r>
        <w:tab/>
      </w:r>
      <w:r>
        <w:tab/>
      </w:r>
      <w:r>
        <w:tab/>
      </w:r>
    </w:p>
    <w:p w14:paraId="2F3DC4E4" w14:textId="77777777" w:rsidR="001C06BE" w:rsidRDefault="001C06BE" w:rsidP="001C06BE">
      <w:pPr>
        <w:jc w:val="both"/>
      </w:pPr>
      <w:r>
        <w:t xml:space="preserve">Suivant l’article L1232-7, §1er du CDLD, les concessions peuvent porter sur une parcelle en pleine terre, une parcelle avec caveau, une ancienne sépulture à laquelle il a été mis fin conformément aux articles L1232-8 ou L1232-12 et qui au terme du délai d’affichage, a fait l’objet d’un assainissement par le gestionnaire communal ou une cellule de columbarium. </w:t>
      </w:r>
    </w:p>
    <w:p w14:paraId="6FB735D1" w14:textId="77777777" w:rsidR="001C06BE" w:rsidRDefault="001C06BE" w:rsidP="001C06BE">
      <w:pPr>
        <w:jc w:val="both"/>
      </w:pPr>
      <w:r>
        <w:t>Lorsqu'il s'avère que le coût de construction d’un caveau, (d’une cavurne), d'un columbarium le justifie, le prix demandé pour une concession dans une parcelle avec caveau (cavurne) ou dans un columbarium pourra être plus élevé que celui prévu pour une concession en pleine terre.</w:t>
      </w:r>
    </w:p>
    <w:p w14:paraId="62988EB5" w14:textId="77777777" w:rsidR="001C06BE" w:rsidRDefault="001C06BE" w:rsidP="00256E9F">
      <w:pPr>
        <w:pStyle w:val="Paragraphedeliste"/>
        <w:numPr>
          <w:ilvl w:val="0"/>
          <w:numId w:val="316"/>
        </w:numPr>
        <w:ind w:left="2410"/>
        <w:jc w:val="both"/>
      </w:pPr>
      <w:r>
        <w:t>Concession avec monument</w:t>
      </w:r>
    </w:p>
    <w:p w14:paraId="11A7924B" w14:textId="77777777" w:rsidR="001C06BE" w:rsidRDefault="001C06BE" w:rsidP="001C06BE">
      <w:pPr>
        <w:pStyle w:val="Paragraphedeliste"/>
        <w:ind w:left="3900"/>
        <w:jc w:val="both"/>
      </w:pPr>
      <w:r>
        <w:tab/>
      </w:r>
      <w:r>
        <w:tab/>
      </w:r>
    </w:p>
    <w:p w14:paraId="64A4073C" w14:textId="77777777" w:rsidR="001C06BE" w:rsidRDefault="001C06BE" w:rsidP="001C06BE">
      <w:pPr>
        <w:jc w:val="both"/>
      </w:pPr>
      <w:r>
        <w:t xml:space="preserve">Le décret du 6 mars 2009 ayant créé un nouveau type de concession : la concession avec monument, un tarif spécifique pourra être prévu pour ce type de concession. </w:t>
      </w:r>
    </w:p>
    <w:p w14:paraId="03B66749" w14:textId="77777777" w:rsidR="001C06BE" w:rsidRDefault="001C06BE" w:rsidP="001C06BE">
      <w:pPr>
        <w:jc w:val="both"/>
      </w:pPr>
    </w:p>
    <w:p w14:paraId="07A510DF" w14:textId="6A57BA82" w:rsidR="001C06BE" w:rsidRDefault="001C06BE" w:rsidP="001C06BE">
      <w:pPr>
        <w:jc w:val="both"/>
      </w:pPr>
      <w:r>
        <w:t>La revente de concession avec monument est un mode de réaffectation économique et patrimonial préexistant au décret du 6 mars 2009, ce décret la régularise. Et forcément, un tarif spécifique est appliqué : prix de la concession + forfait pour le monument avec obligation de préservation monument. Ce tarif spécifique doit tenir compte du prix de la concession et du prix du monument (selon la situation, l’estimation d’un forfait peut être fixé entre 250 et 1.750 euros) mais en aucun cas des frais exposés par la commune pour l’assainissement de l’emplacement. Il est à souligner que ce type de concession comporte l’obligation pour le bénéficiaire de préserver le monument.</w:t>
      </w:r>
    </w:p>
    <w:p w14:paraId="429AFAD9" w14:textId="77777777" w:rsidR="00954869" w:rsidRDefault="00954869" w:rsidP="001C06BE">
      <w:pPr>
        <w:jc w:val="both"/>
      </w:pPr>
    </w:p>
    <w:p w14:paraId="2A7CA3BE" w14:textId="77777777" w:rsidR="001C06BE" w:rsidRDefault="001C06BE" w:rsidP="001C06BE">
      <w:pPr>
        <w:jc w:val="both"/>
      </w:pPr>
    </w:p>
    <w:p w14:paraId="0AA27303" w14:textId="77777777" w:rsidR="001C06BE" w:rsidRDefault="001C06BE" w:rsidP="00B3464F">
      <w:pPr>
        <w:pStyle w:val="Paragraphedeliste"/>
        <w:numPr>
          <w:ilvl w:val="0"/>
          <w:numId w:val="316"/>
        </w:numPr>
        <w:ind w:left="2552"/>
        <w:jc w:val="both"/>
      </w:pPr>
      <w:r>
        <w:lastRenderedPageBreak/>
        <w:t>La parcelle aux étoiles </w:t>
      </w:r>
    </w:p>
    <w:p w14:paraId="1522FC68" w14:textId="77777777" w:rsidR="001C06BE" w:rsidRDefault="001C06BE" w:rsidP="001C06BE">
      <w:pPr>
        <w:jc w:val="both"/>
      </w:pPr>
    </w:p>
    <w:p w14:paraId="7A39CBBD" w14:textId="77777777" w:rsidR="001C06BE" w:rsidRDefault="001C06BE" w:rsidP="001C06BE">
      <w:pPr>
        <w:jc w:val="both"/>
      </w:pPr>
      <w:r>
        <w:t>Suivant l’article L1232-2, §4 du CDLD les emplacements au sein de la parcelle des étoiles (réservés aux fœtus nés sans vie entre le 106e et 108e jour de grossesse et les enfants jusqu’à 12 ans) ne peuvent pas être concédés. Aussi aucune redevance ne peut être exigée par la commune lors de la réservation d’un emplacement au sein de la parcelle aux étoiles.</w:t>
      </w:r>
    </w:p>
    <w:p w14:paraId="164A0713" w14:textId="77777777" w:rsidR="001C06BE" w:rsidRDefault="001C06BE" w:rsidP="001C06BE">
      <w:pPr>
        <w:jc w:val="both"/>
      </w:pPr>
      <w:r>
        <w:t>Ainsi, pour les enfants jusqu’à 12 ans :</w:t>
      </w:r>
    </w:p>
    <w:p w14:paraId="30FE2FA8" w14:textId="77777777" w:rsidR="001C06BE" w:rsidRDefault="001C06BE" w:rsidP="001C06BE">
      <w:pPr>
        <w:jc w:val="both"/>
      </w:pPr>
      <w:r>
        <w:t>•</w:t>
      </w:r>
      <w:r>
        <w:tab/>
        <w:t>Soit, ils sont enterrés seuls et cela se fait obligatoirement dans la parcelle des étoiles sans possibilité d’y avoir une concession en pleine-terre ou en caveau ;</w:t>
      </w:r>
    </w:p>
    <w:p w14:paraId="22770C03" w14:textId="77777777" w:rsidR="001C06BE" w:rsidRDefault="001C06BE" w:rsidP="001C06BE">
      <w:pPr>
        <w:jc w:val="both"/>
      </w:pPr>
      <w:r>
        <w:t>•</w:t>
      </w:r>
      <w:r>
        <w:tab/>
        <w:t>Soit, ils sont enterrés dans une concession mais alors cela doit se faire en parcelle classique et dans le cadre d’une concession familiale destinée non seulement à l’enfant mais également à ses parents.</w:t>
      </w:r>
    </w:p>
    <w:p w14:paraId="4C14899C" w14:textId="77777777" w:rsidR="001C06BE" w:rsidRDefault="001C06BE" w:rsidP="001C06BE">
      <w:pPr>
        <w:jc w:val="both"/>
      </w:pPr>
    </w:p>
    <w:p w14:paraId="4AEFFA31" w14:textId="77777777" w:rsidR="001C06BE" w:rsidRDefault="001C06BE" w:rsidP="00256E9F">
      <w:pPr>
        <w:pStyle w:val="Paragraphedeliste"/>
        <w:numPr>
          <w:ilvl w:val="0"/>
          <w:numId w:val="316"/>
        </w:numPr>
        <w:ind w:left="2552"/>
        <w:jc w:val="both"/>
      </w:pPr>
      <w:r>
        <w:t>Parcelle non concédée</w:t>
      </w:r>
      <w:r>
        <w:tab/>
      </w:r>
      <w:r>
        <w:tab/>
      </w:r>
      <w:r>
        <w:tab/>
      </w:r>
    </w:p>
    <w:p w14:paraId="735DFF71" w14:textId="77777777" w:rsidR="001C06BE" w:rsidRDefault="001C06BE" w:rsidP="001C06BE">
      <w:pPr>
        <w:pStyle w:val="Paragraphedeliste"/>
        <w:ind w:left="3900"/>
        <w:jc w:val="both"/>
      </w:pPr>
      <w:r>
        <w:tab/>
      </w:r>
    </w:p>
    <w:p w14:paraId="781D837D" w14:textId="77777777" w:rsidR="001C06BE" w:rsidRDefault="001C06BE" w:rsidP="001C06BE">
      <w:pPr>
        <w:jc w:val="both"/>
      </w:pPr>
      <w:r>
        <w:t>Il ne peut être levé aucune taxe ou rétribution sur les sépultures non concédées et provisoirement conservées à l'issue du délai de cinq ans prévus par l'article L1232-20 du CDLD.</w:t>
      </w:r>
    </w:p>
    <w:p w14:paraId="1F4A52EA" w14:textId="77777777" w:rsidR="001C06BE" w:rsidRDefault="001C06BE" w:rsidP="001C06BE">
      <w:pPr>
        <w:jc w:val="both"/>
      </w:pPr>
    </w:p>
    <w:p w14:paraId="015BA245" w14:textId="77777777" w:rsidR="001C06BE" w:rsidRDefault="001C06BE" w:rsidP="001C06BE">
      <w:pPr>
        <w:jc w:val="both"/>
      </w:pPr>
      <w:r>
        <w:t>Le renouvellement d’un emplacement non-concédé est strictement interdit, aucune famille ne peut demander de prolongation du délai et si une telle prolongation est survenue, elle n’est que le résultat d’une gestion communale déficiente.</w:t>
      </w:r>
    </w:p>
    <w:p w14:paraId="336CDA94" w14:textId="77777777" w:rsidR="001C06BE" w:rsidRDefault="001C06BE" w:rsidP="001C06BE">
      <w:pPr>
        <w:jc w:val="both"/>
      </w:pPr>
    </w:p>
    <w:p w14:paraId="7052F5BC" w14:textId="77777777" w:rsidR="0060592F" w:rsidRDefault="001C06BE" w:rsidP="001C06BE">
      <w:pPr>
        <w:jc w:val="both"/>
      </w:pPr>
      <w:r>
        <w:t>De manière générale, lorsque les entreprises de pompes funèbres accomplissent des formalités auprès des administrations communales, elles n'agissent qu'en tant que mandataires (sous-traitants des familles) et ne doivent dès lors pas être considérées comme les redevables des taxes et redevances relatives aux funérailles et sépultures.</w:t>
      </w:r>
    </w:p>
    <w:p w14:paraId="0121A19A" w14:textId="481926ED" w:rsidR="00623107" w:rsidRPr="006B47EE" w:rsidRDefault="00623107" w:rsidP="001C06BE">
      <w:pPr>
        <w:jc w:val="both"/>
        <w:rPr>
          <w:b/>
          <w:bCs/>
        </w:rPr>
      </w:pPr>
      <w:r w:rsidRPr="006B47EE">
        <w:rPr>
          <w:b/>
          <w:bCs/>
        </w:rPr>
        <w:t xml:space="preserve">J’attire </w:t>
      </w:r>
      <w:r w:rsidR="0060592F" w:rsidRPr="006B47EE">
        <w:rPr>
          <w:b/>
          <w:bCs/>
        </w:rPr>
        <w:t>ainsi</w:t>
      </w:r>
      <w:r w:rsidRPr="006B47EE">
        <w:rPr>
          <w:b/>
          <w:bCs/>
        </w:rPr>
        <w:t xml:space="preserve"> votre attention </w:t>
      </w:r>
      <w:r w:rsidR="0060592F" w:rsidRPr="006B47EE">
        <w:rPr>
          <w:b/>
          <w:bCs/>
        </w:rPr>
        <w:t xml:space="preserve">sur le fait que </w:t>
      </w:r>
      <w:r w:rsidRPr="006B47EE">
        <w:rPr>
          <w:b/>
          <w:bCs/>
        </w:rPr>
        <w:t>la taxe ou la redevance</w:t>
      </w:r>
      <w:r w:rsidR="0060592F" w:rsidRPr="006B47EE">
        <w:rPr>
          <w:b/>
          <w:bCs/>
        </w:rPr>
        <w:t>, le cas échéant, ne soit doublement réclamée</w:t>
      </w:r>
      <w:r w:rsidRPr="006B47EE">
        <w:rPr>
          <w:b/>
          <w:bCs/>
        </w:rPr>
        <w:t>.</w:t>
      </w:r>
    </w:p>
    <w:p w14:paraId="41FCB645" w14:textId="77777777" w:rsidR="001C06BE" w:rsidRPr="00954869" w:rsidRDefault="001C06BE" w:rsidP="008D7EB7">
      <w:pPr>
        <w:spacing w:after="240"/>
        <w:rPr>
          <w:sz w:val="2"/>
          <w:szCs w:val="2"/>
        </w:rPr>
      </w:pPr>
    </w:p>
    <w:p w14:paraId="1335502A" w14:textId="0F8870E2" w:rsidR="00657539" w:rsidRDefault="002E07D4" w:rsidP="00256E9F">
      <w:pPr>
        <w:pStyle w:val="Sam3"/>
      </w:pPr>
      <w:bookmarkStart w:id="5744" w:name="_Toc74557763"/>
      <w:bookmarkStart w:id="5745" w:name="_Hlk38969238"/>
      <w:r>
        <w:t>040/363-xx : Redevance</w:t>
      </w:r>
      <w:r w:rsidR="00A455F7">
        <w:t xml:space="preserve"> pour la propreté des </w:t>
      </w:r>
      <w:r w:rsidR="00A455F7" w:rsidRPr="001D2BB0">
        <w:t>trottoir</w:t>
      </w:r>
      <w:r w:rsidR="004B6E6B" w:rsidRPr="001D2BB0">
        <w:t>s</w:t>
      </w:r>
      <w:bookmarkEnd w:id="5744"/>
    </w:p>
    <w:bookmarkEnd w:id="5745"/>
    <w:p w14:paraId="3A8CF2A7" w14:textId="6A33605B" w:rsidR="004F3DCC" w:rsidRPr="008D7EB7" w:rsidRDefault="004F3DCC" w:rsidP="004F3DCC">
      <w:pPr>
        <w:spacing w:before="120"/>
        <w:jc w:val="both"/>
        <w:textAlignment w:val="baseline"/>
        <w:rPr>
          <w:rFonts w:asciiTheme="minorHAnsi" w:hAnsiTheme="minorHAnsi" w:cs="Calibri Light"/>
        </w:rPr>
      </w:pPr>
      <w:r w:rsidRPr="00DA6BD2">
        <w:rPr>
          <w:rFonts w:asciiTheme="minorHAnsi" w:hAnsiTheme="minorHAnsi" w:cs="Calibri Light"/>
        </w:rPr>
        <w:t xml:space="preserve">Lorsque les services communaux sont amenés à intervenir pour </w:t>
      </w:r>
      <w:r>
        <w:rPr>
          <w:rFonts w:asciiTheme="minorHAnsi" w:hAnsiTheme="minorHAnsi" w:cs="Calibri Light"/>
        </w:rPr>
        <w:t>désherber un trottoir</w:t>
      </w:r>
      <w:r w:rsidRPr="00DA6BD2">
        <w:rPr>
          <w:rFonts w:asciiTheme="minorHAnsi" w:hAnsiTheme="minorHAnsi" w:cs="Calibri Light"/>
        </w:rPr>
        <w:t xml:space="preserve">, </w:t>
      </w:r>
      <w:r w:rsidRPr="008D7EB7">
        <w:rPr>
          <w:rFonts w:asciiTheme="minorHAnsi" w:hAnsiTheme="minorHAnsi" w:cs="Calibri Light"/>
        </w:rPr>
        <w:t>l’idéal est – en fonction de la définition de la redevance – de prévoir</w:t>
      </w:r>
      <w:r w:rsidRPr="001D2BB0">
        <w:rPr>
          <w:rFonts w:asciiTheme="minorHAnsi" w:hAnsiTheme="minorHAnsi" w:cs="Calibri Light"/>
        </w:rPr>
        <w:t xml:space="preserve"> un prélèvement couvrant les frais réellement engagés par la commune. </w:t>
      </w:r>
      <w:r w:rsidRPr="008D7EB7">
        <w:rPr>
          <w:rFonts w:asciiTheme="minorHAnsi" w:hAnsiTheme="minorHAnsi" w:cs="Calibri Light"/>
        </w:rPr>
        <w:t>Pour ce faire, on peut agir de la manière suivante :</w:t>
      </w:r>
    </w:p>
    <w:p w14:paraId="4C45B4C7" w14:textId="77777777" w:rsidR="004F3DCC" w:rsidRPr="00D24E78" w:rsidRDefault="004F3DCC" w:rsidP="004F3DCC">
      <w:pPr>
        <w:spacing w:before="120"/>
        <w:jc w:val="both"/>
        <w:textAlignment w:val="baseline"/>
        <w:rPr>
          <w:rFonts w:asciiTheme="minorHAnsi" w:hAnsiTheme="minorHAnsi" w:cs="Calibri Light"/>
          <w:color w:val="0000FF"/>
        </w:rPr>
      </w:pPr>
    </w:p>
    <w:tbl>
      <w:tblPr>
        <w:tblW w:w="8961" w:type="dxa"/>
        <w:tblCellMar>
          <w:left w:w="0" w:type="dxa"/>
          <w:right w:w="0" w:type="dxa"/>
        </w:tblCellMar>
        <w:tblLook w:val="04A0" w:firstRow="1" w:lastRow="0" w:firstColumn="1" w:lastColumn="0" w:noHBand="0" w:noVBand="1"/>
      </w:tblPr>
      <w:tblGrid>
        <w:gridCol w:w="2242"/>
        <w:gridCol w:w="2239"/>
        <w:gridCol w:w="2241"/>
        <w:gridCol w:w="2239"/>
      </w:tblGrid>
      <w:tr w:rsidR="004F3DCC" w:rsidRPr="00B05546" w14:paraId="1E72E557" w14:textId="77777777" w:rsidTr="00900C39">
        <w:trPr>
          <w:trHeight w:val="353"/>
        </w:trPr>
        <w:tc>
          <w:tcPr>
            <w:tcW w:w="67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351468" w14:textId="77777777" w:rsidR="004F3DCC" w:rsidRPr="00B05546"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5C92A6" w14:textId="77777777" w:rsidR="004F3DCC" w:rsidRPr="00B05546" w:rsidRDefault="004F3DCC" w:rsidP="00B05546">
            <w:pPr>
              <w:jc w:val="center"/>
              <w:textAlignment w:val="baseline"/>
              <w:rPr>
                <w:rFonts w:asciiTheme="minorHAnsi" w:hAnsiTheme="minorHAnsi" w:cs="Calibri Light"/>
                <w:sz w:val="20"/>
                <w:szCs w:val="20"/>
              </w:rPr>
            </w:pPr>
            <w:r w:rsidRPr="00B05546">
              <w:rPr>
                <w:rFonts w:asciiTheme="minorHAnsi" w:hAnsiTheme="minorHAnsi" w:cs="Calibri Light"/>
                <w:sz w:val="20"/>
                <w:szCs w:val="20"/>
              </w:rPr>
              <w:t>Coût</w:t>
            </w:r>
          </w:p>
        </w:tc>
      </w:tr>
      <w:tr w:rsidR="004F3DCC" w:rsidRPr="00B05546" w14:paraId="62042D8C" w14:textId="77777777" w:rsidTr="00900C39">
        <w:trPr>
          <w:trHeight w:val="598"/>
        </w:trPr>
        <w:tc>
          <w:tcPr>
            <w:tcW w:w="2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4F7F9" w14:textId="77777777" w:rsidR="004F3DCC" w:rsidRPr="00B05546" w:rsidRDefault="004F3DCC" w:rsidP="00B05546">
            <w:pPr>
              <w:ind w:left="360"/>
              <w:jc w:val="both"/>
              <w:textAlignment w:val="baseline"/>
              <w:rPr>
                <w:rFonts w:asciiTheme="minorHAnsi" w:hAnsiTheme="minorHAnsi" w:cs="Calibri Light"/>
                <w:sz w:val="20"/>
                <w:szCs w:val="20"/>
              </w:rPr>
            </w:pPr>
            <w:r w:rsidRPr="00B05546">
              <w:rPr>
                <w:rFonts w:asciiTheme="minorHAnsi" w:hAnsiTheme="minorHAnsi" w:cs="Calibri Light"/>
                <w:sz w:val="20"/>
                <w:szCs w:val="20"/>
              </w:rPr>
              <w:t>Intervention de l’ouvrier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9DC3A" w14:textId="77777777"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Nombre d’heures prestées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295EF" w14:textId="77777777"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Coût horaire</w:t>
            </w:r>
          </w:p>
        </w:tc>
        <w:tc>
          <w:tcPr>
            <w:tcW w:w="22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36FEA4C7"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506F7BAF" w14:textId="77777777" w:rsidTr="00900C39">
        <w:trPr>
          <w:trHeight w:val="381"/>
        </w:trPr>
        <w:tc>
          <w:tcPr>
            <w:tcW w:w="0" w:type="auto"/>
            <w:vMerge/>
            <w:tcBorders>
              <w:top w:val="nil"/>
              <w:left w:val="single" w:sz="8" w:space="0" w:color="auto"/>
              <w:bottom w:val="single" w:sz="8" w:space="0" w:color="auto"/>
              <w:right w:val="single" w:sz="8" w:space="0" w:color="auto"/>
            </w:tcBorders>
            <w:vAlign w:val="center"/>
            <w:hideMark/>
          </w:tcPr>
          <w:p w14:paraId="55544A18" w14:textId="77777777" w:rsidR="004F3DCC" w:rsidRPr="00B05546"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DAB6CB0" w14:textId="77777777" w:rsidR="004F3DCC" w:rsidRPr="00B05546" w:rsidRDefault="004F3DCC" w:rsidP="00B05546">
            <w:pPr>
              <w:jc w:val="both"/>
              <w:textAlignment w:val="baseline"/>
              <w:rPr>
                <w:rFonts w:asciiTheme="minorHAnsi" w:hAnsiTheme="minorHAnsi" w:cs="Calibri Light"/>
                <w:sz w:val="20"/>
                <w:szCs w:val="20"/>
              </w:rPr>
            </w:pPr>
          </w:p>
        </w:tc>
        <w:tc>
          <w:tcPr>
            <w:tcW w:w="2240"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547559FA" w14:textId="77777777" w:rsidR="004F3DCC" w:rsidRPr="00B05546" w:rsidRDefault="004F3DCC"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3509B4F2"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78A72BF1" w14:textId="77777777" w:rsidTr="00900C39">
        <w:trPr>
          <w:trHeight w:val="353"/>
        </w:trPr>
        <w:tc>
          <w:tcPr>
            <w:tcW w:w="67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8C542" w14:textId="77777777" w:rsidR="004F3DCC" w:rsidRPr="00B05546" w:rsidRDefault="004F3DCC" w:rsidP="00B05546">
            <w:pPr>
              <w:ind w:left="360"/>
              <w:jc w:val="both"/>
              <w:textAlignment w:val="baseline"/>
              <w:rPr>
                <w:rFonts w:asciiTheme="minorHAnsi" w:hAnsiTheme="minorHAnsi" w:cs="Calibri Light"/>
                <w:sz w:val="20"/>
                <w:szCs w:val="20"/>
              </w:rPr>
            </w:pPr>
            <w:r w:rsidRPr="00B05546">
              <w:rPr>
                <w:rFonts w:asciiTheme="minorHAnsi" w:hAnsiTheme="minorHAnsi" w:cs="Calibri Light"/>
                <w:sz w:val="20"/>
                <w:szCs w:val="20"/>
              </w:rPr>
              <w:t>Intervention d’une camionnette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E46943"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64DD77DF" w14:textId="77777777" w:rsidTr="00900C39">
        <w:trPr>
          <w:trHeight w:val="598"/>
        </w:trPr>
        <w:tc>
          <w:tcPr>
            <w:tcW w:w="2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D6490" w14:textId="77777777" w:rsidR="004F3DCC" w:rsidRPr="00B05546" w:rsidRDefault="004F3DCC" w:rsidP="00B05546">
            <w:pPr>
              <w:ind w:left="360"/>
              <w:jc w:val="both"/>
              <w:textAlignment w:val="baseline"/>
              <w:rPr>
                <w:rFonts w:asciiTheme="minorHAnsi" w:hAnsiTheme="minorHAnsi" w:cs="Calibri Light"/>
                <w:sz w:val="20"/>
                <w:szCs w:val="20"/>
              </w:rPr>
            </w:pPr>
            <w:r w:rsidRPr="00B05546">
              <w:rPr>
                <w:rFonts w:asciiTheme="minorHAnsi" w:hAnsiTheme="minorHAnsi" w:cs="Calibri Light"/>
                <w:sz w:val="20"/>
                <w:szCs w:val="20"/>
              </w:rPr>
              <w:t>Frais de kilomètre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7BFC0" w14:textId="77777777"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Nombre de kilomètres parcourus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27FC" w14:textId="77777777"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Coût par kilomètres parcourus</w:t>
            </w:r>
          </w:p>
        </w:tc>
        <w:tc>
          <w:tcPr>
            <w:tcW w:w="22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ECE8BFE"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530FC4E0" w14:textId="77777777" w:rsidTr="00900C39">
        <w:trPr>
          <w:trHeight w:val="367"/>
        </w:trPr>
        <w:tc>
          <w:tcPr>
            <w:tcW w:w="0" w:type="auto"/>
            <w:vMerge/>
            <w:tcBorders>
              <w:top w:val="nil"/>
              <w:left w:val="single" w:sz="8" w:space="0" w:color="auto"/>
              <w:bottom w:val="single" w:sz="8" w:space="0" w:color="auto"/>
              <w:right w:val="single" w:sz="8" w:space="0" w:color="auto"/>
            </w:tcBorders>
            <w:vAlign w:val="center"/>
            <w:hideMark/>
          </w:tcPr>
          <w:p w14:paraId="1F4CA132" w14:textId="77777777" w:rsidR="004F3DCC" w:rsidRPr="00B05546"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59D0C651" w14:textId="77777777" w:rsidR="004F3DCC" w:rsidRPr="00B05546" w:rsidRDefault="004F3DCC" w:rsidP="00B05546">
            <w:pPr>
              <w:jc w:val="both"/>
              <w:textAlignment w:val="baseline"/>
              <w:rPr>
                <w:rFonts w:asciiTheme="minorHAnsi" w:hAnsiTheme="minorHAnsi" w:cs="Calibri Light"/>
                <w:sz w:val="20"/>
                <w:szCs w:val="20"/>
              </w:rPr>
            </w:pPr>
          </w:p>
        </w:tc>
        <w:tc>
          <w:tcPr>
            <w:tcW w:w="2240"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3954F262" w14:textId="77777777" w:rsidR="004F3DCC" w:rsidRPr="00B05546" w:rsidRDefault="004F3DCC"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0AE37518"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2355818D" w14:textId="77777777" w:rsidTr="00900C39">
        <w:trPr>
          <w:trHeight w:val="353"/>
        </w:trPr>
        <w:tc>
          <w:tcPr>
            <w:tcW w:w="2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0B732" w14:textId="77777777" w:rsidR="004F3DCC" w:rsidRPr="00B05546" w:rsidRDefault="004F3DCC" w:rsidP="00B05546">
            <w:pPr>
              <w:ind w:left="360"/>
              <w:jc w:val="both"/>
              <w:textAlignment w:val="baseline"/>
              <w:rPr>
                <w:rFonts w:asciiTheme="minorHAnsi" w:hAnsiTheme="minorHAnsi" w:cs="Calibri Light"/>
                <w:sz w:val="20"/>
                <w:szCs w:val="20"/>
              </w:rPr>
            </w:pPr>
            <w:r w:rsidRPr="00B05546">
              <w:rPr>
                <w:rFonts w:asciiTheme="minorHAnsi" w:hAnsiTheme="minorHAnsi" w:cs="Calibri Light"/>
                <w:sz w:val="20"/>
                <w:szCs w:val="20"/>
              </w:rPr>
              <w:t>Frais de décharge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0A944" w14:textId="186D17C4"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Nombre de kilos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A8712" w14:textId="7AACF183"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Coût par kilos</w:t>
            </w:r>
          </w:p>
        </w:tc>
        <w:tc>
          <w:tcPr>
            <w:tcW w:w="22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B4C90A2"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7D6612D0" w14:textId="77777777" w:rsidTr="00900C39">
        <w:trPr>
          <w:trHeight w:val="268"/>
        </w:trPr>
        <w:tc>
          <w:tcPr>
            <w:tcW w:w="0" w:type="auto"/>
            <w:vMerge/>
            <w:tcBorders>
              <w:top w:val="nil"/>
              <w:left w:val="single" w:sz="8" w:space="0" w:color="auto"/>
              <w:bottom w:val="single" w:sz="8" w:space="0" w:color="auto"/>
              <w:right w:val="single" w:sz="8" w:space="0" w:color="auto"/>
            </w:tcBorders>
            <w:vAlign w:val="center"/>
            <w:hideMark/>
          </w:tcPr>
          <w:p w14:paraId="2257CAE0" w14:textId="77777777" w:rsidR="004F3DCC" w:rsidRPr="00B05546"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D0EC640" w14:textId="77777777" w:rsidR="004F3DCC" w:rsidRPr="00B05546" w:rsidRDefault="004F3DCC" w:rsidP="00B05546">
            <w:pPr>
              <w:jc w:val="both"/>
              <w:textAlignment w:val="baseline"/>
              <w:rPr>
                <w:rFonts w:asciiTheme="minorHAnsi" w:hAnsiTheme="minorHAnsi" w:cs="Calibri Light"/>
                <w:sz w:val="20"/>
                <w:szCs w:val="20"/>
              </w:rPr>
            </w:pPr>
          </w:p>
        </w:tc>
        <w:tc>
          <w:tcPr>
            <w:tcW w:w="2240"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5AD834AE" w14:textId="77777777" w:rsidR="004F3DCC" w:rsidRPr="00B05546" w:rsidRDefault="004F3DCC"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3369D03A" w14:textId="77777777" w:rsidR="004F3DCC" w:rsidRPr="00B05546" w:rsidRDefault="004F3DCC" w:rsidP="00B05546">
            <w:pPr>
              <w:jc w:val="both"/>
              <w:textAlignment w:val="baseline"/>
              <w:rPr>
                <w:rFonts w:asciiTheme="minorHAnsi" w:hAnsiTheme="minorHAnsi" w:cs="Calibri Light"/>
                <w:sz w:val="20"/>
                <w:szCs w:val="20"/>
              </w:rPr>
            </w:pPr>
          </w:p>
        </w:tc>
      </w:tr>
      <w:tr w:rsidR="004F3DCC" w:rsidRPr="00B05546" w14:paraId="4410B3FE" w14:textId="77777777" w:rsidTr="00900C39">
        <w:trPr>
          <w:trHeight w:val="132"/>
        </w:trPr>
        <w:tc>
          <w:tcPr>
            <w:tcW w:w="67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CBC48" w14:textId="77777777" w:rsidR="004F3DCC" w:rsidRPr="00B05546" w:rsidRDefault="004F3DCC" w:rsidP="00B05546">
            <w:pPr>
              <w:jc w:val="both"/>
              <w:textAlignment w:val="baseline"/>
              <w:rPr>
                <w:rFonts w:asciiTheme="minorHAnsi" w:hAnsiTheme="minorHAnsi" w:cs="Calibri Light"/>
                <w:sz w:val="20"/>
                <w:szCs w:val="20"/>
              </w:rPr>
            </w:pPr>
            <w:r w:rsidRPr="00B05546">
              <w:rPr>
                <w:rFonts w:asciiTheme="minorHAnsi" w:hAnsiTheme="minorHAnsi" w:cs="Calibri Light"/>
                <w:sz w:val="20"/>
                <w:szCs w:val="20"/>
              </w:rPr>
              <w:t>Montant de la redevance</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006C6" w14:textId="77777777" w:rsidR="004F3DCC" w:rsidRPr="00B05546" w:rsidRDefault="004F3DCC" w:rsidP="00B05546">
            <w:pPr>
              <w:jc w:val="both"/>
              <w:textAlignment w:val="baseline"/>
              <w:rPr>
                <w:rFonts w:asciiTheme="minorHAnsi" w:hAnsiTheme="minorHAnsi" w:cs="Calibri Light"/>
                <w:sz w:val="20"/>
                <w:szCs w:val="20"/>
              </w:rPr>
            </w:pPr>
          </w:p>
        </w:tc>
      </w:tr>
    </w:tbl>
    <w:p w14:paraId="6777BE55" w14:textId="714EFC5D" w:rsidR="004F3DCC" w:rsidRPr="00E217C8" w:rsidRDefault="004F3DCC" w:rsidP="004F3DCC">
      <w:pPr>
        <w:spacing w:before="120"/>
        <w:jc w:val="both"/>
        <w:textAlignment w:val="baseline"/>
        <w:rPr>
          <w:rFonts w:asciiTheme="minorHAnsi" w:hAnsiTheme="minorHAnsi" w:cs="Calibri Light"/>
          <w:color w:val="0000FF"/>
        </w:rPr>
      </w:pPr>
      <w:r w:rsidRPr="008D7EB7">
        <w:rPr>
          <w:rFonts w:asciiTheme="minorHAnsi" w:hAnsiTheme="minorHAnsi" w:cs="Calibri Light"/>
        </w:rPr>
        <w:lastRenderedPageBreak/>
        <w:t xml:space="preserve">Afin d’éviter une charge administrative importante pour la commune, il est possible, de prévoir, d’une part un taux forfaitaire de maximum </w:t>
      </w:r>
      <w:r w:rsidR="000D441C" w:rsidRPr="008D7EB7">
        <w:rPr>
          <w:rFonts w:asciiTheme="minorHAnsi" w:hAnsiTheme="minorHAnsi" w:cs="Calibri Light"/>
          <w:b/>
          <w:bCs/>
        </w:rPr>
        <w:t>30</w:t>
      </w:r>
      <w:r w:rsidR="001D2BB0" w:rsidRPr="008D7EB7">
        <w:rPr>
          <w:rFonts w:asciiTheme="minorHAnsi" w:hAnsiTheme="minorHAnsi" w:cs="Calibri Light"/>
          <w:b/>
          <w:bCs/>
        </w:rPr>
        <w:t>,00</w:t>
      </w:r>
      <w:r w:rsidR="000D441C" w:rsidRPr="008D7EB7">
        <w:rPr>
          <w:rFonts w:asciiTheme="minorHAnsi" w:hAnsiTheme="minorHAnsi" w:cs="Calibri Light"/>
          <w:b/>
          <w:bCs/>
        </w:rPr>
        <w:t xml:space="preserve"> </w:t>
      </w:r>
      <w:r w:rsidRPr="008D7EB7">
        <w:rPr>
          <w:rFonts w:asciiTheme="minorHAnsi" w:hAnsiTheme="minorHAnsi" w:cs="Calibri Light"/>
          <w:b/>
          <w:bCs/>
        </w:rPr>
        <w:t xml:space="preserve">euros </w:t>
      </w:r>
      <w:r w:rsidRPr="008D7EB7">
        <w:rPr>
          <w:rFonts w:asciiTheme="minorHAnsi" w:hAnsiTheme="minorHAnsi" w:cs="Calibri Light"/>
        </w:rPr>
        <w:t>par mètre carré de désherbage.</w:t>
      </w:r>
    </w:p>
    <w:p w14:paraId="1B95B1A6" w14:textId="7F43CC46" w:rsidR="004F3DCC" w:rsidRDefault="004F3DCC" w:rsidP="000D441C">
      <w:pPr>
        <w:spacing w:before="120" w:after="240"/>
        <w:jc w:val="both"/>
        <w:textAlignment w:val="baseline"/>
        <w:rPr>
          <w:rFonts w:asciiTheme="minorHAnsi" w:hAnsiTheme="minorHAnsi" w:cs="Calibri Light"/>
        </w:rPr>
      </w:pPr>
      <w:r w:rsidRPr="00DA6BD2">
        <w:rPr>
          <w:rFonts w:asciiTheme="minorHAnsi" w:hAnsiTheme="minorHAnsi" w:cs="Calibri Light"/>
        </w:rPr>
        <w:t>En outre, le règlement</w:t>
      </w:r>
      <w:r w:rsidRPr="00F14570">
        <w:rPr>
          <w:rFonts w:asciiTheme="minorHAnsi" w:hAnsiTheme="minorHAnsi" w:cs="Calibri Light"/>
          <w:color w:val="0000FF"/>
        </w:rPr>
        <w:t>-</w:t>
      </w:r>
      <w:r w:rsidRPr="00A310A8">
        <w:rPr>
          <w:rFonts w:asciiTheme="minorHAnsi" w:hAnsiTheme="minorHAnsi" w:cs="Calibri Light"/>
        </w:rPr>
        <w:t xml:space="preserve">redevance </w:t>
      </w:r>
      <w:r w:rsidRPr="00DA6BD2">
        <w:rPr>
          <w:rFonts w:asciiTheme="minorHAnsi" w:hAnsiTheme="minorHAnsi" w:cs="Calibri Light"/>
        </w:rPr>
        <w:t>p</w:t>
      </w:r>
      <w:r>
        <w:rPr>
          <w:rFonts w:asciiTheme="minorHAnsi" w:hAnsiTheme="minorHAnsi" w:cs="Calibri Light"/>
        </w:rPr>
        <w:t>eut</w:t>
      </w:r>
      <w:r w:rsidRPr="00DA6BD2">
        <w:rPr>
          <w:rFonts w:asciiTheme="minorHAnsi" w:hAnsiTheme="minorHAnsi" w:cs="Calibri Light"/>
        </w:rPr>
        <w:t xml:space="preserve"> toujours prévoir que l</w:t>
      </w:r>
      <w:r>
        <w:rPr>
          <w:rFonts w:asciiTheme="minorHAnsi" w:hAnsiTheme="minorHAnsi" w:cs="Calibri Light"/>
        </w:rPr>
        <w:t>e désherbage</w:t>
      </w:r>
      <w:r w:rsidRPr="00DA6BD2">
        <w:rPr>
          <w:rFonts w:asciiTheme="minorHAnsi" w:hAnsiTheme="minorHAnsi" w:cs="Calibri Light"/>
        </w:rPr>
        <w:t xml:space="preserve"> qui entraîne une dépense supérieure au taux forfaitaire prévu sera facturé sur base d'un décompte des frais réels. </w:t>
      </w:r>
      <w:r w:rsidR="002E4936" w:rsidRPr="00DA6BD2">
        <w:rPr>
          <w:rFonts w:asciiTheme="minorHAnsi" w:hAnsiTheme="minorHAnsi" w:cs="Calibri Light"/>
        </w:rPr>
        <w:t>À</w:t>
      </w:r>
      <w:r w:rsidRPr="00DA6BD2">
        <w:rPr>
          <w:rFonts w:asciiTheme="minorHAnsi" w:hAnsiTheme="minorHAnsi" w:cs="Calibri Light"/>
        </w:rPr>
        <w:t xml:space="preserve"> défaut de prévoir une disposition en ce sens, la commune serait dans l'impossibilité de se rémunérer correctement lors</w:t>
      </w:r>
      <w:r>
        <w:rPr>
          <w:rFonts w:asciiTheme="minorHAnsi" w:hAnsiTheme="minorHAnsi" w:cs="Calibri Light"/>
        </w:rPr>
        <w:t xml:space="preserve"> de situations très particulières à gérer par les services communaux</w:t>
      </w:r>
      <w:r w:rsidRPr="00DA6BD2">
        <w:rPr>
          <w:rFonts w:asciiTheme="minorHAnsi" w:hAnsiTheme="minorHAnsi" w:cs="Calibri Light"/>
        </w:rPr>
        <w:t>.</w:t>
      </w:r>
    </w:p>
    <w:p w14:paraId="67009390" w14:textId="74591083" w:rsidR="00314F7C" w:rsidRDefault="00314F7C" w:rsidP="00256E9F">
      <w:pPr>
        <w:spacing w:before="120"/>
        <w:jc w:val="both"/>
        <w:textAlignment w:val="baseline"/>
        <w:rPr>
          <w:rFonts w:asciiTheme="minorHAnsi" w:hAnsiTheme="minorHAnsi" w:cs="Calibri Light"/>
          <w:lang w:val="fr-BE"/>
        </w:rPr>
      </w:pPr>
      <w:r w:rsidRPr="00031B09">
        <w:rPr>
          <w:rFonts w:asciiTheme="minorHAnsi" w:hAnsiTheme="minorHAnsi" w:cs="Calibri Light"/>
          <w:lang w:val="fr-BE"/>
        </w:rPr>
        <w:t>Il faut préciser que cette redevance n’est applicable que si l’ordonnance générale de police (OGP) prévoit le nettoyage et/ou l’accessibilité du trottoir, voire du bas-côté et/ou du filet d’eau (désherbage, déneigement, etc…) à la charge du riverain, dans l’hypothèse où soit le redevable requiert expressément le service, soit ne se conforme pas à l’obligation que lui impose l’OGP, auquel cas il est présumé accepter que les services communaux pallient son inaction.</w:t>
      </w:r>
    </w:p>
    <w:p w14:paraId="17DB5732" w14:textId="77777777" w:rsidR="00B05546" w:rsidRDefault="00B05546" w:rsidP="00256E9F">
      <w:pPr>
        <w:jc w:val="both"/>
        <w:textAlignment w:val="baseline"/>
        <w:rPr>
          <w:rFonts w:asciiTheme="minorHAnsi" w:hAnsiTheme="minorHAnsi" w:cs="Calibri Light"/>
        </w:rPr>
      </w:pPr>
    </w:p>
    <w:p w14:paraId="50F389C5" w14:textId="0F11A637" w:rsidR="009D393B" w:rsidRDefault="00C82157" w:rsidP="00256E9F">
      <w:pPr>
        <w:pStyle w:val="Sam3"/>
      </w:pPr>
      <w:bookmarkStart w:id="5746" w:name="_Toc74557764"/>
      <w:r>
        <w:t>040/363-48 : P</w:t>
      </w:r>
      <w:r w:rsidR="009D393B">
        <w:t>restations diverses d’hygiène publique</w:t>
      </w:r>
      <w:bookmarkEnd w:id="5746"/>
    </w:p>
    <w:p w14:paraId="29F9253C" w14:textId="5F7E2909" w:rsidR="0084076C" w:rsidRDefault="0084076C" w:rsidP="00E063FD">
      <w:r w:rsidRPr="00E063FD">
        <w:t>Taxe ou redevance.</w:t>
      </w:r>
    </w:p>
    <w:p w14:paraId="05F917AA" w14:textId="77777777" w:rsidR="006145D3" w:rsidRDefault="006145D3" w:rsidP="00E063FD"/>
    <w:p w14:paraId="5616257E" w14:textId="77777777" w:rsidR="009B153C" w:rsidRDefault="009B153C" w:rsidP="00581DAD">
      <w:pPr>
        <w:pStyle w:val="Sam2"/>
      </w:pPr>
      <w:bookmarkStart w:id="5747" w:name="_Toc40185560"/>
      <w:bookmarkStart w:id="5748" w:name="_Toc40186295"/>
      <w:bookmarkStart w:id="5749" w:name="_Toc40185561"/>
      <w:bookmarkStart w:id="5750" w:name="_Toc40186296"/>
      <w:bookmarkStart w:id="5751" w:name="_Toc516245118"/>
      <w:bookmarkStart w:id="5752" w:name="_Toc516473689"/>
      <w:bookmarkStart w:id="5753" w:name="_Toc516473999"/>
      <w:bookmarkStart w:id="5754" w:name="_Toc516474309"/>
      <w:bookmarkStart w:id="5755" w:name="_Toc516474617"/>
      <w:bookmarkStart w:id="5756" w:name="_Toc516474949"/>
      <w:bookmarkStart w:id="5757" w:name="_Toc516479006"/>
      <w:bookmarkStart w:id="5758" w:name="_Toc516479446"/>
      <w:bookmarkStart w:id="5759" w:name="_Toc516479763"/>
      <w:bookmarkStart w:id="5760" w:name="_Toc516480085"/>
      <w:bookmarkStart w:id="5761" w:name="_Toc516480399"/>
      <w:bookmarkStart w:id="5762" w:name="_Toc516480713"/>
      <w:bookmarkStart w:id="5763" w:name="_Toc516481027"/>
      <w:bookmarkStart w:id="5764" w:name="_Toc516481341"/>
      <w:bookmarkStart w:id="5765" w:name="_Toc516481655"/>
      <w:bookmarkStart w:id="5766" w:name="_Toc516481969"/>
      <w:bookmarkStart w:id="5767" w:name="_Toc516482283"/>
      <w:bookmarkStart w:id="5768" w:name="_Toc516482597"/>
      <w:bookmarkStart w:id="5769" w:name="_Toc516739799"/>
      <w:bookmarkStart w:id="5770" w:name="_Toc516751711"/>
      <w:bookmarkStart w:id="5771" w:name="_Toc516825799"/>
      <w:bookmarkStart w:id="5772" w:name="_Toc516826357"/>
      <w:bookmarkStart w:id="5773" w:name="_Toc516837677"/>
      <w:bookmarkStart w:id="5774" w:name="_Toc516838236"/>
      <w:bookmarkStart w:id="5775" w:name="_Toc516838795"/>
      <w:bookmarkStart w:id="5776" w:name="_Toc516839355"/>
      <w:bookmarkStart w:id="5777" w:name="_Toc517173451"/>
      <w:bookmarkStart w:id="5778" w:name="_Toc517175125"/>
      <w:bookmarkStart w:id="5779" w:name="_Toc517175712"/>
      <w:bookmarkStart w:id="5780" w:name="_Toc517176300"/>
      <w:bookmarkStart w:id="5781" w:name="_Toc517337625"/>
      <w:bookmarkStart w:id="5782" w:name="_Toc517360421"/>
      <w:bookmarkStart w:id="5783" w:name="_Toc516245119"/>
      <w:bookmarkStart w:id="5784" w:name="_Toc516473690"/>
      <w:bookmarkStart w:id="5785" w:name="_Toc516474000"/>
      <w:bookmarkStart w:id="5786" w:name="_Toc516474310"/>
      <w:bookmarkStart w:id="5787" w:name="_Toc516474618"/>
      <w:bookmarkStart w:id="5788" w:name="_Toc516474950"/>
      <w:bookmarkStart w:id="5789" w:name="_Toc516479007"/>
      <w:bookmarkStart w:id="5790" w:name="_Toc516479447"/>
      <w:bookmarkStart w:id="5791" w:name="_Toc516479764"/>
      <w:bookmarkStart w:id="5792" w:name="_Toc516480086"/>
      <w:bookmarkStart w:id="5793" w:name="_Toc516480400"/>
      <w:bookmarkStart w:id="5794" w:name="_Toc516480714"/>
      <w:bookmarkStart w:id="5795" w:name="_Toc516481028"/>
      <w:bookmarkStart w:id="5796" w:name="_Toc516481342"/>
      <w:bookmarkStart w:id="5797" w:name="_Toc516481656"/>
      <w:bookmarkStart w:id="5798" w:name="_Toc516481970"/>
      <w:bookmarkStart w:id="5799" w:name="_Toc516482284"/>
      <w:bookmarkStart w:id="5800" w:name="_Toc516482598"/>
      <w:bookmarkStart w:id="5801" w:name="_Toc516739800"/>
      <w:bookmarkStart w:id="5802" w:name="_Toc516751712"/>
      <w:bookmarkStart w:id="5803" w:name="_Toc516825800"/>
      <w:bookmarkStart w:id="5804" w:name="_Toc516826358"/>
      <w:bookmarkStart w:id="5805" w:name="_Toc516837678"/>
      <w:bookmarkStart w:id="5806" w:name="_Toc516838237"/>
      <w:bookmarkStart w:id="5807" w:name="_Toc516838796"/>
      <w:bookmarkStart w:id="5808" w:name="_Toc516839356"/>
      <w:bookmarkStart w:id="5809" w:name="_Toc517173452"/>
      <w:bookmarkStart w:id="5810" w:name="_Toc517175126"/>
      <w:bookmarkStart w:id="5811" w:name="_Toc517175713"/>
      <w:bookmarkStart w:id="5812" w:name="_Toc517176301"/>
      <w:bookmarkStart w:id="5813" w:name="_Toc517337626"/>
      <w:bookmarkStart w:id="5814" w:name="_Toc517360422"/>
      <w:bookmarkStart w:id="5815" w:name="_Toc516245120"/>
      <w:bookmarkStart w:id="5816" w:name="_Toc516473691"/>
      <w:bookmarkStart w:id="5817" w:name="_Toc516474001"/>
      <w:bookmarkStart w:id="5818" w:name="_Toc516474311"/>
      <w:bookmarkStart w:id="5819" w:name="_Toc516474619"/>
      <w:bookmarkStart w:id="5820" w:name="_Toc516474951"/>
      <w:bookmarkStart w:id="5821" w:name="_Toc516479008"/>
      <w:bookmarkStart w:id="5822" w:name="_Toc516479448"/>
      <w:bookmarkStart w:id="5823" w:name="_Toc516479765"/>
      <w:bookmarkStart w:id="5824" w:name="_Toc516480087"/>
      <w:bookmarkStart w:id="5825" w:name="_Toc516480401"/>
      <w:bookmarkStart w:id="5826" w:name="_Toc516480715"/>
      <w:bookmarkStart w:id="5827" w:name="_Toc516481029"/>
      <w:bookmarkStart w:id="5828" w:name="_Toc516481343"/>
      <w:bookmarkStart w:id="5829" w:name="_Toc516481657"/>
      <w:bookmarkStart w:id="5830" w:name="_Toc516481971"/>
      <w:bookmarkStart w:id="5831" w:name="_Toc516482285"/>
      <w:bookmarkStart w:id="5832" w:name="_Toc516482599"/>
      <w:bookmarkStart w:id="5833" w:name="_Toc516739801"/>
      <w:bookmarkStart w:id="5834" w:name="_Toc516751713"/>
      <w:bookmarkStart w:id="5835" w:name="_Toc516825801"/>
      <w:bookmarkStart w:id="5836" w:name="_Toc516826359"/>
      <w:bookmarkStart w:id="5837" w:name="_Toc516837679"/>
      <w:bookmarkStart w:id="5838" w:name="_Toc516838238"/>
      <w:bookmarkStart w:id="5839" w:name="_Toc516838797"/>
      <w:bookmarkStart w:id="5840" w:name="_Toc516839357"/>
      <w:bookmarkStart w:id="5841" w:name="_Toc517173453"/>
      <w:bookmarkStart w:id="5842" w:name="_Toc517175127"/>
      <w:bookmarkStart w:id="5843" w:name="_Toc517175714"/>
      <w:bookmarkStart w:id="5844" w:name="_Toc517176302"/>
      <w:bookmarkStart w:id="5845" w:name="_Toc517337627"/>
      <w:bookmarkStart w:id="5846" w:name="_Toc517360423"/>
      <w:bookmarkStart w:id="5847" w:name="_Toc516229721"/>
      <w:bookmarkStart w:id="5848" w:name="_Toc516230016"/>
      <w:bookmarkStart w:id="5849" w:name="_Toc516230311"/>
      <w:bookmarkStart w:id="5850" w:name="_Toc516230605"/>
      <w:bookmarkStart w:id="5851" w:name="_Toc516230899"/>
      <w:bookmarkStart w:id="5852" w:name="_Toc516231194"/>
      <w:bookmarkStart w:id="5853" w:name="_Toc516231489"/>
      <w:bookmarkStart w:id="5854" w:name="_Toc516231786"/>
      <w:bookmarkStart w:id="5855" w:name="_Toc516242881"/>
      <w:bookmarkStart w:id="5856" w:name="_Toc516243185"/>
      <w:bookmarkStart w:id="5857" w:name="_Toc516245121"/>
      <w:bookmarkStart w:id="5858" w:name="_Toc516473692"/>
      <w:bookmarkStart w:id="5859" w:name="_Toc516474002"/>
      <w:bookmarkStart w:id="5860" w:name="_Toc516474312"/>
      <w:bookmarkStart w:id="5861" w:name="_Toc516474620"/>
      <w:bookmarkStart w:id="5862" w:name="_Toc516474952"/>
      <w:bookmarkStart w:id="5863" w:name="_Toc516479009"/>
      <w:bookmarkStart w:id="5864" w:name="_Toc516479449"/>
      <w:bookmarkStart w:id="5865" w:name="_Toc516479766"/>
      <w:bookmarkStart w:id="5866" w:name="_Toc516480088"/>
      <w:bookmarkStart w:id="5867" w:name="_Toc516480402"/>
      <w:bookmarkStart w:id="5868" w:name="_Toc516480716"/>
      <w:bookmarkStart w:id="5869" w:name="_Toc516481030"/>
      <w:bookmarkStart w:id="5870" w:name="_Toc516481344"/>
      <w:bookmarkStart w:id="5871" w:name="_Toc516481658"/>
      <w:bookmarkStart w:id="5872" w:name="_Toc516481972"/>
      <w:bookmarkStart w:id="5873" w:name="_Toc516482286"/>
      <w:bookmarkStart w:id="5874" w:name="_Toc516482600"/>
      <w:bookmarkStart w:id="5875" w:name="_Toc516739802"/>
      <w:bookmarkStart w:id="5876" w:name="_Toc516751714"/>
      <w:bookmarkStart w:id="5877" w:name="_Toc516825802"/>
      <w:bookmarkStart w:id="5878" w:name="_Toc516826360"/>
      <w:bookmarkStart w:id="5879" w:name="_Toc516837680"/>
      <w:bookmarkStart w:id="5880" w:name="_Toc516838239"/>
      <w:bookmarkStart w:id="5881" w:name="_Toc516838798"/>
      <w:bookmarkStart w:id="5882" w:name="_Toc516839358"/>
      <w:bookmarkStart w:id="5883" w:name="_Toc517173454"/>
      <w:bookmarkStart w:id="5884" w:name="_Toc517175128"/>
      <w:bookmarkStart w:id="5885" w:name="_Toc517175715"/>
      <w:bookmarkStart w:id="5886" w:name="_Toc517176303"/>
      <w:bookmarkStart w:id="5887" w:name="_Toc517337628"/>
      <w:bookmarkStart w:id="5888" w:name="_Toc517360424"/>
      <w:bookmarkStart w:id="5889" w:name="_Toc512523781"/>
      <w:bookmarkStart w:id="5890" w:name="_Toc512525497"/>
      <w:bookmarkStart w:id="5891" w:name="_Toc515896811"/>
      <w:bookmarkStart w:id="5892" w:name="_Toc74557765"/>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r w:rsidRPr="00DA6BD2">
        <w:t>Taxes sur les entreprises industrielles, commerciales et agricoles</w:t>
      </w:r>
      <w:bookmarkEnd w:id="5889"/>
      <w:bookmarkEnd w:id="5890"/>
      <w:bookmarkEnd w:id="5891"/>
      <w:bookmarkEnd w:id="5892"/>
    </w:p>
    <w:p w14:paraId="0F0B45D0" w14:textId="3047BAC8" w:rsidR="00F57E6D" w:rsidRDefault="00F57E6D" w:rsidP="00F57E6D">
      <w:pPr>
        <w:spacing w:before="120"/>
        <w:jc w:val="both"/>
        <w:textAlignment w:val="baseline"/>
      </w:pPr>
      <w:r>
        <w:t xml:space="preserve">Il convient de rappeler qu’aucune disposition légale ou réglementaire n'interdit à un Conseil communal, lorsqu'il établit une taxe justifiée par l'état de ses finances, de la faire porter </w:t>
      </w:r>
      <w:r w:rsidR="00285C09">
        <w:t xml:space="preserve">sur les activités qu’il estime </w:t>
      </w:r>
      <w:r w:rsidR="007952CF" w:rsidRPr="001D2BB0">
        <w:t>prioritaires</w:t>
      </w:r>
      <w:r w:rsidR="007952CF">
        <w:t xml:space="preserve"> </w:t>
      </w:r>
      <w:r w:rsidR="00285C09">
        <w:t>à cet escient. Celles-ci peuvent également relever</w:t>
      </w:r>
      <w:r>
        <w:t xml:space="preserve"> des activités qu'il estime plus critiquables que d'autres ou dont il estime le développement nuisible. </w:t>
      </w:r>
    </w:p>
    <w:p w14:paraId="3E81FF40" w14:textId="356B2C8A" w:rsidR="00F57E6D" w:rsidRDefault="00285C09" w:rsidP="00F57E6D">
      <w:pPr>
        <w:spacing w:before="120"/>
        <w:jc w:val="both"/>
        <w:textAlignment w:val="baseline"/>
      </w:pPr>
      <w:bookmarkStart w:id="5893" w:name="_Hlk38550094"/>
      <w:r>
        <w:t xml:space="preserve">Par ailleurs, </w:t>
      </w:r>
      <w:r w:rsidR="00F57E6D">
        <w:t>si l'objectif principal de la taxe est principalement d'ordre budgétaire, rien ne s'oppose à ce que le Conseil communal poursuive des objectifs accessoires, non financiers, d'incitation ou de dissuasion. Cet objectif accessoire de dissuasion ne doit pas nécessairement ressortir des dispositions du règlement-taxe.</w:t>
      </w:r>
    </w:p>
    <w:p w14:paraId="1C2A070E" w14:textId="777F398C" w:rsidR="00F57E6D" w:rsidRDefault="00F57E6D" w:rsidP="00F57E6D">
      <w:pPr>
        <w:spacing w:before="120"/>
        <w:jc w:val="both"/>
        <w:textAlignment w:val="baseline"/>
      </w:pPr>
      <w:r>
        <w:t>Néanmoins, dans une telle hypothèse, le Conseil communal doit éviter d'établir des « taxes prohibitives » qui auraient pour seul objectif d'empêcher l'exercice d'une « activité licite ». Autrement dit, la taxe ne peut pas entraver au-delà du raisonnable, voire empêcher, l'installation ou le développement d’une activité sur le territoire de la commune. Comme le souligne le Conseil d’Etat, une imposition n'est excessive que lorsqu'elle a pour effet de faire disparaître l'activité qu'elle taxe.</w:t>
      </w:r>
    </w:p>
    <w:p w14:paraId="135D5E88" w14:textId="77777777" w:rsidR="00F57E6D" w:rsidRDefault="00F57E6D" w:rsidP="00F57E6D">
      <w:pPr>
        <w:spacing w:before="120"/>
        <w:jc w:val="both"/>
        <w:textAlignment w:val="baseline"/>
      </w:pPr>
      <w:r>
        <w:t>N’est pas considéré comme prohibitive, la taxe qui tient compte de la faculté contributive de l’ensemble des personnes qui y sont soumises et pour laquelle il existe un « rapport de proportionnalité » entre les moyens utilisés et le but poursuivi.</w:t>
      </w:r>
    </w:p>
    <w:p w14:paraId="000054F6" w14:textId="73E83710" w:rsidR="00F57E6D" w:rsidRDefault="00F57E6D" w:rsidP="00F57E6D">
      <w:pPr>
        <w:spacing w:before="120"/>
        <w:jc w:val="both"/>
        <w:textAlignment w:val="baseline"/>
      </w:pPr>
      <w:r>
        <w:t xml:space="preserve">A cet égard, la jurisprudence constante du Conseil d’Etat fait apparaître qu’il ne fait pas de doute qu'une taxe poursuivant un objectif de dissuasion n'est pas disproportionnée au seul motif que son montant est </w:t>
      </w:r>
      <w:r w:rsidR="001044C0">
        <w:t>important ;</w:t>
      </w:r>
      <w:r>
        <w:t xml:space="preserve"> qu'en effet, le caractère dissuasif que tend à se donner la </w:t>
      </w:r>
      <w:r w:rsidR="00063A7D">
        <w:t>taxe implique</w:t>
      </w:r>
      <w:r>
        <w:t xml:space="preserve"> nécessairement que son montant soit élevé.</w:t>
      </w:r>
    </w:p>
    <w:p w14:paraId="62944B71" w14:textId="2F70798D" w:rsidR="00F57E6D" w:rsidRDefault="00F57E6D" w:rsidP="00F57E6D">
      <w:pPr>
        <w:spacing w:before="120"/>
        <w:jc w:val="both"/>
        <w:textAlignment w:val="baseline"/>
      </w:pPr>
      <w:r>
        <w:lastRenderedPageBreak/>
        <w:t xml:space="preserve">Enfin, la taxe « dissuasive » ne peut en aucun cas violer le principe de la liberté du commerce et de l'industrie </w:t>
      </w:r>
      <w:r w:rsidRPr="001D2BB0">
        <w:t xml:space="preserve">ou </w:t>
      </w:r>
      <w:r w:rsidR="00AB510F" w:rsidRPr="001D2BB0">
        <w:t>apporter</w:t>
      </w:r>
      <w:r w:rsidR="00AB510F">
        <w:t xml:space="preserve"> </w:t>
      </w:r>
      <w:r>
        <w:t>une restriction excessive à cette liberté par rapport à ce qu'exige le maintien de l'ordre public. Inversement, cette liberté du commerce et de l’industrie n’est pas illimitée et n’est en tout cas pas de nature à entraver le pouvoir d’un Conseil communal d’établir des taxes sur les activités économiques et commerciales.</w:t>
      </w:r>
    </w:p>
    <w:p w14:paraId="5E1BD520" w14:textId="77777777" w:rsidR="00F835BE" w:rsidRDefault="00F835BE" w:rsidP="00256E9F">
      <w:pPr>
        <w:pStyle w:val="Sam3"/>
      </w:pPr>
      <w:bookmarkStart w:id="5894" w:name="_Hlk38969413"/>
      <w:bookmarkEnd w:id="5893"/>
    </w:p>
    <w:p w14:paraId="2AA9438B" w14:textId="312C8EB8" w:rsidR="009D393B" w:rsidRDefault="00C82157" w:rsidP="00256E9F">
      <w:pPr>
        <w:pStyle w:val="Sam3"/>
      </w:pPr>
      <w:bookmarkStart w:id="5895" w:name="_Toc74557766"/>
      <w:r>
        <w:t xml:space="preserve">040/364-02 : </w:t>
      </w:r>
      <w:bookmarkStart w:id="5896" w:name="_Hlk85702859"/>
      <w:r w:rsidR="002E4936" w:rsidRPr="001D2BB0">
        <w:t>Établissement</w:t>
      </w:r>
      <w:r w:rsidR="0009751D" w:rsidRPr="001D2BB0">
        <w:t xml:space="preserve"> occupant du p</w:t>
      </w:r>
      <w:r w:rsidR="009D393B" w:rsidRPr="001D2BB0">
        <w:t>ersonnel</w:t>
      </w:r>
      <w:r w:rsidR="009D393B">
        <w:t xml:space="preserve"> de bar</w:t>
      </w:r>
      <w:bookmarkEnd w:id="5895"/>
      <w:r w:rsidR="009D393B">
        <w:t xml:space="preserve"> </w:t>
      </w:r>
    </w:p>
    <w:bookmarkEnd w:id="5894"/>
    <w:bookmarkEnd w:id="5896"/>
    <w:p w14:paraId="3A90ED22" w14:textId="77777777" w:rsidR="0084076C" w:rsidRPr="00A03E6A" w:rsidRDefault="0084076C" w:rsidP="00E063FD">
      <w:r w:rsidRPr="00787482">
        <w:t>Taxe directe – Modèle disponible.</w:t>
      </w:r>
    </w:p>
    <w:p w14:paraId="0FE62A53" w14:textId="77777777" w:rsidR="00B3464F" w:rsidRPr="006B47EE" w:rsidRDefault="009B153C" w:rsidP="00B3464F">
      <w:pPr>
        <w:spacing w:before="120"/>
        <w:jc w:val="both"/>
        <w:textAlignment w:val="baseline"/>
        <w:rPr>
          <w:rFonts w:asciiTheme="minorHAnsi" w:hAnsiTheme="minorHAnsi" w:cs="Calibri Light"/>
          <w:spacing w:val="-1"/>
        </w:rPr>
      </w:pPr>
      <w:bookmarkStart w:id="5897" w:name="_Toc516229723"/>
      <w:bookmarkStart w:id="5898" w:name="_Toc516230018"/>
      <w:bookmarkStart w:id="5899" w:name="_Toc516230313"/>
      <w:bookmarkStart w:id="5900" w:name="_Toc516230607"/>
      <w:bookmarkStart w:id="5901" w:name="_Toc516230901"/>
      <w:bookmarkStart w:id="5902" w:name="_Toc516231196"/>
      <w:bookmarkStart w:id="5903" w:name="_Toc516231491"/>
      <w:bookmarkStart w:id="5904" w:name="_Toc516231788"/>
      <w:bookmarkStart w:id="5905" w:name="_Toc516242883"/>
      <w:bookmarkStart w:id="5906" w:name="_Toc516243187"/>
      <w:bookmarkEnd w:id="5897"/>
      <w:bookmarkEnd w:id="5898"/>
      <w:bookmarkEnd w:id="5899"/>
      <w:bookmarkEnd w:id="5900"/>
      <w:bookmarkEnd w:id="5901"/>
      <w:bookmarkEnd w:id="5902"/>
      <w:bookmarkEnd w:id="5903"/>
      <w:bookmarkEnd w:id="5904"/>
      <w:bookmarkEnd w:id="5905"/>
      <w:bookmarkEnd w:id="5906"/>
      <w:r w:rsidRPr="006B47EE">
        <w:rPr>
          <w:rFonts w:asciiTheme="minorHAnsi" w:hAnsiTheme="minorHAnsi" w:cs="Calibri Light"/>
          <w:spacing w:val="-1"/>
        </w:rPr>
        <w:t xml:space="preserve">Taux maximum recommandé : </w:t>
      </w:r>
      <w:r w:rsidR="000D441C" w:rsidRPr="006B47EE">
        <w:rPr>
          <w:rFonts w:asciiTheme="minorHAnsi" w:hAnsiTheme="minorHAnsi" w:cs="Calibri Light"/>
          <w:spacing w:val="-1"/>
        </w:rPr>
        <w:t>21.000</w:t>
      </w:r>
      <w:r w:rsidR="00F835BE" w:rsidRPr="006B47EE">
        <w:rPr>
          <w:rFonts w:asciiTheme="minorHAnsi" w:hAnsiTheme="minorHAnsi" w:cs="Calibri Light"/>
          <w:spacing w:val="-1"/>
        </w:rPr>
        <w:t>,00</w:t>
      </w:r>
      <w:r w:rsidR="000D441C" w:rsidRPr="006B47EE">
        <w:rPr>
          <w:rFonts w:asciiTheme="minorHAnsi" w:hAnsiTheme="minorHAnsi" w:cs="Calibri Light"/>
          <w:spacing w:val="-1"/>
        </w:rPr>
        <w:t xml:space="preserve"> </w:t>
      </w:r>
      <w:r w:rsidRPr="006B47EE">
        <w:rPr>
          <w:rFonts w:asciiTheme="minorHAnsi" w:hAnsiTheme="minorHAnsi" w:cs="Calibri Light"/>
          <w:spacing w:val="-1"/>
        </w:rPr>
        <w:t>euros</w:t>
      </w:r>
      <w:r w:rsidR="0021392E" w:rsidRPr="006B47EE">
        <w:rPr>
          <w:rFonts w:asciiTheme="minorHAnsi" w:hAnsiTheme="minorHAnsi" w:cs="Calibri Light"/>
          <w:spacing w:val="-1"/>
        </w:rPr>
        <w:t xml:space="preserve"> </w:t>
      </w:r>
      <w:r w:rsidRPr="006B47EE">
        <w:rPr>
          <w:rFonts w:asciiTheme="minorHAnsi" w:hAnsiTheme="minorHAnsi" w:cs="Calibri Light"/>
          <w:spacing w:val="-1"/>
        </w:rPr>
        <w:t>par établissement</w:t>
      </w:r>
      <w:r w:rsidR="00A055B0" w:rsidRPr="006B47EE">
        <w:rPr>
          <w:rFonts w:asciiTheme="minorHAnsi" w:hAnsiTheme="minorHAnsi" w:cs="Calibri Light"/>
          <w:spacing w:val="-1"/>
        </w:rPr>
        <w:t xml:space="preserve"> </w:t>
      </w:r>
      <w:bookmarkStart w:id="5907" w:name="_Hlk105665295"/>
      <w:bookmarkStart w:id="5908" w:name="_Hlk85703016"/>
      <w:r w:rsidR="00B3464F" w:rsidRPr="006B47EE">
        <w:rPr>
          <w:rFonts w:asciiTheme="minorHAnsi" w:hAnsiTheme="minorHAnsi" w:cs="Calibri Light"/>
          <w:spacing w:val="-1"/>
        </w:rPr>
        <w:t>à moduler selon un indice qui rend compte de l’ampleur de l’activité (par exemple la superficie, l'importance du personnel ou le chiffre d'affaires)</w:t>
      </w:r>
      <w:r w:rsidR="00B3464F" w:rsidRPr="006B47EE">
        <w:rPr>
          <w:rStyle w:val="Appelnotedebasdep"/>
          <w:rFonts w:asciiTheme="minorHAnsi" w:hAnsiTheme="minorHAnsi" w:cs="Calibri Light"/>
          <w:spacing w:val="-1"/>
        </w:rPr>
        <w:footnoteReference w:id="154"/>
      </w:r>
      <w:r w:rsidR="00B3464F" w:rsidRPr="006B47EE">
        <w:rPr>
          <w:rFonts w:asciiTheme="minorHAnsi" w:hAnsiTheme="minorHAnsi" w:cs="Calibri Light"/>
          <w:spacing w:val="-1"/>
        </w:rPr>
        <w:t>.</w:t>
      </w:r>
      <w:bookmarkEnd w:id="5907"/>
    </w:p>
    <w:bookmarkEnd w:id="5908"/>
    <w:p w14:paraId="68F4A0B6" w14:textId="77777777" w:rsidR="005B7E8F" w:rsidRPr="00A310A8" w:rsidRDefault="005B7E8F" w:rsidP="005B7E8F">
      <w:pPr>
        <w:spacing w:before="120"/>
        <w:jc w:val="both"/>
        <w:textAlignment w:val="baseline"/>
        <w:rPr>
          <w:rFonts w:asciiTheme="minorHAnsi" w:hAnsiTheme="minorHAnsi" w:cs="Calibri Light"/>
        </w:rPr>
      </w:pPr>
      <w:r w:rsidRPr="006B47EE">
        <w:rPr>
          <w:rFonts w:asciiTheme="minorHAnsi" w:hAnsiTheme="minorHAnsi" w:cs="Calibri Light"/>
        </w:rPr>
        <w:t xml:space="preserve">La taxe vise l’établissement occupant </w:t>
      </w:r>
      <w:r w:rsidRPr="00A310A8">
        <w:rPr>
          <w:rFonts w:asciiTheme="minorHAnsi" w:hAnsiTheme="minorHAnsi" w:cs="Calibri Light"/>
        </w:rPr>
        <w:t>du personnel de bar (et non le personnel de bar en tant que tel).</w:t>
      </w:r>
    </w:p>
    <w:p w14:paraId="0180B2BE" w14:textId="77777777" w:rsidR="0021392E"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 personnel de bar visé ici est toute personne, en ce compris le tenancier ou la tenancière, occupée dans un bar, qui favorise directement ou indirectement le commerce de l'exploitant, soit en consommant habituellement avec les clients, soit en provoquant la consommation de toute autre manière que par le service normal des clients ou par le seul exercice du chant ou de la danse. </w:t>
      </w:r>
    </w:p>
    <w:p w14:paraId="0BC654CA" w14:textId="4155D24E"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A l'occasion de l'examen des rapports sur la traite des êtres humains, la Commission spéciale de la Chambre des Représentants a recommandé une suppression de cette taxe. Il</w:t>
      </w:r>
      <w:r w:rsidRPr="00DA6BD2">
        <w:rPr>
          <w:rFonts w:asciiTheme="minorHAnsi" w:hAnsiTheme="minorHAnsi" w:cs="Calibri Light"/>
          <w:b/>
        </w:rPr>
        <w:t xml:space="preserve"> </w:t>
      </w:r>
      <w:r w:rsidRPr="00DA6BD2">
        <w:rPr>
          <w:rFonts w:asciiTheme="minorHAnsi" w:hAnsiTheme="minorHAnsi" w:cs="Calibri Light"/>
        </w:rPr>
        <w:t>appartient donc aux autorités locales d'apprécier l'opportunité d'une telle suppression en tenant compte des enjeux éthique, financier et sécuritaire de ce règlement.</w:t>
      </w:r>
    </w:p>
    <w:p w14:paraId="1471C56B" w14:textId="77777777" w:rsidR="0021392E" w:rsidRPr="00DA6BD2" w:rsidRDefault="0021392E" w:rsidP="00E063FD">
      <w:pPr>
        <w:spacing w:before="120"/>
        <w:jc w:val="both"/>
        <w:textAlignment w:val="baseline"/>
        <w:rPr>
          <w:rFonts w:asciiTheme="minorHAnsi" w:hAnsiTheme="minorHAnsi" w:cs="Calibri Light"/>
        </w:rPr>
      </w:pPr>
    </w:p>
    <w:p w14:paraId="52AF87B9" w14:textId="77777777" w:rsidR="0084076C" w:rsidRDefault="009B153C" w:rsidP="00256E9F">
      <w:pPr>
        <w:pStyle w:val="Sam3"/>
      </w:pPr>
      <w:bookmarkStart w:id="5910" w:name="_Toc74557767"/>
      <w:bookmarkStart w:id="5911" w:name="_Toc512525499"/>
      <w:bookmarkStart w:id="5912" w:name="_Toc515896813"/>
      <w:r w:rsidRPr="00DA6BD2">
        <w:t>040/364-03 : Force motrice</w:t>
      </w:r>
      <w:bookmarkEnd w:id="5910"/>
      <w:r w:rsidRPr="00DA6BD2">
        <w:t xml:space="preserve"> </w:t>
      </w:r>
    </w:p>
    <w:p w14:paraId="32F6A2D8" w14:textId="782A7825" w:rsidR="009B153C" w:rsidRPr="00E9189F" w:rsidRDefault="0084076C" w:rsidP="00E063FD">
      <w:r w:rsidRPr="00A03E6A">
        <w:t>T</w:t>
      </w:r>
      <w:r w:rsidR="009B153C" w:rsidRPr="003F0B7B">
        <w:t>axe directe</w:t>
      </w:r>
      <w:r w:rsidRPr="00E9189F">
        <w:t>.</w:t>
      </w:r>
      <w:bookmarkEnd w:id="5911"/>
      <w:bookmarkEnd w:id="5912"/>
    </w:p>
    <w:p w14:paraId="6CA4E9D3" w14:textId="51BD8946" w:rsidR="002A6C9F" w:rsidRPr="002A6C9F" w:rsidRDefault="0000347E" w:rsidP="002A6C9F">
      <w:pPr>
        <w:spacing w:before="120"/>
        <w:jc w:val="both"/>
        <w:textAlignment w:val="baseline"/>
        <w:rPr>
          <w:rFonts w:asciiTheme="minorHAnsi" w:hAnsiTheme="minorHAnsi" w:cs="Calibri Light"/>
        </w:rPr>
      </w:pPr>
      <w:r>
        <w:rPr>
          <w:rFonts w:asciiTheme="minorHAnsi" w:hAnsiTheme="minorHAnsi" w:cs="Calibri Light"/>
        </w:rPr>
        <w:t xml:space="preserve">Pour rappel, </w:t>
      </w:r>
      <w:r w:rsidR="002A6C9F" w:rsidRPr="002A6C9F">
        <w:rPr>
          <w:rFonts w:asciiTheme="minorHAnsi" w:hAnsiTheme="minorHAnsi" w:cs="Calibri Light"/>
        </w:rPr>
        <w:t xml:space="preserve">compte tenu des récents jugements intervenus dans le cadre des mesures fiscales liées au Plan Marshal, le Gouvernement réfléchit </w:t>
      </w:r>
      <w:r>
        <w:rPr>
          <w:rFonts w:asciiTheme="minorHAnsi" w:hAnsiTheme="minorHAnsi" w:cs="Calibri Light"/>
        </w:rPr>
        <w:t>aux modalités</w:t>
      </w:r>
      <w:r w:rsidR="002A6C9F" w:rsidRPr="002A6C9F">
        <w:rPr>
          <w:rFonts w:asciiTheme="minorHAnsi" w:hAnsiTheme="minorHAnsi" w:cs="Calibri Light"/>
        </w:rPr>
        <w:t xml:space="preserve"> </w:t>
      </w:r>
      <w:r>
        <w:rPr>
          <w:rFonts w:asciiTheme="minorHAnsi" w:hAnsiTheme="minorHAnsi" w:cs="Calibri Light"/>
        </w:rPr>
        <w:t>permettant de faire évoluer les dispositifs actuels et de trouver un point d’équilibre entre les intérêts de chacune des parties.</w:t>
      </w:r>
    </w:p>
    <w:p w14:paraId="3AD1FBC1" w14:textId="3F417B2B" w:rsidR="003D1B1D" w:rsidRPr="00DA6BD2" w:rsidRDefault="0000347E" w:rsidP="003D1B1D">
      <w:pPr>
        <w:spacing w:before="120"/>
        <w:jc w:val="both"/>
        <w:textAlignment w:val="baseline"/>
        <w:rPr>
          <w:rFonts w:asciiTheme="minorHAnsi" w:hAnsiTheme="minorHAnsi" w:cs="Calibri Light"/>
        </w:rPr>
      </w:pPr>
      <w:r>
        <w:rPr>
          <w:rFonts w:asciiTheme="minorHAnsi" w:hAnsiTheme="minorHAnsi" w:cs="Calibri Light"/>
        </w:rPr>
        <w:t>Dans l’attente, l</w:t>
      </w:r>
      <w:r w:rsidR="003D1B1D" w:rsidRPr="00DA6BD2">
        <w:rPr>
          <w:rFonts w:asciiTheme="minorHAnsi" w:hAnsiTheme="minorHAnsi" w:cs="Calibri Light"/>
        </w:rPr>
        <w:t>a taxe sur la force motrice est supprimée sur tout nouvel investissement acquis ou constitué à l'état neuf à partir du 1</w:t>
      </w:r>
      <w:r w:rsidR="003D1B1D" w:rsidRPr="00DA6BD2">
        <w:rPr>
          <w:rFonts w:asciiTheme="minorHAnsi" w:hAnsiTheme="minorHAnsi" w:cs="Calibri Light"/>
          <w:vertAlign w:val="superscript"/>
        </w:rPr>
        <w:t>er</w:t>
      </w:r>
      <w:r w:rsidR="003D1B1D" w:rsidRPr="00DA6BD2">
        <w:rPr>
          <w:rFonts w:asciiTheme="minorHAnsi" w:hAnsiTheme="minorHAnsi" w:cs="Calibri Light"/>
        </w:rPr>
        <w:t xml:space="preserve"> janvier 2006.</w:t>
      </w:r>
    </w:p>
    <w:p w14:paraId="24B3F94D" w14:textId="1A9FA3BC" w:rsidR="003D1B1D" w:rsidRPr="00DA6BD2" w:rsidRDefault="003D1B1D" w:rsidP="003D1B1D">
      <w:pPr>
        <w:spacing w:before="120"/>
        <w:jc w:val="both"/>
        <w:textAlignment w:val="baseline"/>
        <w:rPr>
          <w:rFonts w:asciiTheme="minorHAnsi" w:hAnsiTheme="minorHAnsi" w:cs="Calibri Light"/>
        </w:rPr>
      </w:pPr>
      <w:r w:rsidRPr="00DA6BD2">
        <w:rPr>
          <w:rFonts w:asciiTheme="minorHAnsi" w:hAnsiTheme="minorHAnsi" w:cs="Calibri Light"/>
        </w:rPr>
        <w:t>Dans un souci de transparence et d'information, les communes intégreront dans leur règlement-taxe sur la force motrice la disposition prévoyant la suppression de la taxe sur tout nouvel investissement acquis ou constitué à l'état neuf à partir du 1</w:t>
      </w:r>
      <w:r w:rsidRPr="00DA6BD2">
        <w:rPr>
          <w:rFonts w:asciiTheme="minorHAnsi" w:hAnsiTheme="minorHAnsi" w:cs="Calibri Light"/>
          <w:vertAlign w:val="superscript"/>
        </w:rPr>
        <w:t>er</w:t>
      </w:r>
      <w:r w:rsidRPr="00DA6BD2">
        <w:rPr>
          <w:rFonts w:asciiTheme="minorHAnsi" w:hAnsiTheme="minorHAnsi" w:cs="Calibri Light"/>
        </w:rPr>
        <w:t xml:space="preserve"> janvier 2006 et veilleront à viser le décret-programme du 23 février 2006 relatif </w:t>
      </w:r>
      <w:r>
        <w:rPr>
          <w:rFonts w:asciiTheme="minorHAnsi" w:hAnsiTheme="minorHAnsi" w:cs="Calibri Light"/>
        </w:rPr>
        <w:t>aux</w:t>
      </w:r>
      <w:r w:rsidR="001044C0">
        <w:rPr>
          <w:rFonts w:asciiTheme="minorHAnsi" w:hAnsiTheme="minorHAnsi" w:cs="Calibri Light"/>
        </w:rPr>
        <w:t xml:space="preserve"> </w:t>
      </w:r>
      <w:r w:rsidR="001044C0" w:rsidRPr="00DA6BD2">
        <w:rPr>
          <w:rFonts w:asciiTheme="minorHAnsi" w:hAnsiTheme="minorHAnsi" w:cs="Calibri Light"/>
        </w:rPr>
        <w:t>« Actions</w:t>
      </w:r>
      <w:r w:rsidRPr="00DA6BD2">
        <w:rPr>
          <w:rFonts w:asciiTheme="minorHAnsi" w:hAnsiTheme="minorHAnsi" w:cs="Calibri Light"/>
        </w:rPr>
        <w:t xml:space="preserve"> prioritaires pour l'Avenir wallon</w:t>
      </w:r>
      <w:r>
        <w:rPr>
          <w:rStyle w:val="Appelnotedebasdep"/>
          <w:rFonts w:asciiTheme="minorHAnsi" w:hAnsiTheme="minorHAnsi" w:cs="Calibri Light"/>
        </w:rPr>
        <w:footnoteReference w:id="155"/>
      </w:r>
      <w:r w:rsidRPr="00DA6BD2">
        <w:rPr>
          <w:rFonts w:asciiTheme="minorHAnsi" w:hAnsiTheme="minorHAnsi" w:cs="Calibri Light"/>
        </w:rPr>
        <w:t>».</w:t>
      </w:r>
    </w:p>
    <w:p w14:paraId="276FBED0" w14:textId="7959248E" w:rsidR="003D1B1D"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lastRenderedPageBreak/>
        <w:t xml:space="preserve">Les communes sont invitées à réduire le taux de leur taxe ou du moins à ne pas le majorer par rapport à l'exercice précédent. </w:t>
      </w:r>
      <w:r w:rsidR="0021392E" w:rsidRPr="008D7EB7">
        <w:rPr>
          <w:rFonts w:asciiTheme="minorHAnsi" w:hAnsiTheme="minorHAnsi" w:cs="Calibri Light"/>
          <w:caps/>
        </w:rPr>
        <w:t>à</w:t>
      </w:r>
      <w:r w:rsidR="0021392E" w:rsidRPr="008D7EB7" w:rsidDel="0021392E">
        <w:rPr>
          <w:rFonts w:asciiTheme="minorHAnsi" w:hAnsiTheme="minorHAnsi" w:cs="Calibri Light"/>
          <w:caps/>
        </w:rPr>
        <w:t xml:space="preserve"> </w:t>
      </w:r>
      <w:r w:rsidRPr="00DA6BD2">
        <w:rPr>
          <w:rFonts w:asciiTheme="minorHAnsi" w:hAnsiTheme="minorHAnsi" w:cs="Calibri Light"/>
        </w:rPr>
        <w:t xml:space="preserve">cet égard, l'indexation du taux ne doit pas être considérée comme une majoration de taux. </w:t>
      </w:r>
    </w:p>
    <w:p w14:paraId="04F8021D" w14:textId="60829EDA" w:rsidR="009B153C" w:rsidRPr="00DA6BD2" w:rsidRDefault="003D1B1D" w:rsidP="00E063FD">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 xml:space="preserve">e taux maximum recommandé est fixé </w:t>
      </w:r>
      <w:r w:rsidR="009B153C" w:rsidRPr="00F835BE">
        <w:rPr>
          <w:rFonts w:asciiTheme="minorHAnsi" w:hAnsiTheme="minorHAnsi" w:cs="Calibri Light"/>
        </w:rPr>
        <w:t xml:space="preserve">à </w:t>
      </w:r>
      <w:r w:rsidR="000D441C" w:rsidRPr="008D7EB7">
        <w:rPr>
          <w:rFonts w:asciiTheme="minorHAnsi" w:hAnsiTheme="minorHAnsi" w:cs="Calibri Light"/>
        </w:rPr>
        <w:t>20</w:t>
      </w:r>
      <w:r w:rsidR="00F835BE" w:rsidRPr="008D7EB7">
        <w:rPr>
          <w:rFonts w:asciiTheme="minorHAnsi" w:hAnsiTheme="minorHAnsi" w:cs="Calibri Light"/>
        </w:rPr>
        <w:t>,00</w:t>
      </w:r>
      <w:r w:rsidR="000D441C" w:rsidRPr="008D7EB7">
        <w:rPr>
          <w:rFonts w:asciiTheme="minorHAnsi" w:hAnsiTheme="minorHAnsi" w:cs="Calibri Light"/>
        </w:rPr>
        <w:t xml:space="preserve"> </w:t>
      </w:r>
      <w:r w:rsidR="009B153C" w:rsidRPr="008D7EB7">
        <w:rPr>
          <w:rFonts w:asciiTheme="minorHAnsi" w:hAnsiTheme="minorHAnsi" w:cs="Calibri Light"/>
        </w:rPr>
        <w:t>euros</w:t>
      </w:r>
      <w:r w:rsidR="009B153C" w:rsidRPr="00F835BE">
        <w:rPr>
          <w:rFonts w:asciiTheme="minorHAnsi" w:hAnsiTheme="minorHAnsi" w:cs="Calibri Light"/>
        </w:rPr>
        <w:t>/kW</w:t>
      </w:r>
      <w:r w:rsidR="009B153C" w:rsidRPr="00DA6BD2">
        <w:rPr>
          <w:rFonts w:asciiTheme="minorHAnsi" w:hAnsiTheme="minorHAnsi" w:cs="Calibri Light"/>
        </w:rPr>
        <w:t xml:space="preserve"> pour les communes qui possèdent un taux inférieur.</w:t>
      </w:r>
    </w:p>
    <w:p w14:paraId="3975D020"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Dans les établissements utilisant plusieurs moteurs, il est fait application d'un coefficient de réduction allant de 0,99 à partir du deuxième moteur à 0,71 pour 30 moteurs utilisés. A partir du 31</w:t>
      </w:r>
      <w:r w:rsidRPr="00DA6BD2">
        <w:rPr>
          <w:rFonts w:asciiTheme="minorHAnsi" w:hAnsiTheme="minorHAnsi" w:cs="Calibri Light"/>
          <w:vertAlign w:val="superscript"/>
        </w:rPr>
        <w:t xml:space="preserve">ème </w:t>
      </w:r>
      <w:r w:rsidRPr="00DA6BD2">
        <w:rPr>
          <w:rFonts w:asciiTheme="minorHAnsi" w:hAnsiTheme="minorHAnsi" w:cs="Calibri Light"/>
        </w:rPr>
        <w:t>moteur, le coefficient de réduction pour la force motrice totale reste limité à 0,70.</w:t>
      </w:r>
    </w:p>
    <w:p w14:paraId="77BE414D"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appliquer ce coefficient, il convient d'additionner les puissances recensées et de multiplier cette somme par le coefficient qui y correspond.</w:t>
      </w:r>
    </w:p>
    <w:p w14:paraId="1730A0AE" w14:textId="37D47944" w:rsidR="00263259" w:rsidRPr="008D7EB7" w:rsidRDefault="00263259" w:rsidP="00263259">
      <w:pPr>
        <w:spacing w:before="120"/>
        <w:jc w:val="both"/>
        <w:textAlignment w:val="baseline"/>
        <w:rPr>
          <w:rFonts w:asciiTheme="minorHAnsi" w:hAnsiTheme="minorHAnsi" w:cs="Calibri Light"/>
        </w:rPr>
      </w:pPr>
      <w:r w:rsidRPr="008D7EB7">
        <w:rPr>
          <w:rFonts w:asciiTheme="minorHAnsi" w:hAnsiTheme="minorHAnsi" w:cs="Calibri Light"/>
        </w:rPr>
        <w:t>Vous trouverez à cet égard de plus amples précisions ci-dessous.</w:t>
      </w:r>
    </w:p>
    <w:p w14:paraId="3F90F9B8" w14:textId="77777777" w:rsidR="00263259" w:rsidRPr="008D7EB7" w:rsidRDefault="00263259" w:rsidP="00263259">
      <w:pPr>
        <w:spacing w:before="120"/>
        <w:jc w:val="both"/>
        <w:textAlignment w:val="baseline"/>
        <w:rPr>
          <w:rFonts w:cs="Calibri Light"/>
          <w:spacing w:val="-2"/>
        </w:rPr>
      </w:pPr>
      <w:r w:rsidRPr="008D7EB7">
        <w:rPr>
          <w:rFonts w:cs="Calibri Light"/>
          <w:spacing w:val="-2"/>
        </w:rPr>
        <w:t>Je recommande aux communes de ne plus prévoir dans leurs règlements-taxes sur la force motrice une exonération pour les moteurs utilisés dans les stations de compression de gaz naturel pour actionner les compresseurs créant le régime de pression dans les conduites d'alimentation.</w:t>
      </w:r>
    </w:p>
    <w:p w14:paraId="37C8DEC3" w14:textId="7D24E99A" w:rsidR="00263259" w:rsidRPr="008D7EB7" w:rsidRDefault="0021392E" w:rsidP="00263259">
      <w:pPr>
        <w:spacing w:before="120"/>
        <w:jc w:val="both"/>
        <w:textAlignment w:val="baseline"/>
        <w:rPr>
          <w:rFonts w:cs="Calibri Light"/>
        </w:rPr>
      </w:pPr>
      <w:r w:rsidRPr="008D7EB7">
        <w:rPr>
          <w:rFonts w:cs="Calibri Light"/>
        </w:rPr>
        <w:t>L</w:t>
      </w:r>
      <w:r w:rsidR="00263259" w:rsidRPr="008D7EB7">
        <w:rPr>
          <w:rFonts w:cs="Calibri Light"/>
        </w:rPr>
        <w:t>a taxe sur la force motrice ne peut pas être appliquée aux véhicules soumis à la taxe de circulation.</w:t>
      </w:r>
    </w:p>
    <w:p w14:paraId="3016AD4B" w14:textId="77777777" w:rsidR="00263259" w:rsidRPr="008D7EB7" w:rsidRDefault="00263259" w:rsidP="00263259">
      <w:pPr>
        <w:spacing w:before="120"/>
        <w:jc w:val="both"/>
        <w:textAlignment w:val="baseline"/>
        <w:rPr>
          <w:rFonts w:cs="Calibri Light"/>
        </w:rPr>
      </w:pPr>
      <w:r w:rsidRPr="008D7EB7">
        <w:rPr>
          <w:rFonts w:cs="Calibri Light"/>
        </w:rPr>
        <w:t>Je vous rappelle que :</w:t>
      </w:r>
    </w:p>
    <w:p w14:paraId="7102D08A" w14:textId="5812D5B1" w:rsidR="00263259" w:rsidRPr="008D7EB7" w:rsidRDefault="00F835BE" w:rsidP="008D7EB7">
      <w:pPr>
        <w:pStyle w:val="Paragraphedeliste"/>
        <w:numPr>
          <w:ilvl w:val="0"/>
          <w:numId w:val="164"/>
        </w:numPr>
        <w:spacing w:before="120"/>
        <w:jc w:val="both"/>
        <w:textAlignment w:val="baseline"/>
        <w:rPr>
          <w:rFonts w:cs="Calibri Light"/>
        </w:rPr>
      </w:pPr>
      <w:proofErr w:type="gramStart"/>
      <w:r w:rsidRPr="00276F16">
        <w:rPr>
          <w:rFonts w:cs="Calibri Light"/>
        </w:rPr>
        <w:t>l</w:t>
      </w:r>
      <w:r w:rsidR="00263259" w:rsidRPr="008D7EB7">
        <w:rPr>
          <w:rFonts w:cs="Calibri Light"/>
        </w:rPr>
        <w:t>e</w:t>
      </w:r>
      <w:proofErr w:type="gramEnd"/>
      <w:r w:rsidR="00263259" w:rsidRPr="008D7EB7">
        <w:rPr>
          <w:rFonts w:cs="Calibri Light"/>
        </w:rPr>
        <w:t xml:space="preserve"> moteur qui vient en remplacement d'un autre dans une ligne existante sera exonéré si et seulement s'il est acquis ou constitué à l'état neuf ;</w:t>
      </w:r>
    </w:p>
    <w:p w14:paraId="1407241D" w14:textId="659CD7C4" w:rsidR="00263259" w:rsidRPr="008D7EB7" w:rsidRDefault="00F835BE" w:rsidP="008D7EB7">
      <w:pPr>
        <w:pStyle w:val="Paragraphedeliste"/>
        <w:numPr>
          <w:ilvl w:val="0"/>
          <w:numId w:val="164"/>
        </w:numPr>
        <w:spacing w:before="120"/>
        <w:jc w:val="both"/>
        <w:textAlignment w:val="baseline"/>
        <w:rPr>
          <w:rFonts w:cs="Calibri Light"/>
        </w:rPr>
      </w:pPr>
      <w:proofErr w:type="gramStart"/>
      <w:r w:rsidRPr="00276F16">
        <w:rPr>
          <w:rFonts w:cs="Calibri Light"/>
        </w:rPr>
        <w:t>q</w:t>
      </w:r>
      <w:r w:rsidR="00263259" w:rsidRPr="008D7EB7">
        <w:rPr>
          <w:rFonts w:cs="Calibri Light"/>
        </w:rPr>
        <w:t>uant</w:t>
      </w:r>
      <w:proofErr w:type="gramEnd"/>
      <w:r w:rsidR="00263259" w:rsidRPr="008D7EB7">
        <w:rPr>
          <w:rFonts w:cs="Calibri Light"/>
        </w:rPr>
        <w:t xml:space="preserve"> à la distinction entre un bien acquis ou un bien constitué à l'état neuf, il apparaît que l'expression « constitué à l'état neuf » vise le cas où une entreprise achète des pièces et construit elle-même le bien. La date alors à prendre en considération est la date de mise en service du bien ; </w:t>
      </w:r>
    </w:p>
    <w:p w14:paraId="71012840" w14:textId="4D0E6CB1" w:rsidR="00263259" w:rsidRPr="008D7EB7" w:rsidRDefault="00F835BE" w:rsidP="008D7EB7">
      <w:pPr>
        <w:pStyle w:val="Paragraphedeliste"/>
        <w:numPr>
          <w:ilvl w:val="0"/>
          <w:numId w:val="164"/>
        </w:numPr>
        <w:spacing w:before="120"/>
        <w:jc w:val="both"/>
        <w:textAlignment w:val="baseline"/>
        <w:rPr>
          <w:rFonts w:cs="Calibri Light"/>
        </w:rPr>
      </w:pPr>
      <w:proofErr w:type="gramStart"/>
      <w:r w:rsidRPr="00D501F5">
        <w:rPr>
          <w:rFonts w:cs="Calibri Light"/>
        </w:rPr>
        <w:t>d</w:t>
      </w:r>
      <w:r w:rsidR="00263259" w:rsidRPr="008D7EB7">
        <w:rPr>
          <w:rFonts w:cs="Calibri Light"/>
        </w:rPr>
        <w:t>ans</w:t>
      </w:r>
      <w:proofErr w:type="gramEnd"/>
      <w:r w:rsidR="00263259" w:rsidRPr="008D7EB7">
        <w:rPr>
          <w:rFonts w:cs="Calibri Light"/>
        </w:rPr>
        <w:t xml:space="preserve"> l'hypothèse de changement de nom d'une société avec ou sans changement de numéro de TVA ou de délocalisation du site de production, seuls les moteurs installés après 2006 qui étaient exonérés avant le changement peuvent continuer à bénéficier de l’exonération ; </w:t>
      </w:r>
    </w:p>
    <w:p w14:paraId="54721689" w14:textId="3D6CB11F" w:rsidR="00263259" w:rsidRPr="008D7EB7" w:rsidRDefault="00F835BE" w:rsidP="008D7EB7">
      <w:pPr>
        <w:pStyle w:val="Paragraphedeliste"/>
        <w:numPr>
          <w:ilvl w:val="0"/>
          <w:numId w:val="164"/>
        </w:numPr>
        <w:spacing w:before="120"/>
        <w:jc w:val="both"/>
        <w:textAlignment w:val="baseline"/>
        <w:rPr>
          <w:rFonts w:cs="Calibri Light"/>
        </w:rPr>
      </w:pPr>
      <w:proofErr w:type="gramStart"/>
      <w:r w:rsidRPr="00276F16">
        <w:rPr>
          <w:rFonts w:cs="Calibri Light"/>
        </w:rPr>
        <w:t>l</w:t>
      </w:r>
      <w:r w:rsidR="00263259" w:rsidRPr="008D7EB7">
        <w:rPr>
          <w:rFonts w:cs="Calibri Light"/>
        </w:rPr>
        <w:t>es</w:t>
      </w:r>
      <w:proofErr w:type="gramEnd"/>
      <w:r w:rsidR="00263259" w:rsidRPr="008D7EB7">
        <w:rPr>
          <w:rFonts w:cs="Calibri Light"/>
        </w:rPr>
        <w:t xml:space="preserve"> moteurs reconditionnés c'est-à-dire rembobinés ou remis à l'état neuf ne doivent pas être considérés comme des investissements nouveaux ;</w:t>
      </w:r>
    </w:p>
    <w:p w14:paraId="37D76634" w14:textId="0DD3BE8B" w:rsidR="00263259" w:rsidRPr="008D7EB7" w:rsidRDefault="00F835BE" w:rsidP="008D7EB7">
      <w:pPr>
        <w:pStyle w:val="Paragraphedeliste"/>
        <w:numPr>
          <w:ilvl w:val="0"/>
          <w:numId w:val="164"/>
        </w:numPr>
        <w:spacing w:before="120"/>
        <w:jc w:val="both"/>
        <w:textAlignment w:val="baseline"/>
        <w:rPr>
          <w:rFonts w:cs="Calibri Light"/>
        </w:rPr>
      </w:pPr>
      <w:proofErr w:type="gramStart"/>
      <w:r w:rsidRPr="00276F16">
        <w:rPr>
          <w:rFonts w:cs="Calibri Light"/>
        </w:rPr>
        <w:t>l</w:t>
      </w:r>
      <w:r w:rsidR="00263259" w:rsidRPr="008D7EB7">
        <w:rPr>
          <w:rFonts w:cs="Calibri Light"/>
        </w:rPr>
        <w:t>a</w:t>
      </w:r>
      <w:proofErr w:type="gramEnd"/>
      <w:r w:rsidR="00263259" w:rsidRPr="008D7EB7">
        <w:rPr>
          <w:rFonts w:cs="Calibri Light"/>
        </w:rPr>
        <w:t xml:space="preserve"> date à prendre en considération pour octroyer ou non l'exonération est la date d'acquisition du moteur et la date de sa mise en service si c'est un investissement constitué ;</w:t>
      </w:r>
    </w:p>
    <w:p w14:paraId="5D78A9F6" w14:textId="0F418A87" w:rsidR="00263259" w:rsidRPr="008D7EB7" w:rsidRDefault="00F835BE" w:rsidP="008D7EB7">
      <w:pPr>
        <w:pStyle w:val="Paragraphedeliste"/>
        <w:numPr>
          <w:ilvl w:val="0"/>
          <w:numId w:val="164"/>
        </w:numPr>
        <w:spacing w:before="120"/>
        <w:jc w:val="both"/>
        <w:textAlignment w:val="baseline"/>
        <w:rPr>
          <w:rFonts w:cs="Calibri Light"/>
          <w:spacing w:val="-1"/>
        </w:rPr>
      </w:pPr>
      <w:proofErr w:type="gramStart"/>
      <w:r w:rsidRPr="00276F16">
        <w:rPr>
          <w:rFonts w:cs="Calibri Light"/>
        </w:rPr>
        <w:t>d</w:t>
      </w:r>
      <w:r w:rsidR="00263259" w:rsidRPr="008D7EB7">
        <w:rPr>
          <w:rFonts w:cs="Calibri Light"/>
        </w:rPr>
        <w:t>ans</w:t>
      </w:r>
      <w:proofErr w:type="gramEnd"/>
      <w:r w:rsidR="00263259" w:rsidRPr="008D7EB7">
        <w:rPr>
          <w:rFonts w:cs="Calibri Light"/>
        </w:rPr>
        <w:t xml:space="preserve"> le cas du leasing, il convient de faire la distinction entre le contrat de leasing qui prévoit exclusivement l'achat du bien à l'issue de sa période et le contrat qui offre la possibilité, soit d'acquérir le bien, soit de lever l'option d'achat. En effet, seul le contrat de leasing stipulant exclusivement l'achat du bien à l'issue de sa période peut bénéficier dès le début de celle-ci de l'exonération de la taxe sur la force motrice. </w:t>
      </w:r>
      <w:proofErr w:type="gramStart"/>
      <w:r w:rsidR="00263259" w:rsidRPr="008D7EB7">
        <w:rPr>
          <w:rFonts w:cs="Calibri Light"/>
        </w:rPr>
        <w:t>Par contre</w:t>
      </w:r>
      <w:proofErr w:type="gramEnd"/>
      <w:r w:rsidR="00263259" w:rsidRPr="008D7EB7">
        <w:rPr>
          <w:rFonts w:cs="Calibri Light"/>
        </w:rPr>
        <w:t xml:space="preserve">, dans le cas contraire, la propriété du bien n'étant pas rendue obligatoire par le contrat de leasing, le moteur ne peut faire l'objet d'une </w:t>
      </w:r>
      <w:r w:rsidR="00263259" w:rsidRPr="008D7EB7">
        <w:rPr>
          <w:rFonts w:cs="Calibri Light"/>
          <w:spacing w:val="-1"/>
        </w:rPr>
        <w:t>exonération de ladite taxe.</w:t>
      </w:r>
    </w:p>
    <w:p w14:paraId="791D30BC" w14:textId="77777777" w:rsidR="00263259" w:rsidRPr="008D7EB7" w:rsidRDefault="00263259" w:rsidP="00263259">
      <w:pPr>
        <w:spacing w:before="120"/>
        <w:ind w:left="426"/>
        <w:jc w:val="both"/>
        <w:textAlignment w:val="baseline"/>
        <w:rPr>
          <w:rFonts w:cs="Calibri Light"/>
        </w:rPr>
      </w:pPr>
      <w:r w:rsidRPr="008D7EB7">
        <w:rPr>
          <w:rFonts w:cs="Calibri Light"/>
        </w:rPr>
        <w:t xml:space="preserve">Par ailleurs, dans le cas de figure où le contrat offre la possibilité de lever l'option d'achat et que l'entreprise prend la décision d'acquérir le bien en cours de contrat, il convient </w:t>
      </w:r>
      <w:r w:rsidRPr="008D7EB7">
        <w:rPr>
          <w:rFonts w:cs="Calibri Light"/>
        </w:rPr>
        <w:lastRenderedPageBreak/>
        <w:t>pour l'exercice d'imposition postérieur d'exonérer l'investissement de la taxe sur la force motrice.</w:t>
      </w:r>
    </w:p>
    <w:p w14:paraId="6FE38B7D" w14:textId="5094B80E" w:rsidR="00263259" w:rsidRPr="008D7EB7" w:rsidRDefault="00263259" w:rsidP="00263259">
      <w:pPr>
        <w:spacing w:before="120"/>
        <w:ind w:left="426"/>
        <w:jc w:val="both"/>
        <w:textAlignment w:val="baseline"/>
        <w:rPr>
          <w:rFonts w:cs="Calibri Light"/>
        </w:rPr>
      </w:pPr>
      <w:r w:rsidRPr="008D7EB7">
        <w:rPr>
          <w:rFonts w:cs="Calibri Light"/>
        </w:rPr>
        <w:t>Il apparaît que le point 8° alinéa 1er de la circulaire du 24 janvier 2007 pose un problème de compatibilité avec la législation relative au contrat de leasing (location-financement). La distinction faite dans cette circulaire doit être supprimée au bénéfice de la distinction entre le contrat de location-financement dont la clause d'option d'achat est égale ou inférieure à 15 % du montant HTVA de l'investissement (qui peut bénéficier de l'exonération de la taxe sur la force motrice) et celui dont la clause d'option d'achat est supérieur</w:t>
      </w:r>
      <w:r w:rsidR="00BF4C17">
        <w:rPr>
          <w:rFonts w:cs="Calibri Light"/>
        </w:rPr>
        <w:t>e</w:t>
      </w:r>
      <w:r w:rsidRPr="008D7EB7">
        <w:rPr>
          <w:rFonts w:cs="Calibri Light"/>
        </w:rPr>
        <w:t xml:space="preserve"> à 15 % du montant HTVA de l'investissement (qui NE peut PAS bénéficier de l'exonération de la taxe sur la force motrice).</w:t>
      </w:r>
    </w:p>
    <w:p w14:paraId="076B2988" w14:textId="2F3DD369" w:rsidR="00263259" w:rsidRPr="008D7EB7" w:rsidRDefault="00263259" w:rsidP="00263259">
      <w:pPr>
        <w:spacing w:before="120"/>
        <w:ind w:left="426"/>
        <w:jc w:val="both"/>
        <w:textAlignment w:val="baseline"/>
        <w:rPr>
          <w:rFonts w:cs="Calibri Light"/>
        </w:rPr>
      </w:pPr>
      <w:r w:rsidRPr="008D7EB7">
        <w:rPr>
          <w:rFonts w:cs="Calibri Light"/>
        </w:rPr>
        <w:t>En effet, dans la première hypothèse (égale ou inférieure à 15 %), le législateur comptable considère que le preneur de leasing a bien, dans ce cas, l'intention de lever l'option d'achat au terme du contrat. Il part du principe que si le prix de levée de l'option représente une quotité supérieure à 15% du montant HTVA de l'investissement, le donneur n'aura pas effectivement transféré au preneur l'essentiel des risques afférents au bien et que l'opération ne s'apparente dès lors pas à une opération de crédit</w:t>
      </w:r>
      <w:r w:rsidR="00BF4C17">
        <w:rPr>
          <w:rStyle w:val="Appelnotedebasdep"/>
          <w:rFonts w:cs="Calibri Light"/>
        </w:rPr>
        <w:footnoteReference w:id="156"/>
      </w:r>
      <w:proofErr w:type="gramStart"/>
      <w:r w:rsidRPr="008D7EB7">
        <w:rPr>
          <w:rFonts w:cs="Calibri Light"/>
        </w:rPr>
        <w:t>.»</w:t>
      </w:r>
      <w:proofErr w:type="gramEnd"/>
    </w:p>
    <w:p w14:paraId="3842D48A" w14:textId="77777777" w:rsidR="00434194" w:rsidRPr="00F915F6" w:rsidRDefault="00434194" w:rsidP="00E063FD">
      <w:pPr>
        <w:spacing w:before="120"/>
        <w:jc w:val="both"/>
        <w:textAlignment w:val="baseline"/>
        <w:rPr>
          <w:rFonts w:asciiTheme="minorHAnsi" w:hAnsiTheme="minorHAnsi" w:cs="Calibri Light"/>
          <w:sz w:val="6"/>
          <w:szCs w:val="6"/>
        </w:rPr>
      </w:pPr>
    </w:p>
    <w:p w14:paraId="0DE3BD09" w14:textId="77777777" w:rsidR="0084076C" w:rsidRDefault="009B153C" w:rsidP="00256E9F">
      <w:pPr>
        <w:pStyle w:val="Sam3"/>
      </w:pPr>
      <w:bookmarkStart w:id="5913" w:name="_Toc516739806"/>
      <w:bookmarkStart w:id="5914" w:name="_Toc516739809"/>
      <w:bookmarkStart w:id="5915" w:name="_Toc516751718"/>
      <w:bookmarkStart w:id="5916" w:name="_Toc516825806"/>
      <w:bookmarkStart w:id="5917" w:name="_Toc516826364"/>
      <w:bookmarkStart w:id="5918" w:name="_Toc516837684"/>
      <w:bookmarkStart w:id="5919" w:name="_Toc516838243"/>
      <w:bookmarkStart w:id="5920" w:name="_Toc516838802"/>
      <w:bookmarkStart w:id="5921" w:name="_Toc516839362"/>
      <w:bookmarkStart w:id="5922" w:name="_Toc517173458"/>
      <w:bookmarkStart w:id="5923" w:name="_Toc517175132"/>
      <w:bookmarkStart w:id="5924" w:name="_Toc517175719"/>
      <w:bookmarkStart w:id="5925" w:name="_Toc517176307"/>
      <w:bookmarkStart w:id="5926" w:name="_Toc517337632"/>
      <w:bookmarkStart w:id="5927" w:name="_Toc517360428"/>
      <w:bookmarkStart w:id="5928" w:name="_Toc516739810"/>
      <w:bookmarkStart w:id="5929" w:name="_Toc516751719"/>
      <w:bookmarkStart w:id="5930" w:name="_Toc516825807"/>
      <w:bookmarkStart w:id="5931" w:name="_Toc516826365"/>
      <w:bookmarkStart w:id="5932" w:name="_Toc516837685"/>
      <w:bookmarkStart w:id="5933" w:name="_Toc516838244"/>
      <w:bookmarkStart w:id="5934" w:name="_Toc516838803"/>
      <w:bookmarkStart w:id="5935" w:name="_Toc516839363"/>
      <w:bookmarkStart w:id="5936" w:name="_Toc517173459"/>
      <w:bookmarkStart w:id="5937" w:name="_Toc517175133"/>
      <w:bookmarkStart w:id="5938" w:name="_Toc517175720"/>
      <w:bookmarkStart w:id="5939" w:name="_Toc517176308"/>
      <w:bookmarkStart w:id="5940" w:name="_Toc517337633"/>
      <w:bookmarkStart w:id="5941" w:name="_Toc517360429"/>
      <w:bookmarkStart w:id="5942" w:name="_Toc516739811"/>
      <w:bookmarkStart w:id="5943" w:name="_Toc516751720"/>
      <w:bookmarkStart w:id="5944" w:name="_Toc516825808"/>
      <w:bookmarkStart w:id="5945" w:name="_Toc516826366"/>
      <w:bookmarkStart w:id="5946" w:name="_Toc516837686"/>
      <w:bookmarkStart w:id="5947" w:name="_Toc516838245"/>
      <w:bookmarkStart w:id="5948" w:name="_Toc516838804"/>
      <w:bookmarkStart w:id="5949" w:name="_Toc516839364"/>
      <w:bookmarkStart w:id="5950" w:name="_Toc517173460"/>
      <w:bookmarkStart w:id="5951" w:name="_Toc517175134"/>
      <w:bookmarkStart w:id="5952" w:name="_Toc517175721"/>
      <w:bookmarkStart w:id="5953" w:name="_Toc517176309"/>
      <w:bookmarkStart w:id="5954" w:name="_Toc517337634"/>
      <w:bookmarkStart w:id="5955" w:name="_Toc517360430"/>
      <w:bookmarkStart w:id="5956" w:name="_Toc516739812"/>
      <w:bookmarkStart w:id="5957" w:name="_Toc516751721"/>
      <w:bookmarkStart w:id="5958" w:name="_Toc516825809"/>
      <w:bookmarkStart w:id="5959" w:name="_Toc516826367"/>
      <w:bookmarkStart w:id="5960" w:name="_Toc516837687"/>
      <w:bookmarkStart w:id="5961" w:name="_Toc516838246"/>
      <w:bookmarkStart w:id="5962" w:name="_Toc516838805"/>
      <w:bookmarkStart w:id="5963" w:name="_Toc516839365"/>
      <w:bookmarkStart w:id="5964" w:name="_Toc517173461"/>
      <w:bookmarkStart w:id="5965" w:name="_Toc517175135"/>
      <w:bookmarkStart w:id="5966" w:name="_Toc517175722"/>
      <w:bookmarkStart w:id="5967" w:name="_Toc517176310"/>
      <w:bookmarkStart w:id="5968" w:name="_Toc517337635"/>
      <w:bookmarkStart w:id="5969" w:name="_Toc517360431"/>
      <w:bookmarkStart w:id="5970" w:name="_Toc516739813"/>
      <w:bookmarkStart w:id="5971" w:name="_Toc516751722"/>
      <w:bookmarkStart w:id="5972" w:name="_Toc516825810"/>
      <w:bookmarkStart w:id="5973" w:name="_Toc516826368"/>
      <w:bookmarkStart w:id="5974" w:name="_Toc516837688"/>
      <w:bookmarkStart w:id="5975" w:name="_Toc516838247"/>
      <w:bookmarkStart w:id="5976" w:name="_Toc516838806"/>
      <w:bookmarkStart w:id="5977" w:name="_Toc516839366"/>
      <w:bookmarkStart w:id="5978" w:name="_Toc517173462"/>
      <w:bookmarkStart w:id="5979" w:name="_Toc517175136"/>
      <w:bookmarkStart w:id="5980" w:name="_Toc517175723"/>
      <w:bookmarkStart w:id="5981" w:name="_Toc517176311"/>
      <w:bookmarkStart w:id="5982" w:name="_Toc517337636"/>
      <w:bookmarkStart w:id="5983" w:name="_Toc517360432"/>
      <w:bookmarkStart w:id="5984" w:name="_Toc516739814"/>
      <w:bookmarkStart w:id="5985" w:name="_Toc516751723"/>
      <w:bookmarkStart w:id="5986" w:name="_Toc516825811"/>
      <w:bookmarkStart w:id="5987" w:name="_Toc516826369"/>
      <w:bookmarkStart w:id="5988" w:name="_Toc516837689"/>
      <w:bookmarkStart w:id="5989" w:name="_Toc516838248"/>
      <w:bookmarkStart w:id="5990" w:name="_Toc516838807"/>
      <w:bookmarkStart w:id="5991" w:name="_Toc516839367"/>
      <w:bookmarkStart w:id="5992" w:name="_Toc517173463"/>
      <w:bookmarkStart w:id="5993" w:name="_Toc517175137"/>
      <w:bookmarkStart w:id="5994" w:name="_Toc517175724"/>
      <w:bookmarkStart w:id="5995" w:name="_Toc517176312"/>
      <w:bookmarkStart w:id="5996" w:name="_Toc517337637"/>
      <w:bookmarkStart w:id="5997" w:name="_Toc517360433"/>
      <w:bookmarkStart w:id="5998" w:name="_Toc516739815"/>
      <w:bookmarkStart w:id="5999" w:name="_Toc516751724"/>
      <w:bookmarkStart w:id="6000" w:name="_Toc516825812"/>
      <w:bookmarkStart w:id="6001" w:name="_Toc516826370"/>
      <w:bookmarkStart w:id="6002" w:name="_Toc516837690"/>
      <w:bookmarkStart w:id="6003" w:name="_Toc516838249"/>
      <w:bookmarkStart w:id="6004" w:name="_Toc516838808"/>
      <w:bookmarkStart w:id="6005" w:name="_Toc516839368"/>
      <w:bookmarkStart w:id="6006" w:name="_Toc517173464"/>
      <w:bookmarkStart w:id="6007" w:name="_Toc517175138"/>
      <w:bookmarkStart w:id="6008" w:name="_Toc517175725"/>
      <w:bookmarkStart w:id="6009" w:name="_Toc517176313"/>
      <w:bookmarkStart w:id="6010" w:name="_Toc517337638"/>
      <w:bookmarkStart w:id="6011" w:name="_Toc517360434"/>
      <w:bookmarkStart w:id="6012" w:name="_Toc516739816"/>
      <w:bookmarkStart w:id="6013" w:name="_Toc516751725"/>
      <w:bookmarkStart w:id="6014" w:name="_Toc516825813"/>
      <w:bookmarkStart w:id="6015" w:name="_Toc516826371"/>
      <w:bookmarkStart w:id="6016" w:name="_Toc516837691"/>
      <w:bookmarkStart w:id="6017" w:name="_Toc516838250"/>
      <w:bookmarkStart w:id="6018" w:name="_Toc516838809"/>
      <w:bookmarkStart w:id="6019" w:name="_Toc516839369"/>
      <w:bookmarkStart w:id="6020" w:name="_Toc517173465"/>
      <w:bookmarkStart w:id="6021" w:name="_Toc517175139"/>
      <w:bookmarkStart w:id="6022" w:name="_Toc517175726"/>
      <w:bookmarkStart w:id="6023" w:name="_Toc517176314"/>
      <w:bookmarkStart w:id="6024" w:name="_Toc517337639"/>
      <w:bookmarkStart w:id="6025" w:name="_Toc517360435"/>
      <w:bookmarkStart w:id="6026" w:name="_Toc516739817"/>
      <w:bookmarkStart w:id="6027" w:name="_Toc516751726"/>
      <w:bookmarkStart w:id="6028" w:name="_Toc516825814"/>
      <w:bookmarkStart w:id="6029" w:name="_Toc516826372"/>
      <w:bookmarkStart w:id="6030" w:name="_Toc516837692"/>
      <w:bookmarkStart w:id="6031" w:name="_Toc516838251"/>
      <w:bookmarkStart w:id="6032" w:name="_Toc516838810"/>
      <w:bookmarkStart w:id="6033" w:name="_Toc516839370"/>
      <w:bookmarkStart w:id="6034" w:name="_Toc517173466"/>
      <w:bookmarkStart w:id="6035" w:name="_Toc517175140"/>
      <w:bookmarkStart w:id="6036" w:name="_Toc517175727"/>
      <w:bookmarkStart w:id="6037" w:name="_Toc517176315"/>
      <w:bookmarkStart w:id="6038" w:name="_Toc517337640"/>
      <w:bookmarkStart w:id="6039" w:name="_Toc517360436"/>
      <w:bookmarkStart w:id="6040" w:name="_Toc516739818"/>
      <w:bookmarkStart w:id="6041" w:name="_Toc516751727"/>
      <w:bookmarkStart w:id="6042" w:name="_Toc516825815"/>
      <w:bookmarkStart w:id="6043" w:name="_Toc516826373"/>
      <w:bookmarkStart w:id="6044" w:name="_Toc516837693"/>
      <w:bookmarkStart w:id="6045" w:name="_Toc516838252"/>
      <w:bookmarkStart w:id="6046" w:name="_Toc516838811"/>
      <w:bookmarkStart w:id="6047" w:name="_Toc516839371"/>
      <w:bookmarkStart w:id="6048" w:name="_Toc517173467"/>
      <w:bookmarkStart w:id="6049" w:name="_Toc517175141"/>
      <w:bookmarkStart w:id="6050" w:name="_Toc517175728"/>
      <w:bookmarkStart w:id="6051" w:name="_Toc517176316"/>
      <w:bookmarkStart w:id="6052" w:name="_Toc517337641"/>
      <w:bookmarkStart w:id="6053" w:name="_Toc517360437"/>
      <w:bookmarkStart w:id="6054" w:name="_Toc74557768"/>
      <w:bookmarkStart w:id="6055" w:name="_Toc512525500"/>
      <w:bookmarkStart w:id="6056" w:name="_Toc515896814"/>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r w:rsidRPr="00DA6BD2">
        <w:t>040/364-04 : Tanks et réservoirs</w:t>
      </w:r>
      <w:bookmarkEnd w:id="6054"/>
      <w:r w:rsidRPr="00DA6BD2">
        <w:t xml:space="preserve"> </w:t>
      </w:r>
    </w:p>
    <w:p w14:paraId="74D7BEF5" w14:textId="617180D8" w:rsidR="009B153C" w:rsidRPr="00E9189F" w:rsidRDefault="0084076C" w:rsidP="00E063FD">
      <w:r w:rsidRPr="00A03E6A">
        <w:t>T</w:t>
      </w:r>
      <w:r w:rsidR="009B153C" w:rsidRPr="003F0B7B">
        <w:t>axe directe</w:t>
      </w:r>
      <w:r w:rsidRPr="00E9189F">
        <w:t>.</w:t>
      </w:r>
      <w:bookmarkEnd w:id="6055"/>
      <w:bookmarkEnd w:id="6056"/>
    </w:p>
    <w:p w14:paraId="13C5C228"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La Commune peut établir une taxe sur les tanks et réservoirs fixes en exploitation, à des fins commerciales ou industrielles, au </w:t>
      </w:r>
      <w:r>
        <w:rPr>
          <w:rFonts w:asciiTheme="minorHAnsi" w:hAnsiTheme="minorHAnsi" w:cs="Calibri Light"/>
        </w:rPr>
        <w:t>1</w:t>
      </w:r>
      <w:r w:rsidRPr="00DA6BD2">
        <w:rPr>
          <w:rFonts w:asciiTheme="minorHAnsi" w:hAnsiTheme="minorHAnsi" w:cs="Calibri Light"/>
          <w:vertAlign w:val="superscript"/>
        </w:rPr>
        <w:t>er</w:t>
      </w:r>
      <w:r w:rsidRPr="00DA6BD2">
        <w:rPr>
          <w:rFonts w:asciiTheme="minorHAnsi" w:hAnsiTheme="minorHAnsi" w:cs="Calibri Light"/>
        </w:rPr>
        <w:t xml:space="preserve"> janvier de l'exercice d'imposition.</w:t>
      </w:r>
    </w:p>
    <w:p w14:paraId="24B62378"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Sont visés les réservoirs fixes (aériens ou enterrés) de liquides combustibles dont le point d'éclair est supérieur à 55 </w:t>
      </w:r>
      <w:r w:rsidRPr="00DA6BD2">
        <w:rPr>
          <w:rFonts w:asciiTheme="minorHAnsi" w:hAnsiTheme="minorHAnsi" w:cs="Calibri Light"/>
          <w:vertAlign w:val="superscript"/>
        </w:rPr>
        <w:t>°</w:t>
      </w:r>
      <w:r w:rsidRPr="00DA6BD2">
        <w:rPr>
          <w:rFonts w:asciiTheme="minorHAnsi" w:hAnsiTheme="minorHAnsi" w:cs="Calibri Light"/>
        </w:rPr>
        <w:t xml:space="preserve">C et inférieur ou égal à 100 </w:t>
      </w:r>
      <w:r w:rsidRPr="00DA6BD2">
        <w:rPr>
          <w:rFonts w:asciiTheme="minorHAnsi" w:hAnsiTheme="minorHAnsi" w:cs="Calibri Light"/>
          <w:vertAlign w:val="superscript"/>
        </w:rPr>
        <w:t>°</w:t>
      </w:r>
      <w:r w:rsidRPr="00DA6BD2">
        <w:rPr>
          <w:rFonts w:asciiTheme="minorHAnsi" w:hAnsiTheme="minorHAnsi" w:cs="Calibri Light"/>
        </w:rPr>
        <w:t>C (catégorie C) et dont la capacité de stockage est supérieure ou égale à 3.000 litres visés par la rubrique 63.12.09.03.01 de l'annexe I de l'arrêté du Gouvernement wallon du 4 juillet 2002 arrêtant la liste des projets soumis à étude d'incidence et des installations et activités classées.</w:t>
      </w:r>
    </w:p>
    <w:p w14:paraId="7A7B6923" w14:textId="27E35E05" w:rsidR="009B153C" w:rsidRDefault="009B153C" w:rsidP="00460F83">
      <w:pPr>
        <w:spacing w:before="120" w:after="240"/>
        <w:jc w:val="both"/>
        <w:textAlignment w:val="baseline"/>
        <w:rPr>
          <w:rFonts w:asciiTheme="minorHAnsi" w:hAnsiTheme="minorHAnsi" w:cs="Calibri Light"/>
          <w:spacing w:val="-1"/>
        </w:rPr>
      </w:pPr>
      <w:r w:rsidRPr="00DA6BD2">
        <w:rPr>
          <w:rFonts w:asciiTheme="minorHAnsi" w:hAnsiTheme="minorHAnsi" w:cs="Calibri Light"/>
          <w:spacing w:val="-1"/>
        </w:rPr>
        <w:t xml:space="preserve">Elle est fixée à </w:t>
      </w:r>
      <w:r w:rsidR="00460F83" w:rsidRPr="008D7EB7">
        <w:rPr>
          <w:rFonts w:asciiTheme="minorHAnsi" w:hAnsiTheme="minorHAnsi" w:cs="Calibri Light"/>
          <w:spacing w:val="-1"/>
        </w:rPr>
        <w:t xml:space="preserve">0,50 </w:t>
      </w:r>
      <w:r w:rsidRPr="008D7EB7">
        <w:rPr>
          <w:rFonts w:asciiTheme="minorHAnsi" w:hAnsiTheme="minorHAnsi" w:cs="Calibri Light"/>
          <w:spacing w:val="-1"/>
        </w:rPr>
        <w:t>euro/</w:t>
      </w:r>
      <w:r w:rsidRPr="009B4A9D">
        <w:rPr>
          <w:rFonts w:asciiTheme="minorHAnsi" w:hAnsiTheme="minorHAnsi" w:cs="Calibri Light"/>
          <w:spacing w:val="-1"/>
        </w:rPr>
        <w:t>m</w:t>
      </w:r>
      <w:r w:rsidRPr="009B4A9D">
        <w:rPr>
          <w:rFonts w:asciiTheme="minorHAnsi" w:hAnsiTheme="minorHAnsi" w:cs="Calibri Light"/>
          <w:spacing w:val="-1"/>
          <w:vertAlign w:val="superscript"/>
        </w:rPr>
        <w:t>3</w:t>
      </w:r>
      <w:r w:rsidRPr="00DA6BD2">
        <w:rPr>
          <w:rFonts w:asciiTheme="minorHAnsi" w:hAnsiTheme="minorHAnsi" w:cs="Calibri Light"/>
          <w:spacing w:val="-1"/>
        </w:rPr>
        <w:t xml:space="preserve"> et n'intègre pas les bassins de décantation.</w:t>
      </w:r>
    </w:p>
    <w:p w14:paraId="6B7D6CE8" w14:textId="77777777" w:rsidR="0084076C" w:rsidRDefault="009B153C" w:rsidP="00256E9F">
      <w:pPr>
        <w:pStyle w:val="Sam3"/>
      </w:pPr>
      <w:bookmarkStart w:id="6057" w:name="_Toc74557769"/>
      <w:bookmarkStart w:id="6058" w:name="_Hlk68531005"/>
      <w:bookmarkStart w:id="6059" w:name="_Toc512525501"/>
      <w:bookmarkStart w:id="6060" w:name="_Toc515896815"/>
      <w:bookmarkStart w:id="6061" w:name="_Hlk38966723"/>
      <w:r w:rsidRPr="00DA6BD2">
        <w:t>040/364-09 : Mines, minières, carrières et terrils</w:t>
      </w:r>
      <w:bookmarkEnd w:id="6057"/>
      <w:r w:rsidRPr="00DA6BD2">
        <w:t xml:space="preserve"> </w:t>
      </w:r>
      <w:bookmarkEnd w:id="6058"/>
    </w:p>
    <w:p w14:paraId="45C7F099" w14:textId="77777777" w:rsidR="009B153C" w:rsidRPr="00E9189F" w:rsidRDefault="0084076C" w:rsidP="00E063FD">
      <w:r w:rsidRPr="00A03E6A">
        <w:t>T</w:t>
      </w:r>
      <w:r w:rsidR="009B153C" w:rsidRPr="003F0B7B">
        <w:t>axe directe</w:t>
      </w:r>
      <w:r w:rsidRPr="00E9189F">
        <w:t>.</w:t>
      </w:r>
      <w:bookmarkEnd w:id="6059"/>
      <w:bookmarkEnd w:id="6060"/>
    </w:p>
    <w:p w14:paraId="22660236" w14:textId="77777777" w:rsidR="009B153C" w:rsidRPr="00DA6BD2" w:rsidRDefault="00EE029B" w:rsidP="00E063FD">
      <w:pPr>
        <w:spacing w:before="120"/>
        <w:jc w:val="both"/>
        <w:textAlignment w:val="baseline"/>
        <w:rPr>
          <w:rFonts w:asciiTheme="minorHAnsi" w:hAnsiTheme="minorHAnsi" w:cs="Calibri Light"/>
        </w:rPr>
      </w:pPr>
      <w:r>
        <w:rPr>
          <w:rFonts w:asciiTheme="minorHAnsi" w:hAnsiTheme="minorHAnsi" w:cs="Calibri Light"/>
        </w:rPr>
        <w:t>Toute</w:t>
      </w:r>
      <w:r w:rsidR="009B153C" w:rsidRPr="00DA6BD2">
        <w:rPr>
          <w:rFonts w:asciiTheme="minorHAnsi" w:hAnsiTheme="minorHAnsi" w:cs="Calibri Light"/>
        </w:rPr>
        <w:t xml:space="preserve"> taxe indirecte sur les mines, minières et carrières est illégale</w:t>
      </w:r>
      <w:r>
        <w:rPr>
          <w:rStyle w:val="Appelnotedebasdep"/>
          <w:rFonts w:asciiTheme="minorHAnsi" w:hAnsiTheme="minorHAnsi" w:cs="Calibri Light"/>
        </w:rPr>
        <w:footnoteReference w:id="157"/>
      </w:r>
      <w:r w:rsidR="009B153C" w:rsidRPr="00DA6BD2">
        <w:rPr>
          <w:rFonts w:asciiTheme="minorHAnsi" w:hAnsiTheme="minorHAnsi" w:cs="Calibri Light"/>
        </w:rPr>
        <w:t>.</w:t>
      </w:r>
    </w:p>
    <w:p w14:paraId="3E6FA949"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Il est recommandé de définir le taux de la taxe en tenant compte de la production annuelle.</w:t>
      </w:r>
    </w:p>
    <w:p w14:paraId="5CBE1CED"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Le système de la taxe de répartition me semble être adéquat pour taxer cette activité.</w:t>
      </w:r>
    </w:p>
    <w:p w14:paraId="04688DE9" w14:textId="77777777" w:rsidR="009B153C" w:rsidRPr="00DA6BD2" w:rsidRDefault="009B153C" w:rsidP="00E063FD">
      <w:pPr>
        <w:spacing w:before="120"/>
        <w:jc w:val="both"/>
        <w:textAlignment w:val="baseline"/>
        <w:rPr>
          <w:rFonts w:asciiTheme="minorHAnsi" w:hAnsiTheme="minorHAnsi" w:cs="Calibri Light"/>
          <w:color w:val="0D0D0D"/>
          <w:spacing w:val="1"/>
        </w:rPr>
      </w:pPr>
      <w:r w:rsidRPr="00DA6BD2">
        <w:rPr>
          <w:rFonts w:asciiTheme="minorHAnsi" w:hAnsiTheme="minorHAnsi" w:cs="Calibri Light"/>
          <w:spacing w:val="1"/>
        </w:rPr>
        <w:t xml:space="preserve">En ce qui concerne les critères de répartition du taux de la taxe, celui de la production annuelle de l'année précédant l'exercice d'imposition me semble être un bon critère. </w:t>
      </w:r>
    </w:p>
    <w:p w14:paraId="4A039909" w14:textId="7CEA594D" w:rsidR="00D749A8" w:rsidRDefault="009B153C" w:rsidP="00460F83">
      <w:pPr>
        <w:spacing w:before="120" w:after="240"/>
        <w:jc w:val="both"/>
        <w:textAlignment w:val="baseline"/>
        <w:rPr>
          <w:rFonts w:asciiTheme="minorHAnsi" w:hAnsiTheme="minorHAnsi" w:cs="Calibri Light"/>
          <w:spacing w:val="1"/>
        </w:rPr>
      </w:pPr>
      <w:r w:rsidRPr="00E063FD">
        <w:rPr>
          <w:rFonts w:asciiTheme="minorHAnsi" w:hAnsiTheme="minorHAnsi" w:cs="Calibri Light"/>
          <w:spacing w:val="1"/>
        </w:rPr>
        <w:t>La compensation qui avait été prévue par le Gouvernement wallon (pour les communes qui n’ont pas levé la taxe sur les carrières en 2017</w:t>
      </w:r>
      <w:r w:rsidR="009D2990">
        <w:rPr>
          <w:rFonts w:asciiTheme="minorHAnsi" w:hAnsiTheme="minorHAnsi" w:cs="Calibri Light"/>
          <w:spacing w:val="1"/>
        </w:rPr>
        <w:t>,</w:t>
      </w:r>
      <w:r w:rsidRPr="00E063FD">
        <w:rPr>
          <w:rFonts w:asciiTheme="minorHAnsi" w:hAnsiTheme="minorHAnsi" w:cs="Calibri Light"/>
          <w:spacing w:val="1"/>
        </w:rPr>
        <w:t xml:space="preserve"> 2018</w:t>
      </w:r>
      <w:r w:rsidR="002E4F27">
        <w:rPr>
          <w:rFonts w:asciiTheme="minorHAnsi" w:hAnsiTheme="minorHAnsi" w:cs="Calibri Light"/>
          <w:spacing w:val="1"/>
        </w:rPr>
        <w:t>,</w:t>
      </w:r>
      <w:r w:rsidR="009D2990">
        <w:rPr>
          <w:rFonts w:asciiTheme="minorHAnsi" w:hAnsiTheme="minorHAnsi" w:cs="Calibri Light"/>
          <w:spacing w:val="1"/>
        </w:rPr>
        <w:t xml:space="preserve"> 2019</w:t>
      </w:r>
      <w:r w:rsidR="002E4F27">
        <w:rPr>
          <w:rFonts w:asciiTheme="minorHAnsi" w:hAnsiTheme="minorHAnsi" w:cs="Calibri Light"/>
          <w:spacing w:val="1"/>
        </w:rPr>
        <w:t xml:space="preserve"> et 2020</w:t>
      </w:r>
      <w:r w:rsidRPr="00E063FD">
        <w:rPr>
          <w:rFonts w:asciiTheme="minorHAnsi" w:hAnsiTheme="minorHAnsi" w:cs="Calibri Light"/>
          <w:spacing w:val="1"/>
        </w:rPr>
        <w:t xml:space="preserve">) dans le cadre des mesures d’accompagnement du prélèvement kilométrique au bénéfice du secteur carrier </w:t>
      </w:r>
      <w:r w:rsidR="00D65FBC">
        <w:rPr>
          <w:rFonts w:asciiTheme="minorHAnsi" w:hAnsiTheme="minorHAnsi" w:cs="Calibri Light"/>
          <w:spacing w:val="1"/>
        </w:rPr>
        <w:t>a fait</w:t>
      </w:r>
      <w:r w:rsidR="00D65FBC" w:rsidRPr="00E063FD">
        <w:rPr>
          <w:rFonts w:asciiTheme="minorHAnsi" w:hAnsiTheme="minorHAnsi" w:cs="Calibri Light"/>
          <w:spacing w:val="1"/>
        </w:rPr>
        <w:t xml:space="preserve"> </w:t>
      </w:r>
      <w:r w:rsidRPr="00E063FD">
        <w:rPr>
          <w:rFonts w:asciiTheme="minorHAnsi" w:hAnsiTheme="minorHAnsi" w:cs="Calibri Light"/>
          <w:spacing w:val="1"/>
        </w:rPr>
        <w:t xml:space="preserve">l’objet d’une </w:t>
      </w:r>
      <w:r w:rsidR="007E352F">
        <w:rPr>
          <w:rFonts w:asciiTheme="minorHAnsi" w:hAnsiTheme="minorHAnsi" w:cs="Calibri Light"/>
          <w:spacing w:val="1"/>
        </w:rPr>
        <w:t xml:space="preserve">nouvelle </w:t>
      </w:r>
      <w:r w:rsidRPr="00E063FD">
        <w:rPr>
          <w:rFonts w:asciiTheme="minorHAnsi" w:hAnsiTheme="minorHAnsi" w:cs="Calibri Light"/>
          <w:spacing w:val="1"/>
        </w:rPr>
        <w:t xml:space="preserve">évaluation.  </w:t>
      </w:r>
      <w:bookmarkStart w:id="6062" w:name="_Hlk68531139"/>
    </w:p>
    <w:p w14:paraId="3A18E701" w14:textId="0483A953" w:rsidR="009B153C" w:rsidRDefault="00032A7A" w:rsidP="00460F83">
      <w:pPr>
        <w:spacing w:before="120" w:after="240"/>
        <w:jc w:val="both"/>
        <w:textAlignment w:val="baseline"/>
        <w:rPr>
          <w:rFonts w:asciiTheme="minorHAnsi" w:hAnsiTheme="minorHAnsi" w:cs="Calibri Light"/>
          <w:spacing w:val="1"/>
        </w:rPr>
      </w:pPr>
      <w:r>
        <w:rPr>
          <w:rFonts w:asciiTheme="minorHAnsi" w:hAnsiTheme="minorHAnsi" w:cs="Calibri Light"/>
          <w:spacing w:val="1"/>
        </w:rPr>
        <w:lastRenderedPageBreak/>
        <w:t>Il en ressort que la</w:t>
      </w:r>
      <w:r w:rsidRPr="00032A7A">
        <w:rPr>
          <w:rFonts w:asciiTheme="minorHAnsi" w:hAnsiTheme="minorHAnsi" w:cs="Calibri Light"/>
          <w:spacing w:val="1"/>
        </w:rPr>
        <w:t xml:space="preserve"> mesure a rempli sa fonction de soutien à l’activité en diminuant les coûts de production des carriers</w:t>
      </w:r>
      <w:r>
        <w:rPr>
          <w:rFonts w:asciiTheme="minorHAnsi" w:hAnsiTheme="minorHAnsi" w:cs="Calibri Light"/>
          <w:spacing w:val="1"/>
        </w:rPr>
        <w:t xml:space="preserve">. Comme celle-ci </w:t>
      </w:r>
      <w:r w:rsidRPr="00032A7A">
        <w:rPr>
          <w:rFonts w:asciiTheme="minorHAnsi" w:hAnsiTheme="minorHAnsi" w:cs="Calibri Light"/>
          <w:spacing w:val="1"/>
        </w:rPr>
        <w:t xml:space="preserve">était en temporaire </w:t>
      </w:r>
      <w:r>
        <w:rPr>
          <w:rFonts w:asciiTheme="minorHAnsi" w:hAnsiTheme="minorHAnsi" w:cs="Calibri Light"/>
          <w:spacing w:val="1"/>
        </w:rPr>
        <w:t xml:space="preserve">et que les objectifs de soutien au secteur sont réalisés le Gouvernement wallon a décidé de mettre fin au système de manière progressive selon le </w:t>
      </w:r>
      <w:proofErr w:type="gramStart"/>
      <w:r>
        <w:rPr>
          <w:rFonts w:asciiTheme="minorHAnsi" w:hAnsiTheme="minorHAnsi" w:cs="Calibri Light"/>
          <w:spacing w:val="1"/>
        </w:rPr>
        <w:t>timing</w:t>
      </w:r>
      <w:proofErr w:type="gramEnd"/>
      <w:r>
        <w:rPr>
          <w:rFonts w:asciiTheme="minorHAnsi" w:hAnsiTheme="minorHAnsi" w:cs="Calibri Light"/>
          <w:spacing w:val="1"/>
        </w:rPr>
        <w:t xml:space="preserve"> suivant :</w:t>
      </w:r>
      <w:r w:rsidRPr="00032A7A">
        <w:t xml:space="preserve"> </w:t>
      </w:r>
      <w:r w:rsidRPr="00032A7A">
        <w:rPr>
          <w:rFonts w:asciiTheme="minorHAnsi" w:hAnsiTheme="minorHAnsi" w:cs="Calibri Light"/>
          <w:spacing w:val="1"/>
        </w:rPr>
        <w:t xml:space="preserve">80% des compensations maintenues en 2021, </w:t>
      </w:r>
      <w:r w:rsidRPr="00A65F14">
        <w:rPr>
          <w:rFonts w:asciiTheme="minorHAnsi" w:hAnsiTheme="minorHAnsi" w:cs="Calibri Light"/>
          <w:b/>
          <w:bCs/>
          <w:spacing w:val="1"/>
        </w:rPr>
        <w:t>60% en 2022</w:t>
      </w:r>
      <w:r w:rsidRPr="00032A7A">
        <w:rPr>
          <w:rFonts w:asciiTheme="minorHAnsi" w:hAnsiTheme="minorHAnsi" w:cs="Calibri Light"/>
          <w:spacing w:val="1"/>
        </w:rPr>
        <w:t>, 30% en 2023 et abandon complet du système en 2024</w:t>
      </w:r>
      <w:r>
        <w:rPr>
          <w:rFonts w:asciiTheme="minorHAnsi" w:hAnsiTheme="minorHAnsi" w:cs="Calibri Light"/>
          <w:spacing w:val="1"/>
        </w:rPr>
        <w:t>.</w:t>
      </w:r>
    </w:p>
    <w:p w14:paraId="47E29DAA" w14:textId="41385760" w:rsidR="000A3E8F" w:rsidRDefault="00032A7A" w:rsidP="00460F83">
      <w:pPr>
        <w:spacing w:before="120" w:after="240"/>
        <w:jc w:val="both"/>
        <w:textAlignment w:val="baseline"/>
        <w:rPr>
          <w:rFonts w:asciiTheme="minorHAnsi" w:hAnsiTheme="minorHAnsi" w:cs="Calibri Light"/>
          <w:spacing w:val="1"/>
        </w:rPr>
      </w:pPr>
      <w:r>
        <w:rPr>
          <w:rFonts w:asciiTheme="minorHAnsi" w:hAnsiTheme="minorHAnsi" w:cs="Calibri Light"/>
          <w:spacing w:val="1"/>
        </w:rPr>
        <w:t>Ainsi donc, pour l’exercice 202</w:t>
      </w:r>
      <w:r w:rsidR="00477181">
        <w:rPr>
          <w:rFonts w:asciiTheme="minorHAnsi" w:hAnsiTheme="minorHAnsi" w:cs="Calibri Light"/>
          <w:spacing w:val="1"/>
        </w:rPr>
        <w:t>3</w:t>
      </w:r>
      <w:r>
        <w:rPr>
          <w:rFonts w:asciiTheme="minorHAnsi" w:hAnsiTheme="minorHAnsi" w:cs="Calibri Light"/>
          <w:spacing w:val="1"/>
        </w:rPr>
        <w:t xml:space="preserve">, les communes sont autorisées à lever </w:t>
      </w:r>
      <w:r w:rsidR="00477181">
        <w:rPr>
          <w:rFonts w:asciiTheme="minorHAnsi" w:hAnsiTheme="minorHAnsi" w:cs="Calibri Light"/>
          <w:spacing w:val="1"/>
        </w:rPr>
        <w:t>70</w:t>
      </w:r>
      <w:r>
        <w:rPr>
          <w:rFonts w:asciiTheme="minorHAnsi" w:hAnsiTheme="minorHAnsi" w:cs="Calibri Light"/>
          <w:spacing w:val="1"/>
        </w:rPr>
        <w:t>% des droits bruts 2016 indexés</w:t>
      </w:r>
      <w:r w:rsidR="00D749A8">
        <w:rPr>
          <w:rFonts w:asciiTheme="minorHAnsi" w:hAnsiTheme="minorHAnsi" w:cs="Calibri Light"/>
          <w:spacing w:val="1"/>
        </w:rPr>
        <w:t>,</w:t>
      </w:r>
      <w:r>
        <w:rPr>
          <w:rFonts w:asciiTheme="minorHAnsi" w:hAnsiTheme="minorHAnsi" w:cs="Calibri Light"/>
          <w:spacing w:val="1"/>
        </w:rPr>
        <w:t xml:space="preserve"> </w:t>
      </w:r>
      <w:r w:rsidR="00D749A8">
        <w:rPr>
          <w:rFonts w:asciiTheme="minorHAnsi" w:hAnsiTheme="minorHAnsi" w:cs="Calibri Light"/>
          <w:spacing w:val="1"/>
        </w:rPr>
        <w:t>l</w:t>
      </w:r>
      <w:r>
        <w:rPr>
          <w:rFonts w:asciiTheme="minorHAnsi" w:hAnsiTheme="minorHAnsi" w:cs="Calibri Light"/>
          <w:spacing w:val="1"/>
        </w:rPr>
        <w:t xml:space="preserve">a </w:t>
      </w:r>
      <w:r w:rsidR="00D63CB3">
        <w:rPr>
          <w:rFonts w:asciiTheme="minorHAnsi" w:hAnsiTheme="minorHAnsi" w:cs="Calibri Light"/>
          <w:spacing w:val="1"/>
        </w:rPr>
        <w:t>région wallonne</w:t>
      </w:r>
      <w:r>
        <w:rPr>
          <w:rFonts w:asciiTheme="minorHAnsi" w:hAnsiTheme="minorHAnsi" w:cs="Calibri Light"/>
          <w:spacing w:val="1"/>
        </w:rPr>
        <w:t xml:space="preserve"> s’engageant à compenser </w:t>
      </w:r>
      <w:r w:rsidR="00D749A8">
        <w:rPr>
          <w:rFonts w:asciiTheme="minorHAnsi" w:hAnsiTheme="minorHAnsi" w:cs="Calibri Light"/>
          <w:spacing w:val="1"/>
        </w:rPr>
        <w:t xml:space="preserve">les </w:t>
      </w:r>
      <w:r w:rsidR="00477181">
        <w:rPr>
          <w:rFonts w:asciiTheme="minorHAnsi" w:hAnsiTheme="minorHAnsi" w:cs="Calibri Light"/>
          <w:spacing w:val="1"/>
        </w:rPr>
        <w:t>30</w:t>
      </w:r>
      <w:r>
        <w:rPr>
          <w:rFonts w:asciiTheme="minorHAnsi" w:hAnsiTheme="minorHAnsi" w:cs="Calibri Light"/>
          <w:spacing w:val="1"/>
        </w:rPr>
        <w:t xml:space="preserve">% </w:t>
      </w:r>
      <w:r w:rsidR="00D749A8">
        <w:rPr>
          <w:rFonts w:asciiTheme="minorHAnsi" w:hAnsiTheme="minorHAnsi" w:cs="Calibri Light"/>
          <w:spacing w:val="1"/>
        </w:rPr>
        <w:t xml:space="preserve">restant </w:t>
      </w:r>
      <w:r>
        <w:rPr>
          <w:rFonts w:asciiTheme="minorHAnsi" w:hAnsiTheme="minorHAnsi" w:cs="Calibri Light"/>
          <w:spacing w:val="1"/>
        </w:rPr>
        <w:t>de ces mêmes droits bruts indexés.</w:t>
      </w:r>
    </w:p>
    <w:bookmarkEnd w:id="6062"/>
    <w:p w14:paraId="513B23A5" w14:textId="77777777" w:rsidR="00032A7A" w:rsidRDefault="00032A7A" w:rsidP="00B05546">
      <w:pPr>
        <w:jc w:val="both"/>
        <w:textAlignment w:val="baseline"/>
        <w:rPr>
          <w:rFonts w:asciiTheme="minorHAnsi" w:hAnsiTheme="minorHAnsi" w:cs="Calibri Light"/>
          <w:spacing w:val="1"/>
        </w:rPr>
      </w:pPr>
    </w:p>
    <w:p w14:paraId="6862F684" w14:textId="77777777" w:rsidR="0084076C" w:rsidRDefault="009B153C" w:rsidP="00256E9F">
      <w:pPr>
        <w:pStyle w:val="Sam3"/>
      </w:pPr>
      <w:bookmarkStart w:id="6063" w:name="_Toc516229728"/>
      <w:bookmarkStart w:id="6064" w:name="_Toc516230023"/>
      <w:bookmarkStart w:id="6065" w:name="_Toc516230318"/>
      <w:bookmarkStart w:id="6066" w:name="_Toc516230612"/>
      <w:bookmarkStart w:id="6067" w:name="_Toc516230906"/>
      <w:bookmarkStart w:id="6068" w:name="_Toc516231201"/>
      <w:bookmarkStart w:id="6069" w:name="_Toc516231496"/>
      <w:bookmarkStart w:id="6070" w:name="_Toc516231793"/>
      <w:bookmarkStart w:id="6071" w:name="_Toc516242888"/>
      <w:bookmarkStart w:id="6072" w:name="_Toc516243192"/>
      <w:bookmarkStart w:id="6073" w:name="_Toc516245127"/>
      <w:bookmarkStart w:id="6074" w:name="_Toc516473698"/>
      <w:bookmarkStart w:id="6075" w:name="_Toc516474008"/>
      <w:bookmarkStart w:id="6076" w:name="_Toc516474318"/>
      <w:bookmarkStart w:id="6077" w:name="_Toc516474626"/>
      <w:bookmarkStart w:id="6078" w:name="_Toc516474958"/>
      <w:bookmarkStart w:id="6079" w:name="_Toc516479019"/>
      <w:bookmarkStart w:id="6080" w:name="_Toc516479455"/>
      <w:bookmarkStart w:id="6081" w:name="_Toc516479772"/>
      <w:bookmarkStart w:id="6082" w:name="_Toc516480094"/>
      <w:bookmarkStart w:id="6083" w:name="_Toc516480408"/>
      <w:bookmarkStart w:id="6084" w:name="_Toc516480722"/>
      <w:bookmarkStart w:id="6085" w:name="_Toc516481036"/>
      <w:bookmarkStart w:id="6086" w:name="_Toc516481350"/>
      <w:bookmarkStart w:id="6087" w:name="_Toc516481664"/>
      <w:bookmarkStart w:id="6088" w:name="_Toc516481978"/>
      <w:bookmarkStart w:id="6089" w:name="_Toc516482292"/>
      <w:bookmarkStart w:id="6090" w:name="_Toc516482606"/>
      <w:bookmarkStart w:id="6091" w:name="_Toc516739821"/>
      <w:bookmarkStart w:id="6092" w:name="_Toc516751730"/>
      <w:bookmarkStart w:id="6093" w:name="_Toc516825818"/>
      <w:bookmarkStart w:id="6094" w:name="_Toc516826376"/>
      <w:bookmarkStart w:id="6095" w:name="_Toc516837696"/>
      <w:bookmarkStart w:id="6096" w:name="_Toc516838255"/>
      <w:bookmarkStart w:id="6097" w:name="_Toc516838814"/>
      <w:bookmarkStart w:id="6098" w:name="_Toc516839374"/>
      <w:bookmarkStart w:id="6099" w:name="_Toc517173470"/>
      <w:bookmarkStart w:id="6100" w:name="_Toc517175144"/>
      <w:bookmarkStart w:id="6101" w:name="_Toc517175731"/>
      <w:bookmarkStart w:id="6102" w:name="_Toc517176319"/>
      <w:bookmarkStart w:id="6103" w:name="_Toc517337644"/>
      <w:bookmarkStart w:id="6104" w:name="_Toc517360440"/>
      <w:bookmarkStart w:id="6105" w:name="_Toc74557770"/>
      <w:bookmarkStart w:id="6106" w:name="_Toc512525502"/>
      <w:bookmarkStart w:id="6107" w:name="_Toc515896816"/>
      <w:bookmarkEnd w:id="6061"/>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r w:rsidRPr="00E063FD">
        <w:t>040/364-12 : Débits de boissons</w:t>
      </w:r>
      <w:bookmarkEnd w:id="6105"/>
      <w:r w:rsidRPr="00E063FD">
        <w:t xml:space="preserve"> </w:t>
      </w:r>
    </w:p>
    <w:p w14:paraId="37980809" w14:textId="5C57F74D" w:rsidR="009B153C" w:rsidRPr="00E9189F" w:rsidRDefault="0084076C" w:rsidP="00E063FD">
      <w:r w:rsidRPr="00A03E6A">
        <w:t>T</w:t>
      </w:r>
      <w:r w:rsidR="009B153C" w:rsidRPr="003F0B7B">
        <w:t>axe directe</w:t>
      </w:r>
      <w:r w:rsidRPr="00E9189F">
        <w:t>.</w:t>
      </w:r>
      <w:bookmarkEnd w:id="6106"/>
      <w:bookmarkEnd w:id="6107"/>
    </w:p>
    <w:p w14:paraId="5E791231" w14:textId="47E02AAD"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 </w:t>
      </w:r>
      <w:r w:rsidR="00460F83" w:rsidRPr="008D7EB7">
        <w:rPr>
          <w:rFonts w:asciiTheme="minorHAnsi" w:hAnsiTheme="minorHAnsi" w:cs="Calibri Light"/>
          <w:spacing w:val="-1"/>
        </w:rPr>
        <w:t>250</w:t>
      </w:r>
      <w:r w:rsidR="009B4A9D" w:rsidRPr="008D7EB7">
        <w:rPr>
          <w:rFonts w:asciiTheme="minorHAnsi" w:hAnsiTheme="minorHAnsi" w:cs="Calibri Light"/>
          <w:spacing w:val="-1"/>
        </w:rPr>
        <w:t>,00</w:t>
      </w:r>
      <w:r w:rsidR="00460F83" w:rsidRPr="008D7EB7">
        <w:rPr>
          <w:rFonts w:asciiTheme="minorHAnsi" w:hAnsiTheme="minorHAnsi" w:cs="Calibri Light"/>
          <w:spacing w:val="-1"/>
        </w:rPr>
        <w:t xml:space="preserve"> </w:t>
      </w:r>
      <w:r w:rsidRPr="008D7EB7">
        <w:rPr>
          <w:rFonts w:asciiTheme="minorHAnsi" w:hAnsiTheme="minorHAnsi" w:cs="Calibri Light"/>
          <w:spacing w:val="-1"/>
        </w:rPr>
        <w:t>euros/</w:t>
      </w:r>
      <w:r w:rsidRPr="009B4A9D">
        <w:rPr>
          <w:rFonts w:asciiTheme="minorHAnsi" w:hAnsiTheme="minorHAnsi" w:cs="Calibri Light"/>
          <w:spacing w:val="-1"/>
        </w:rPr>
        <w:t>établissement</w:t>
      </w:r>
      <w:r w:rsidRPr="00DA6BD2">
        <w:rPr>
          <w:rFonts w:asciiTheme="minorHAnsi" w:hAnsiTheme="minorHAnsi" w:cs="Calibri Light"/>
          <w:spacing w:val="-1"/>
        </w:rPr>
        <w:t>.</w:t>
      </w:r>
    </w:p>
    <w:p w14:paraId="65BBC23B" w14:textId="3739D439"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Taux à moduler au choix, selon le chiffre d'affaires, le caractère accessoire ou non de l'activité exercée ou encore la superficie des locaux exploités, auquel cas il convient de tenir compte des terrasses établies sur le domaine privé</w:t>
      </w:r>
      <w:r w:rsidR="0021392E">
        <w:rPr>
          <w:rFonts w:asciiTheme="minorHAnsi" w:hAnsiTheme="minorHAnsi" w:cs="Calibri Light"/>
        </w:rPr>
        <w:t xml:space="preserve"> ou public</w:t>
      </w:r>
      <w:r w:rsidRPr="00DA6BD2">
        <w:rPr>
          <w:rFonts w:asciiTheme="minorHAnsi" w:hAnsiTheme="minorHAnsi" w:cs="Calibri Light"/>
        </w:rPr>
        <w:t>.</w:t>
      </w:r>
    </w:p>
    <w:p w14:paraId="0E8D8A8A" w14:textId="77777777" w:rsidR="009B4A9D" w:rsidRDefault="009B4A9D">
      <w:pPr>
        <w:jc w:val="both"/>
        <w:textAlignment w:val="baseline"/>
        <w:rPr>
          <w:rFonts w:asciiTheme="minorHAnsi" w:hAnsiTheme="minorHAnsi" w:cs="Calibri Light"/>
        </w:rPr>
      </w:pPr>
    </w:p>
    <w:p w14:paraId="5FF0C3BF" w14:textId="2F83E20C" w:rsidR="00D50CD0" w:rsidRDefault="00D50CD0">
      <w:pPr>
        <w:jc w:val="both"/>
        <w:textAlignment w:val="baseline"/>
        <w:rPr>
          <w:rFonts w:asciiTheme="minorHAnsi" w:hAnsiTheme="minorHAnsi" w:cs="Calibri Light"/>
        </w:rPr>
      </w:pPr>
      <w:r w:rsidRPr="00D50CD0">
        <w:rPr>
          <w:rFonts w:asciiTheme="minorHAnsi" w:hAnsiTheme="minorHAnsi" w:cs="Calibri Light"/>
        </w:rPr>
        <w:t>Cette modulation est d’autant plus importante que dans l’arrêt du 19 avril 2021</w:t>
      </w:r>
      <w:r>
        <w:rPr>
          <w:rStyle w:val="Appelnotedebasdep"/>
          <w:rFonts w:asciiTheme="minorHAnsi" w:hAnsiTheme="minorHAnsi" w:cs="Calibri Light"/>
        </w:rPr>
        <w:footnoteReference w:id="158"/>
      </w:r>
      <w:r w:rsidRPr="00D50CD0">
        <w:rPr>
          <w:rFonts w:asciiTheme="minorHAnsi" w:hAnsiTheme="minorHAnsi" w:cs="Calibri Light"/>
        </w:rPr>
        <w:t xml:space="preserve"> dans lequel 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 »</w:t>
      </w:r>
    </w:p>
    <w:p w14:paraId="6465A3A9" w14:textId="77777777" w:rsidR="00D50CD0" w:rsidRDefault="00D50CD0">
      <w:pPr>
        <w:jc w:val="both"/>
        <w:textAlignment w:val="baseline"/>
        <w:rPr>
          <w:rFonts w:asciiTheme="minorHAnsi" w:hAnsiTheme="minorHAnsi" w:cs="Calibri Light"/>
        </w:rPr>
      </w:pPr>
    </w:p>
    <w:p w14:paraId="04091118" w14:textId="355A3003" w:rsidR="0021392E" w:rsidRDefault="0021392E">
      <w:pPr>
        <w:jc w:val="both"/>
        <w:textAlignment w:val="baseline"/>
        <w:rPr>
          <w:rFonts w:asciiTheme="minorHAnsi" w:hAnsiTheme="minorHAnsi" w:cs="Calibri Light"/>
        </w:rPr>
      </w:pPr>
      <w:r w:rsidRPr="0021392E">
        <w:rPr>
          <w:rFonts w:asciiTheme="minorHAnsi" w:hAnsiTheme="minorHAnsi" w:cs="Calibri Light"/>
        </w:rPr>
        <w:t>Les dispositions légales applicables aux débits de boissons sont les suivantes :</w:t>
      </w:r>
    </w:p>
    <w:p w14:paraId="6AE17226" w14:textId="7BAD103D" w:rsidR="0021392E" w:rsidRPr="008D7EB7" w:rsidRDefault="009B4A9D"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la</w:t>
      </w:r>
      <w:proofErr w:type="gramEnd"/>
      <w:r>
        <w:rPr>
          <w:rFonts w:asciiTheme="minorHAnsi" w:hAnsiTheme="minorHAnsi" w:cs="Calibri Light"/>
        </w:rPr>
        <w:t xml:space="preserve"> </w:t>
      </w:r>
      <w:r w:rsidRPr="008D7EB7">
        <w:rPr>
          <w:rFonts w:asciiTheme="minorHAnsi" w:hAnsiTheme="minorHAnsi" w:cs="Calibri Light"/>
        </w:rPr>
        <w:t>l</w:t>
      </w:r>
      <w:r w:rsidR="0021392E" w:rsidRPr="008D7EB7">
        <w:rPr>
          <w:rFonts w:asciiTheme="minorHAnsi" w:hAnsiTheme="minorHAnsi" w:cs="Calibri Light"/>
        </w:rPr>
        <w:t>oi du 28 décembre 1983 – Loi sur la patente pour les débits de boissons spiritueuses ;</w:t>
      </w:r>
    </w:p>
    <w:p w14:paraId="65E510FE" w14:textId="3954EC45" w:rsidR="0021392E" w:rsidRPr="008D7EB7" w:rsidRDefault="009B4A9D"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la</w:t>
      </w:r>
      <w:proofErr w:type="gramEnd"/>
      <w:r>
        <w:rPr>
          <w:rFonts w:asciiTheme="minorHAnsi" w:hAnsiTheme="minorHAnsi" w:cs="Calibri Light"/>
        </w:rPr>
        <w:t xml:space="preserve"> </w:t>
      </w:r>
      <w:r w:rsidRPr="008D7EB7">
        <w:rPr>
          <w:rFonts w:asciiTheme="minorHAnsi" w:hAnsiTheme="minorHAnsi" w:cs="Calibri Light"/>
        </w:rPr>
        <w:t>l</w:t>
      </w:r>
      <w:r w:rsidR="0021392E" w:rsidRPr="008D7EB7">
        <w:rPr>
          <w:rFonts w:asciiTheme="minorHAnsi" w:hAnsiTheme="minorHAnsi" w:cs="Calibri Light"/>
        </w:rPr>
        <w:t>oi du 3 avril 1953 – Loi coordonnant les dispositions légales concernant les débits de boissons fermentées coordonnées le 3 avril 1953 ;</w:t>
      </w:r>
    </w:p>
    <w:p w14:paraId="1FC9BD69" w14:textId="2EA24693" w:rsidR="0021392E" w:rsidRPr="008D7EB7" w:rsidRDefault="009B4A9D"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Pr="008D7EB7">
        <w:rPr>
          <w:rFonts w:asciiTheme="minorHAnsi" w:hAnsiTheme="minorHAnsi" w:cs="Calibri Light"/>
        </w:rPr>
        <w:t>a</w:t>
      </w:r>
      <w:r w:rsidR="0021392E" w:rsidRPr="008D7EB7">
        <w:rPr>
          <w:rFonts w:asciiTheme="minorHAnsi" w:hAnsiTheme="minorHAnsi" w:cs="Calibri Light"/>
        </w:rPr>
        <w:t>rrêté</w:t>
      </w:r>
      <w:proofErr w:type="gramEnd"/>
      <w:r w:rsidR="0021392E" w:rsidRPr="008D7EB7">
        <w:rPr>
          <w:rFonts w:asciiTheme="minorHAnsi" w:hAnsiTheme="minorHAnsi" w:cs="Calibri Light"/>
        </w:rPr>
        <w:t xml:space="preserve"> royal du 4 avril 1953 réglant l’exécution des dispositions légales concernant les débits de boissons fermentées coordonnées le 3 avril 1953</w:t>
      </w:r>
      <w:r>
        <w:rPr>
          <w:rFonts w:asciiTheme="minorHAnsi" w:hAnsiTheme="minorHAnsi" w:cs="Calibri Light"/>
        </w:rPr>
        <w:t>.</w:t>
      </w:r>
    </w:p>
    <w:p w14:paraId="78868C9B" w14:textId="77777777" w:rsidR="009B4A9D" w:rsidRPr="0021392E" w:rsidRDefault="009B4A9D" w:rsidP="008D7EB7">
      <w:pPr>
        <w:jc w:val="both"/>
        <w:textAlignment w:val="baseline"/>
        <w:rPr>
          <w:rFonts w:asciiTheme="minorHAnsi" w:hAnsiTheme="minorHAnsi" w:cs="Calibri Light"/>
        </w:rPr>
      </w:pPr>
    </w:p>
    <w:p w14:paraId="0D92CB38" w14:textId="4692ADFA" w:rsidR="007A10F4" w:rsidRPr="00DA6BD2" w:rsidRDefault="0021392E" w:rsidP="008D7EB7">
      <w:pPr>
        <w:jc w:val="both"/>
        <w:textAlignment w:val="baseline"/>
        <w:rPr>
          <w:rFonts w:asciiTheme="minorHAnsi" w:hAnsiTheme="minorHAnsi" w:cs="Calibri Light"/>
        </w:rPr>
      </w:pPr>
      <w:r w:rsidRPr="0021392E">
        <w:rPr>
          <w:rFonts w:asciiTheme="minorHAnsi" w:hAnsiTheme="minorHAnsi" w:cs="Calibri Light"/>
        </w:rPr>
        <w:t>Outre les établissements énumérés par l’article 17 de la loi du 3 avril 1953 (débit de boissons fermentées),</w:t>
      </w:r>
      <w:r>
        <w:rPr>
          <w:rFonts w:asciiTheme="minorHAnsi" w:hAnsiTheme="minorHAnsi" w:cs="Calibri Light"/>
        </w:rPr>
        <w:t xml:space="preserve"> c</w:t>
      </w:r>
      <w:r w:rsidR="007A10F4" w:rsidRPr="00A310A8">
        <w:rPr>
          <w:rFonts w:asciiTheme="minorHAnsi" w:hAnsiTheme="minorHAnsi" w:cs="Calibri Light"/>
        </w:rPr>
        <w:t>ette taxe ne peut pas être appliquée</w:t>
      </w:r>
      <w:r w:rsidR="007A10F4" w:rsidRPr="00CA73E7">
        <w:rPr>
          <w:rFonts w:asciiTheme="minorHAnsi" w:hAnsiTheme="minorHAnsi" w:cs="Calibri Light"/>
          <w:color w:val="00B050"/>
        </w:rPr>
        <w:t xml:space="preserve"> </w:t>
      </w:r>
      <w:r w:rsidR="007A10F4" w:rsidRPr="00DA6BD2">
        <w:rPr>
          <w:rFonts w:asciiTheme="minorHAnsi" w:hAnsiTheme="minorHAnsi" w:cs="Calibri Light"/>
        </w:rPr>
        <w:t>aux grands magasins, ainsi qu'aux petites et moyennes surfaces. Ceux-ci ne doivent pas être considérés comme des débits de boissons puisqu'ils ne vendent pas des boissons à consommer sur place.</w:t>
      </w:r>
    </w:p>
    <w:p w14:paraId="6B535B04" w14:textId="156BF14D" w:rsidR="009B153C" w:rsidRDefault="0021392E" w:rsidP="00E063FD">
      <w:pPr>
        <w:spacing w:before="120"/>
        <w:jc w:val="both"/>
        <w:textAlignment w:val="baseline"/>
        <w:rPr>
          <w:rFonts w:asciiTheme="minorHAnsi" w:hAnsiTheme="minorHAnsi" w:cs="Calibri Light"/>
        </w:rPr>
      </w:pPr>
      <w:r>
        <w:rPr>
          <w:rFonts w:asciiTheme="minorHAnsi" w:hAnsiTheme="minorHAnsi" w:cs="Calibri Light"/>
        </w:rPr>
        <w:t>C</w:t>
      </w:r>
      <w:r w:rsidR="009B153C" w:rsidRPr="00DA6BD2">
        <w:rPr>
          <w:rFonts w:asciiTheme="minorHAnsi" w:hAnsiTheme="minorHAnsi" w:cs="Calibri Light"/>
        </w:rPr>
        <w:t>ette taxe ne peut être appliquée qu'aux débits de boissons fermentées et/ou spiritueuses.</w:t>
      </w:r>
    </w:p>
    <w:p w14:paraId="6914E33F" w14:textId="3BEBE994" w:rsidR="00FB05AF" w:rsidRDefault="00FB05AF" w:rsidP="00B05546">
      <w:pPr>
        <w:jc w:val="both"/>
        <w:textAlignment w:val="baseline"/>
        <w:rPr>
          <w:rFonts w:asciiTheme="minorHAnsi" w:hAnsiTheme="minorHAnsi" w:cs="Calibri Light"/>
        </w:rPr>
      </w:pPr>
    </w:p>
    <w:p w14:paraId="646CB764" w14:textId="15D3CFD4" w:rsidR="00954869" w:rsidRDefault="00954869" w:rsidP="00B05546">
      <w:pPr>
        <w:jc w:val="both"/>
        <w:textAlignment w:val="baseline"/>
        <w:rPr>
          <w:rFonts w:asciiTheme="minorHAnsi" w:hAnsiTheme="minorHAnsi" w:cs="Calibri Light"/>
        </w:rPr>
      </w:pPr>
    </w:p>
    <w:p w14:paraId="79D8BB5F" w14:textId="0A993708" w:rsidR="00954869" w:rsidRDefault="00954869" w:rsidP="00B05546">
      <w:pPr>
        <w:jc w:val="both"/>
        <w:textAlignment w:val="baseline"/>
        <w:rPr>
          <w:rFonts w:asciiTheme="minorHAnsi" w:hAnsiTheme="minorHAnsi" w:cs="Calibri Light"/>
        </w:rPr>
      </w:pPr>
    </w:p>
    <w:p w14:paraId="32E0E9C6" w14:textId="77777777" w:rsidR="00954869" w:rsidRDefault="00954869" w:rsidP="00B05546">
      <w:pPr>
        <w:jc w:val="both"/>
        <w:textAlignment w:val="baseline"/>
        <w:rPr>
          <w:rFonts w:asciiTheme="minorHAnsi" w:hAnsiTheme="minorHAnsi" w:cs="Calibri Light"/>
        </w:rPr>
      </w:pPr>
    </w:p>
    <w:p w14:paraId="349D00AF" w14:textId="77777777" w:rsidR="0021392E" w:rsidRPr="00DA6BD2" w:rsidRDefault="0021392E" w:rsidP="00B05546">
      <w:pPr>
        <w:jc w:val="both"/>
        <w:textAlignment w:val="baseline"/>
        <w:rPr>
          <w:rFonts w:asciiTheme="minorHAnsi" w:hAnsiTheme="minorHAnsi" w:cs="Calibri Light"/>
        </w:rPr>
      </w:pPr>
    </w:p>
    <w:p w14:paraId="77D797B8" w14:textId="77777777" w:rsidR="0084076C" w:rsidRDefault="009B153C" w:rsidP="00256E9F">
      <w:pPr>
        <w:pStyle w:val="Sam3"/>
      </w:pPr>
      <w:bookmarkStart w:id="6108" w:name="_Toc74557771"/>
      <w:bookmarkStart w:id="6109" w:name="_Toc512525503"/>
      <w:bookmarkStart w:id="6110" w:name="_Toc515896817"/>
      <w:r w:rsidRPr="00DA6BD2">
        <w:lastRenderedPageBreak/>
        <w:t>040/364-13 : Débits de tabac</w:t>
      </w:r>
      <w:bookmarkEnd w:id="6108"/>
      <w:r w:rsidRPr="00DA6BD2">
        <w:t xml:space="preserve"> </w:t>
      </w:r>
    </w:p>
    <w:p w14:paraId="24E46402" w14:textId="3E14FE63" w:rsidR="009B153C" w:rsidRPr="00E9189F" w:rsidRDefault="0084076C" w:rsidP="00E063FD">
      <w:r w:rsidRPr="00A03E6A">
        <w:t>T</w:t>
      </w:r>
      <w:r w:rsidR="009B153C" w:rsidRPr="003F0B7B">
        <w:t>axe directe</w:t>
      </w:r>
      <w:r w:rsidRPr="00E9189F">
        <w:t>.</w:t>
      </w:r>
      <w:bookmarkEnd w:id="6109"/>
      <w:bookmarkEnd w:id="6110"/>
    </w:p>
    <w:p w14:paraId="68DD656F" w14:textId="0718E5CF"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 </w:t>
      </w:r>
      <w:r w:rsidR="00460F83" w:rsidRPr="008D7EB7">
        <w:rPr>
          <w:rFonts w:asciiTheme="minorHAnsi" w:hAnsiTheme="minorHAnsi" w:cs="Calibri Light"/>
          <w:spacing w:val="-1"/>
        </w:rPr>
        <w:t>250</w:t>
      </w:r>
      <w:r w:rsidR="009B4A9D" w:rsidRPr="008D7EB7">
        <w:rPr>
          <w:rFonts w:asciiTheme="minorHAnsi" w:hAnsiTheme="minorHAnsi" w:cs="Calibri Light"/>
          <w:spacing w:val="-1"/>
        </w:rPr>
        <w:t>,00</w:t>
      </w:r>
      <w:r w:rsidR="00460F83" w:rsidRPr="008D7EB7">
        <w:rPr>
          <w:rFonts w:asciiTheme="minorHAnsi" w:hAnsiTheme="minorHAnsi" w:cs="Calibri Light"/>
          <w:spacing w:val="-1"/>
        </w:rPr>
        <w:t xml:space="preserve"> euros</w:t>
      </w:r>
      <w:r w:rsidRPr="009B4A9D">
        <w:rPr>
          <w:rFonts w:asciiTheme="minorHAnsi" w:hAnsiTheme="minorHAnsi" w:cs="Calibri Light"/>
          <w:spacing w:val="-1"/>
        </w:rPr>
        <w:t>/établissement</w:t>
      </w:r>
      <w:r w:rsidRPr="00DA6BD2">
        <w:rPr>
          <w:rFonts w:asciiTheme="minorHAnsi" w:hAnsiTheme="minorHAnsi" w:cs="Calibri Light"/>
          <w:spacing w:val="-1"/>
        </w:rPr>
        <w:t>.</w:t>
      </w:r>
    </w:p>
    <w:p w14:paraId="108942D2"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Taux à moduler au choix, selon le chiffre d'affaires ou le caractère accessoire ou non de l'activité exercée.</w:t>
      </w:r>
    </w:p>
    <w:p w14:paraId="1CBD83DC" w14:textId="40987A07" w:rsidR="00D50CD0" w:rsidRDefault="00D50CD0" w:rsidP="00E063FD">
      <w:pPr>
        <w:spacing w:before="120"/>
        <w:jc w:val="both"/>
        <w:textAlignment w:val="baseline"/>
        <w:rPr>
          <w:rFonts w:asciiTheme="minorHAnsi" w:hAnsiTheme="minorHAnsi" w:cs="Calibri Light"/>
        </w:rPr>
      </w:pPr>
      <w:r w:rsidRPr="00D50CD0">
        <w:rPr>
          <w:rFonts w:asciiTheme="minorHAnsi" w:hAnsiTheme="minorHAnsi" w:cs="Calibri Light"/>
        </w:rPr>
        <w:t>Cette modulation est d’autant plus importante que dans l’arrêt du 19 avril 2021</w:t>
      </w:r>
      <w:r>
        <w:rPr>
          <w:rStyle w:val="Appelnotedebasdep"/>
          <w:rFonts w:asciiTheme="minorHAnsi" w:hAnsiTheme="minorHAnsi" w:cs="Calibri Light"/>
        </w:rPr>
        <w:footnoteReference w:id="159"/>
      </w:r>
      <w:r w:rsidRPr="00D50CD0">
        <w:rPr>
          <w:rFonts w:asciiTheme="minorHAnsi" w:hAnsiTheme="minorHAnsi" w:cs="Calibri Light"/>
        </w:rPr>
        <w:t xml:space="preserve"> dans lequel 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 »</w:t>
      </w:r>
    </w:p>
    <w:p w14:paraId="7CD5308D" w14:textId="2A446403"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distributeurs automatiques de cigarettes ne peuvent plus être repris dans la base d'imposition de la présente taxe.</w:t>
      </w:r>
    </w:p>
    <w:p w14:paraId="19B48F41" w14:textId="1B81280F"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Compte tenu de la marge bénéficiaire sur les produits de tabacs fabriqués et du fait que l'on se trouve dans un secteur où les prix sont réglementés, il y a lieu d'être attentif à ne pas lever une taxe qui rendrait impossible l'exercice d'une activité commerciale.</w:t>
      </w:r>
    </w:p>
    <w:p w14:paraId="44EA8783" w14:textId="77777777" w:rsidR="0021392E" w:rsidRDefault="0021392E" w:rsidP="00E063FD">
      <w:pPr>
        <w:spacing w:before="120"/>
        <w:jc w:val="both"/>
        <w:textAlignment w:val="baseline"/>
        <w:rPr>
          <w:rFonts w:asciiTheme="minorHAnsi" w:hAnsiTheme="minorHAnsi" w:cs="Calibri Light"/>
        </w:rPr>
      </w:pPr>
    </w:p>
    <w:p w14:paraId="3EE8782C" w14:textId="77777777" w:rsidR="009D393B" w:rsidRDefault="00C82157" w:rsidP="00256E9F">
      <w:pPr>
        <w:pStyle w:val="Sam3"/>
      </w:pPr>
      <w:bookmarkStart w:id="6111" w:name="_Toc74557772"/>
      <w:bookmarkStart w:id="6112" w:name="_Hlk39071167"/>
      <w:r>
        <w:t>040/364-16 : A</w:t>
      </w:r>
      <w:r w:rsidR="009D393B">
        <w:t>gences de paris sur les courses de chevaux</w:t>
      </w:r>
      <w:bookmarkEnd w:id="6111"/>
    </w:p>
    <w:bookmarkEnd w:id="6112"/>
    <w:p w14:paraId="7756F55D" w14:textId="77777777" w:rsidR="0084076C" w:rsidRPr="006126A1" w:rsidRDefault="0084076C" w:rsidP="00E063FD">
      <w:r w:rsidRPr="00E063FD">
        <w:t>Taxe directe – Modèle disponible.</w:t>
      </w:r>
    </w:p>
    <w:p w14:paraId="7EEFD6C7" w14:textId="77777777" w:rsidR="009B4A9D" w:rsidRDefault="009B153C" w:rsidP="00E063FD">
      <w:pPr>
        <w:spacing w:before="120"/>
        <w:jc w:val="both"/>
        <w:textAlignment w:val="baseline"/>
        <w:rPr>
          <w:rFonts w:asciiTheme="minorHAnsi" w:hAnsiTheme="minorHAnsi" w:cs="Calibri Light"/>
        </w:rPr>
      </w:pPr>
      <w:r w:rsidRPr="009B4A9D">
        <w:rPr>
          <w:rFonts w:asciiTheme="minorHAnsi" w:hAnsiTheme="minorHAnsi" w:cs="Calibri Light"/>
        </w:rPr>
        <w:t xml:space="preserve">Le taux est fixé par l'article 74 du Code des taxes assimilées aux impôts sur les revenus. </w:t>
      </w:r>
    </w:p>
    <w:p w14:paraId="5E0FF8A1" w14:textId="0E342250" w:rsidR="009B153C" w:rsidRPr="00DA6BD2" w:rsidRDefault="00D60650" w:rsidP="00E063FD">
      <w:pPr>
        <w:spacing w:before="120"/>
        <w:jc w:val="both"/>
        <w:textAlignment w:val="baseline"/>
        <w:rPr>
          <w:rFonts w:asciiTheme="minorHAnsi" w:hAnsiTheme="minorHAnsi" w:cs="Calibri Light"/>
          <w:b/>
        </w:rPr>
      </w:pPr>
      <w:r w:rsidRPr="009B4A9D">
        <w:rPr>
          <w:rFonts w:asciiTheme="minorHAnsi" w:hAnsiTheme="minorHAnsi" w:cs="Calibri Light"/>
        </w:rPr>
        <w:t>Actuellement, c</w:t>
      </w:r>
      <w:r w:rsidR="009B153C" w:rsidRPr="009B4A9D">
        <w:rPr>
          <w:rFonts w:asciiTheme="minorHAnsi" w:hAnsiTheme="minorHAnsi" w:cs="Calibri Light"/>
        </w:rPr>
        <w:t xml:space="preserve">e taux </w:t>
      </w:r>
      <w:r w:rsidRPr="009B4A9D">
        <w:rPr>
          <w:rFonts w:asciiTheme="minorHAnsi" w:hAnsiTheme="minorHAnsi" w:cs="Calibri Light"/>
        </w:rPr>
        <w:t xml:space="preserve">ne peut pas </w:t>
      </w:r>
      <w:r w:rsidR="002C560F" w:rsidRPr="009B4A9D">
        <w:rPr>
          <w:rFonts w:asciiTheme="minorHAnsi" w:hAnsiTheme="minorHAnsi" w:cs="Calibri Light"/>
        </w:rPr>
        <w:t xml:space="preserve">être supérieur </w:t>
      </w:r>
      <w:r w:rsidR="009B153C" w:rsidRPr="009B4A9D">
        <w:rPr>
          <w:rFonts w:asciiTheme="minorHAnsi" w:hAnsiTheme="minorHAnsi" w:cs="Calibri Light"/>
        </w:rPr>
        <w:t>à 62</w:t>
      </w:r>
      <w:r w:rsidR="009B4A9D">
        <w:rPr>
          <w:rFonts w:asciiTheme="minorHAnsi" w:hAnsiTheme="minorHAnsi" w:cs="Calibri Light"/>
        </w:rPr>
        <w:t>,00</w:t>
      </w:r>
      <w:r w:rsidR="009B153C" w:rsidRPr="009B4A9D">
        <w:rPr>
          <w:rFonts w:asciiTheme="minorHAnsi" w:hAnsiTheme="minorHAnsi" w:cs="Calibri Light"/>
        </w:rPr>
        <w:t xml:space="preserve"> euros par mois ou fraction de mois d'exploitation</w:t>
      </w:r>
      <w:r w:rsidR="005B7E8F" w:rsidRPr="009B4A9D">
        <w:rPr>
          <w:rFonts w:asciiTheme="minorHAnsi" w:hAnsiTheme="minorHAnsi" w:cs="Calibri Light"/>
        </w:rPr>
        <w:t xml:space="preserve"> et ne peut pas être indexé (la loi ne le permet pas).</w:t>
      </w:r>
      <w:r w:rsidR="005B7E8F" w:rsidRPr="00A310A8">
        <w:rPr>
          <w:rFonts w:asciiTheme="minorHAnsi" w:hAnsiTheme="minorHAnsi" w:cs="Calibri Light"/>
        </w:rPr>
        <w:t xml:space="preserve"> </w:t>
      </w:r>
      <w:bookmarkStart w:id="6113" w:name="_Hlk39071191"/>
    </w:p>
    <w:bookmarkEnd w:id="6113"/>
    <w:p w14:paraId="25C21E78" w14:textId="745D920A"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Cette taxe ne peut être établie que sur les agences de paris aux courses de chevaux autorisées dans le cadre de l'article 66 du Code des taxes assimilées aux impôts sur les revenus</w:t>
      </w:r>
      <w:r w:rsidR="00AD687A">
        <w:rPr>
          <w:rFonts w:asciiTheme="minorHAnsi" w:hAnsiTheme="minorHAnsi" w:cs="Calibri Light"/>
        </w:rPr>
        <w:t xml:space="preserve"> (</w:t>
      </w:r>
      <w:r w:rsidR="00AD687A" w:rsidRPr="00DA6BD2">
        <w:rPr>
          <w:rFonts w:asciiTheme="minorHAnsi" w:hAnsiTheme="minorHAnsi" w:cs="Calibri Light"/>
        </w:rPr>
        <w:t>agences acceptant des paris sur les courses de chevaux courues à l'étranger</w:t>
      </w:r>
      <w:r w:rsidR="00AD687A">
        <w:rPr>
          <w:rFonts w:asciiTheme="minorHAnsi" w:hAnsiTheme="minorHAnsi" w:cs="Calibri Light"/>
        </w:rPr>
        <w:t>)</w:t>
      </w:r>
      <w:r w:rsidRPr="00DA6BD2">
        <w:rPr>
          <w:rFonts w:asciiTheme="minorHAnsi" w:hAnsiTheme="minorHAnsi" w:cs="Calibri Light"/>
        </w:rPr>
        <w:t>.</w:t>
      </w:r>
    </w:p>
    <w:p w14:paraId="44B88796" w14:textId="77777777" w:rsidR="0021392E" w:rsidRPr="00DA6BD2" w:rsidRDefault="0021392E" w:rsidP="00E063FD">
      <w:pPr>
        <w:spacing w:before="120"/>
        <w:jc w:val="both"/>
        <w:textAlignment w:val="baseline"/>
        <w:rPr>
          <w:rFonts w:asciiTheme="minorHAnsi" w:hAnsiTheme="minorHAnsi" w:cs="Calibri Light"/>
        </w:rPr>
      </w:pPr>
    </w:p>
    <w:p w14:paraId="23179D3D" w14:textId="77777777" w:rsidR="009D393B" w:rsidRDefault="00C82157" w:rsidP="00256E9F">
      <w:pPr>
        <w:pStyle w:val="Sam3"/>
      </w:pPr>
      <w:bookmarkStart w:id="6114" w:name="_Toc516739825"/>
      <w:bookmarkStart w:id="6115" w:name="_Toc516751734"/>
      <w:bookmarkStart w:id="6116" w:name="_Toc516825822"/>
      <w:bookmarkStart w:id="6117" w:name="_Toc516826380"/>
      <w:bookmarkStart w:id="6118" w:name="_Toc516837700"/>
      <w:bookmarkStart w:id="6119" w:name="_Toc516838259"/>
      <w:bookmarkStart w:id="6120" w:name="_Toc516838818"/>
      <w:bookmarkStart w:id="6121" w:name="_Toc516839378"/>
      <w:bookmarkStart w:id="6122" w:name="_Toc517173474"/>
      <w:bookmarkStart w:id="6123" w:name="_Toc517175148"/>
      <w:bookmarkStart w:id="6124" w:name="_Toc517175735"/>
      <w:bookmarkStart w:id="6125" w:name="_Toc517176323"/>
      <w:bookmarkStart w:id="6126" w:name="_Toc517337648"/>
      <w:bookmarkStart w:id="6127" w:name="_Toc517360444"/>
      <w:bookmarkStart w:id="6128" w:name="_Toc7455777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r>
        <w:t>040/364-18 : C</w:t>
      </w:r>
      <w:r w:rsidR="009D393B">
        <w:t>lubs privés</w:t>
      </w:r>
      <w:bookmarkEnd w:id="6128"/>
    </w:p>
    <w:p w14:paraId="5BF7F71D" w14:textId="77777777" w:rsidR="0084076C" w:rsidRPr="006126A1" w:rsidRDefault="0084076C" w:rsidP="00E063FD">
      <w:r w:rsidRPr="00E063FD">
        <w:t>Taxe directe – Modèle disponible.</w:t>
      </w:r>
    </w:p>
    <w:p w14:paraId="52CFF817" w14:textId="7A98B390" w:rsidR="009B153C" w:rsidRPr="00DA6BD2"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 xml:space="preserve">Taux maximum </w:t>
      </w:r>
      <w:r w:rsidRPr="00C24D2E">
        <w:rPr>
          <w:rFonts w:asciiTheme="minorHAnsi" w:hAnsiTheme="minorHAnsi" w:cs="Calibri Light"/>
          <w:spacing w:val="-2"/>
        </w:rPr>
        <w:t xml:space="preserve">recommandé : </w:t>
      </w:r>
      <w:r w:rsidR="00460F83" w:rsidRPr="008D7EB7">
        <w:rPr>
          <w:rFonts w:asciiTheme="minorHAnsi" w:hAnsiTheme="minorHAnsi" w:cs="Calibri Light"/>
          <w:spacing w:val="-2"/>
        </w:rPr>
        <w:t>10.000</w:t>
      </w:r>
      <w:r w:rsidR="009B4A9D" w:rsidRPr="008D7EB7">
        <w:rPr>
          <w:rFonts w:asciiTheme="minorHAnsi" w:hAnsiTheme="minorHAnsi" w:cs="Calibri Light"/>
          <w:spacing w:val="-2"/>
        </w:rPr>
        <w:t>,00</w:t>
      </w:r>
      <w:r w:rsidR="00460F83" w:rsidRPr="008D7EB7">
        <w:rPr>
          <w:rFonts w:asciiTheme="minorHAnsi" w:hAnsiTheme="minorHAnsi" w:cs="Calibri Light"/>
          <w:spacing w:val="-2"/>
        </w:rPr>
        <w:t xml:space="preserve"> </w:t>
      </w:r>
      <w:r w:rsidRPr="008D7EB7">
        <w:rPr>
          <w:rFonts w:asciiTheme="minorHAnsi" w:hAnsiTheme="minorHAnsi" w:cs="Calibri Light"/>
          <w:spacing w:val="-2"/>
        </w:rPr>
        <w:t>euros</w:t>
      </w:r>
      <w:r w:rsidR="0021392E">
        <w:rPr>
          <w:rFonts w:asciiTheme="minorHAnsi" w:hAnsiTheme="minorHAnsi" w:cs="Calibri Light"/>
          <w:spacing w:val="-2"/>
        </w:rPr>
        <w:t xml:space="preserve"> </w:t>
      </w:r>
      <w:r w:rsidRPr="00C24D2E">
        <w:rPr>
          <w:rFonts w:asciiTheme="minorHAnsi" w:hAnsiTheme="minorHAnsi" w:cs="Calibri Light"/>
          <w:spacing w:val="-2"/>
        </w:rPr>
        <w:t>par établissement.</w:t>
      </w:r>
    </w:p>
    <w:p w14:paraId="0F6D5B0E"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Sont visés les établissements où est offerte la possibilité de consommer des boissons et dont l'accès est réservé à certaines personnes ou subordonné à l'accomplissement de certaines formalités.</w:t>
      </w:r>
    </w:p>
    <w:p w14:paraId="714AF39C"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commune veillera cependant à exonérer les cercles qui poursuivent un but philosophique, culturel, social ou sportif.</w:t>
      </w:r>
    </w:p>
    <w:p w14:paraId="6370AB78" w14:textId="4F2D9957" w:rsidR="009B153C" w:rsidRDefault="009B153C" w:rsidP="00E063FD">
      <w:pPr>
        <w:spacing w:before="120"/>
        <w:jc w:val="both"/>
        <w:textAlignment w:val="baseline"/>
        <w:rPr>
          <w:rFonts w:asciiTheme="minorHAnsi" w:hAnsiTheme="minorHAnsi" w:cs="Calibri Light"/>
        </w:rPr>
      </w:pPr>
      <w:bookmarkStart w:id="6129" w:name="_Hlk38969620"/>
      <w:r w:rsidRPr="00DA6BD2">
        <w:rPr>
          <w:rFonts w:asciiTheme="minorHAnsi" w:hAnsiTheme="minorHAnsi" w:cs="Calibri Light"/>
        </w:rPr>
        <w:t xml:space="preserve">Lorsque le club privé occupe du personnel visé au 040/364-02, il convient d'appliquer à l'exploitant la taxe sur </w:t>
      </w:r>
      <w:r w:rsidR="0009751D" w:rsidRPr="009B4A9D">
        <w:rPr>
          <w:rFonts w:asciiTheme="minorHAnsi" w:hAnsiTheme="minorHAnsi" w:cs="Calibri Light"/>
        </w:rPr>
        <w:t>l’établissement occupant du personnel</w:t>
      </w:r>
      <w:r w:rsidR="0009751D">
        <w:rPr>
          <w:rFonts w:asciiTheme="minorHAnsi" w:hAnsiTheme="minorHAnsi" w:cs="Calibri Light"/>
        </w:rPr>
        <w:t xml:space="preserve"> de bar</w:t>
      </w:r>
      <w:r w:rsidRPr="00DA6BD2">
        <w:rPr>
          <w:rFonts w:asciiTheme="minorHAnsi" w:hAnsiTheme="minorHAnsi" w:cs="Calibri Light"/>
        </w:rPr>
        <w:t>, à l'exclusion de la présente imposition.</w:t>
      </w:r>
    </w:p>
    <w:bookmarkEnd w:id="6129"/>
    <w:p w14:paraId="6460AA49" w14:textId="40A28372" w:rsidR="0021392E" w:rsidRDefault="0021392E" w:rsidP="00E063FD">
      <w:pPr>
        <w:spacing w:before="120"/>
        <w:jc w:val="both"/>
        <w:textAlignment w:val="baseline"/>
        <w:rPr>
          <w:rFonts w:asciiTheme="minorHAnsi" w:hAnsiTheme="minorHAnsi" w:cs="Calibri Light"/>
        </w:rPr>
      </w:pPr>
    </w:p>
    <w:p w14:paraId="746F07E9" w14:textId="77777777" w:rsidR="009D393B" w:rsidRDefault="00C82157" w:rsidP="00256E9F">
      <w:pPr>
        <w:pStyle w:val="Sam3"/>
      </w:pPr>
      <w:bookmarkStart w:id="6130" w:name="_Toc74557774"/>
      <w:r>
        <w:lastRenderedPageBreak/>
        <w:t>040/364-21 : E</w:t>
      </w:r>
      <w:r w:rsidR="009D393B">
        <w:t>xploitations de taxis</w:t>
      </w:r>
      <w:bookmarkEnd w:id="6130"/>
      <w:r w:rsidR="009D393B">
        <w:t xml:space="preserve"> </w:t>
      </w:r>
    </w:p>
    <w:p w14:paraId="628F765F" w14:textId="77777777" w:rsidR="0084076C" w:rsidRPr="006126A1" w:rsidRDefault="0084076C" w:rsidP="00E063FD">
      <w:r w:rsidRPr="00E063FD">
        <w:t>Taxe directe – Modèle disponible.</w:t>
      </w:r>
    </w:p>
    <w:p w14:paraId="34BCF6C0" w14:textId="21C15338" w:rsidR="009B153C" w:rsidRDefault="009B153C" w:rsidP="00E063FD">
      <w:pPr>
        <w:spacing w:before="120"/>
        <w:jc w:val="both"/>
        <w:textAlignment w:val="baseline"/>
        <w:rPr>
          <w:rFonts w:asciiTheme="minorHAnsi" w:hAnsiTheme="minorHAnsi" w:cs="Calibri Light"/>
          <w:color w:val="FF0000"/>
        </w:rPr>
      </w:pPr>
      <w:r w:rsidRPr="00DA6BD2">
        <w:rPr>
          <w:rFonts w:asciiTheme="minorHAnsi" w:hAnsiTheme="minorHAnsi" w:cs="Calibri Light"/>
        </w:rPr>
        <w:t>Le taux maximum pour l'obtention d'une licence d'exploitation s'élève à 600</w:t>
      </w:r>
      <w:r w:rsidR="009B4A9D">
        <w:rPr>
          <w:rFonts w:asciiTheme="minorHAnsi" w:hAnsiTheme="minorHAnsi" w:cs="Calibri Light"/>
        </w:rPr>
        <w:t>,00</w:t>
      </w:r>
      <w:r w:rsidRPr="00DA6BD2">
        <w:rPr>
          <w:rFonts w:asciiTheme="minorHAnsi" w:hAnsiTheme="minorHAnsi" w:cs="Calibri Light"/>
        </w:rPr>
        <w:t xml:space="preserve"> euros </w:t>
      </w:r>
      <w:r w:rsidR="0021392E">
        <w:rPr>
          <w:rFonts w:asciiTheme="minorHAnsi" w:hAnsiTheme="minorHAnsi" w:cs="Calibri Light"/>
        </w:rPr>
        <w:t xml:space="preserve">(pas </w:t>
      </w:r>
      <w:r w:rsidR="00C25513" w:rsidRPr="009B4A9D">
        <w:rPr>
          <w:rFonts w:asciiTheme="minorHAnsi" w:hAnsiTheme="minorHAnsi" w:cs="Calibri Light"/>
        </w:rPr>
        <w:t>d’in</w:t>
      </w:r>
      <w:r w:rsidR="00C25513" w:rsidRPr="008D7EB7">
        <w:rPr>
          <w:rFonts w:asciiTheme="minorHAnsi" w:hAnsiTheme="minorHAnsi" w:cs="Calibri Light"/>
        </w:rPr>
        <w:t>d</w:t>
      </w:r>
      <w:r w:rsidR="00C25513" w:rsidRPr="009B4A9D">
        <w:rPr>
          <w:rFonts w:asciiTheme="minorHAnsi" w:hAnsiTheme="minorHAnsi" w:cs="Calibri Light"/>
        </w:rPr>
        <w:t>exation</w:t>
      </w:r>
      <w:r w:rsidR="00C25513">
        <w:rPr>
          <w:rFonts w:asciiTheme="minorHAnsi" w:hAnsiTheme="minorHAnsi" w:cs="Calibri Light"/>
        </w:rPr>
        <w:t xml:space="preserve"> </w:t>
      </w:r>
      <w:r w:rsidR="0021392E">
        <w:rPr>
          <w:rFonts w:asciiTheme="minorHAnsi" w:hAnsiTheme="minorHAnsi" w:cs="Calibri Light"/>
        </w:rPr>
        <w:t>possible</w:t>
      </w:r>
      <w:r w:rsidR="00E53306">
        <w:rPr>
          <w:rFonts w:asciiTheme="minorHAnsi" w:hAnsiTheme="minorHAnsi" w:cs="Calibri Light"/>
        </w:rPr>
        <w:t xml:space="preserve"> par la commune</w:t>
      </w:r>
      <w:r w:rsidR="0021392E">
        <w:rPr>
          <w:rFonts w:asciiTheme="minorHAnsi" w:hAnsiTheme="minorHAnsi" w:cs="Calibri Light"/>
        </w:rPr>
        <w:t xml:space="preserve">) </w:t>
      </w:r>
      <w:r w:rsidRPr="00DA6BD2">
        <w:rPr>
          <w:rFonts w:asciiTheme="minorHAnsi" w:hAnsiTheme="minorHAnsi" w:cs="Calibri Light"/>
        </w:rPr>
        <w:t xml:space="preserve">pour chaque véhicule </w:t>
      </w:r>
      <w:r w:rsidRPr="009B4A9D">
        <w:rPr>
          <w:rFonts w:asciiTheme="minorHAnsi" w:hAnsiTheme="minorHAnsi" w:cs="Calibri Light"/>
        </w:rPr>
        <w:t>autorisé</w:t>
      </w:r>
      <w:r w:rsidR="009B4A9D">
        <w:rPr>
          <w:rStyle w:val="Appelnotedebasdep"/>
          <w:rFonts w:asciiTheme="minorHAnsi" w:hAnsiTheme="minorHAnsi" w:cs="Calibri Light"/>
        </w:rPr>
        <w:footnoteReference w:id="160"/>
      </w:r>
      <w:r w:rsidR="003A3E72" w:rsidRPr="00900C39">
        <w:rPr>
          <w:rFonts w:asciiTheme="minorHAnsi" w:hAnsiTheme="minorHAnsi" w:cs="Calibri Light"/>
        </w:rPr>
        <w:t>.</w:t>
      </w:r>
      <w:r w:rsidR="003A3E72" w:rsidRPr="003A4654">
        <w:rPr>
          <w:rFonts w:asciiTheme="minorHAnsi" w:hAnsiTheme="minorHAnsi" w:cs="Calibri Light"/>
          <w:color w:val="FF0000"/>
        </w:rPr>
        <w:t xml:space="preserve"> </w:t>
      </w:r>
    </w:p>
    <w:p w14:paraId="0C9758F5" w14:textId="77777777" w:rsidR="00E53306" w:rsidRPr="008D7EB7" w:rsidRDefault="00E53306" w:rsidP="00E53306">
      <w:pPr>
        <w:spacing w:before="120"/>
        <w:jc w:val="both"/>
        <w:textAlignment w:val="baseline"/>
        <w:rPr>
          <w:rFonts w:asciiTheme="minorHAnsi" w:hAnsiTheme="minorHAnsi" w:cs="Calibri Light"/>
        </w:rPr>
      </w:pPr>
      <w:r w:rsidRPr="008D7EB7">
        <w:rPr>
          <w:rFonts w:asciiTheme="minorHAnsi" w:hAnsiTheme="minorHAnsi" w:cs="Calibri Light"/>
        </w:rPr>
        <w:t xml:space="preserve">Le décret du 18 octobre 2007 relatif aux services de taxis et aux services de location de voitures avec chauffeur prévoit le paiement d’une taxe annuelle pour chaque véhicule autorisé dans le cadre de l’exploitation de taxis, location de voitures avec chauffeur et taxis collectifs. </w:t>
      </w:r>
    </w:p>
    <w:p w14:paraId="253C670D" w14:textId="77777777" w:rsidR="00E53306" w:rsidRPr="008D7EB7" w:rsidRDefault="00E53306" w:rsidP="00E53306">
      <w:pPr>
        <w:spacing w:before="120"/>
        <w:jc w:val="both"/>
        <w:textAlignment w:val="baseline"/>
        <w:rPr>
          <w:rFonts w:asciiTheme="minorHAnsi" w:hAnsiTheme="minorHAnsi" w:cs="Calibri Light"/>
        </w:rPr>
      </w:pPr>
      <w:r w:rsidRPr="008D7EB7">
        <w:rPr>
          <w:rFonts w:asciiTheme="minorHAnsi" w:hAnsiTheme="minorHAnsi" w:cs="Calibri Light"/>
        </w:rPr>
        <w:t>La commune ne peut arrêter une taxe qu’en ce qui concerne l’exploitation de taxis. En effet, les matières relatives aux locations de voitures avec chauffeur et aux services de taxis collectifs sont de la compétence de la Région.</w:t>
      </w:r>
    </w:p>
    <w:p w14:paraId="194A3278" w14:textId="10A2451E" w:rsidR="00E53306" w:rsidRPr="008D7EB7" w:rsidRDefault="00E53306" w:rsidP="00E53306">
      <w:pPr>
        <w:spacing w:before="120"/>
        <w:jc w:val="both"/>
        <w:textAlignment w:val="baseline"/>
        <w:rPr>
          <w:rFonts w:asciiTheme="minorHAnsi" w:hAnsiTheme="minorHAnsi" w:cs="Calibri Light"/>
        </w:rPr>
      </w:pPr>
      <w:r w:rsidRPr="008D7EB7">
        <w:rPr>
          <w:rFonts w:asciiTheme="minorHAnsi" w:hAnsiTheme="minorHAnsi" w:cs="Calibri Light"/>
        </w:rPr>
        <w:t xml:space="preserve">L’arrêté du </w:t>
      </w:r>
      <w:r w:rsidR="00630967" w:rsidRPr="008D7EB7">
        <w:rPr>
          <w:rFonts w:asciiTheme="minorHAnsi" w:hAnsiTheme="minorHAnsi" w:cs="Calibri Light"/>
        </w:rPr>
        <w:t xml:space="preserve">Gouvernement wallon du </w:t>
      </w:r>
      <w:r w:rsidRPr="008D7EB7">
        <w:rPr>
          <w:rFonts w:asciiTheme="minorHAnsi" w:hAnsiTheme="minorHAnsi" w:cs="Calibri Light"/>
        </w:rPr>
        <w:t>3 juin 2009</w:t>
      </w:r>
      <w:r w:rsidR="009B4A9D">
        <w:rPr>
          <w:rStyle w:val="Appelnotedebasdep"/>
          <w:rFonts w:asciiTheme="minorHAnsi" w:hAnsiTheme="minorHAnsi" w:cs="Calibri Light"/>
        </w:rPr>
        <w:footnoteReference w:id="161"/>
      </w:r>
      <w:r w:rsidRPr="008D7EB7">
        <w:rPr>
          <w:rFonts w:asciiTheme="minorHAnsi" w:hAnsiTheme="minorHAnsi" w:cs="Calibri Light"/>
        </w:rPr>
        <w:t xml:space="preserve"> </w:t>
      </w:r>
      <w:r w:rsidRPr="008D7EB7">
        <w:rPr>
          <w:rFonts w:cs="Calibri Light"/>
          <w:spacing w:val="1"/>
        </w:rPr>
        <w:t xml:space="preserve">relatif à la perception de taxes et à l'octroi d'une prime en matière d'exploitation de services de taxis, location de voitures avec chauffeur et taxis collectifs </w:t>
      </w:r>
      <w:r w:rsidRPr="008D7EB7">
        <w:rPr>
          <w:rFonts w:asciiTheme="minorHAnsi" w:hAnsiTheme="minorHAnsi" w:cs="Calibri Light"/>
        </w:rPr>
        <w:t>fixe le montant de cette taxe communale et détermine les modalités de sa perception.</w:t>
      </w:r>
    </w:p>
    <w:p w14:paraId="002E8B80" w14:textId="3C424519" w:rsidR="00E53306" w:rsidRDefault="00E53306" w:rsidP="00E53306">
      <w:pPr>
        <w:spacing w:before="120"/>
        <w:jc w:val="both"/>
        <w:textAlignment w:val="baseline"/>
        <w:rPr>
          <w:rFonts w:asciiTheme="minorHAnsi" w:hAnsiTheme="minorHAnsi" w:cs="Calibri Light"/>
        </w:rPr>
      </w:pPr>
      <w:r w:rsidRPr="008D7EB7">
        <w:rPr>
          <w:rFonts w:asciiTheme="minorHAnsi" w:hAnsiTheme="minorHAnsi" w:cs="Calibri Light"/>
        </w:rPr>
        <w:t xml:space="preserve">Suivant l’article 16 de décret du 18 octobre 2007 et l’article 2 de l’arrêté du 3 juin 2009, ladite taxe </w:t>
      </w:r>
      <w:r w:rsidR="001044C0" w:rsidRPr="009B4A9D">
        <w:rPr>
          <w:rFonts w:asciiTheme="minorHAnsi" w:hAnsiTheme="minorHAnsi" w:cs="Calibri Light"/>
        </w:rPr>
        <w:t>est :</w:t>
      </w:r>
    </w:p>
    <w:p w14:paraId="3FE02E19" w14:textId="7976F02E"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annuelle</w:t>
      </w:r>
      <w:proofErr w:type="gramEnd"/>
      <w:r w:rsidRPr="008D7EB7">
        <w:rPr>
          <w:rFonts w:asciiTheme="minorHAnsi" w:hAnsiTheme="minorHAnsi" w:cs="Calibri Light"/>
        </w:rPr>
        <w:t xml:space="preserve"> et indivisible</w:t>
      </w:r>
      <w:r w:rsidR="00BF4C17">
        <w:rPr>
          <w:rFonts w:asciiTheme="minorHAnsi" w:hAnsiTheme="minorHAnsi" w:cs="Calibri Light"/>
        </w:rPr>
        <w:t> ;</w:t>
      </w:r>
    </w:p>
    <w:p w14:paraId="16554495" w14:textId="2221EEC6"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à</w:t>
      </w:r>
      <w:proofErr w:type="gramEnd"/>
      <w:r w:rsidRPr="008D7EB7">
        <w:rPr>
          <w:rFonts w:asciiTheme="minorHAnsi" w:hAnsiTheme="minorHAnsi" w:cs="Calibri Light"/>
        </w:rPr>
        <w:t xml:space="preserve"> charge de la personne physique ou morale bénéficiant de l’autorisation</w:t>
      </w:r>
      <w:r w:rsidR="00BF4C17">
        <w:rPr>
          <w:rFonts w:asciiTheme="minorHAnsi" w:hAnsiTheme="minorHAnsi" w:cs="Calibri Light"/>
        </w:rPr>
        <w:t> ;</w:t>
      </w:r>
    </w:p>
    <w:p w14:paraId="6034D740" w14:textId="33BA717E"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due</w:t>
      </w:r>
      <w:proofErr w:type="gramEnd"/>
      <w:r w:rsidRPr="008D7EB7">
        <w:rPr>
          <w:rFonts w:asciiTheme="minorHAnsi" w:hAnsiTheme="minorHAnsi" w:cs="Calibri Light"/>
        </w:rPr>
        <w:t xml:space="preserve"> pour toute l’année, indépendamment du moment auquel l’autorisation a été délivrée</w:t>
      </w:r>
      <w:r w:rsidR="00BF4C17">
        <w:rPr>
          <w:rFonts w:asciiTheme="minorHAnsi" w:hAnsiTheme="minorHAnsi" w:cs="Calibri Light"/>
        </w:rPr>
        <w:t> ;</w:t>
      </w:r>
    </w:p>
    <w:p w14:paraId="6632AB42" w14:textId="7948C939"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due</w:t>
      </w:r>
      <w:proofErr w:type="gramEnd"/>
      <w:r w:rsidRPr="008D7EB7">
        <w:rPr>
          <w:rFonts w:asciiTheme="minorHAnsi" w:hAnsiTheme="minorHAnsi" w:cs="Calibri Light"/>
        </w:rPr>
        <w:t xml:space="preserve"> au </w:t>
      </w:r>
      <w:r w:rsidR="009B4A9D" w:rsidRPr="009B4A9D">
        <w:rPr>
          <w:rFonts w:asciiTheme="minorHAnsi" w:hAnsiTheme="minorHAnsi" w:cs="Calibri Light"/>
        </w:rPr>
        <w:t>1</w:t>
      </w:r>
      <w:r w:rsidR="009B4A9D" w:rsidRPr="008D7EB7">
        <w:rPr>
          <w:rFonts w:asciiTheme="minorHAnsi" w:hAnsiTheme="minorHAnsi" w:cs="Calibri Light"/>
          <w:vertAlign w:val="superscript"/>
        </w:rPr>
        <w:t>er</w:t>
      </w:r>
      <w:r w:rsidR="009B4A9D">
        <w:rPr>
          <w:rFonts w:asciiTheme="minorHAnsi" w:hAnsiTheme="minorHAnsi" w:cs="Calibri Light"/>
        </w:rPr>
        <w:t xml:space="preserve"> </w:t>
      </w:r>
      <w:r w:rsidRPr="008D7EB7">
        <w:rPr>
          <w:rFonts w:asciiTheme="minorHAnsi" w:hAnsiTheme="minorHAnsi" w:cs="Calibri Light"/>
        </w:rPr>
        <w:t xml:space="preserve">janvier de l’année civile ou au moment de la délivrance de l’autorisation. </w:t>
      </w:r>
    </w:p>
    <w:p w14:paraId="39934467" w14:textId="2E715F8E" w:rsidR="003A3E72" w:rsidRDefault="00630967" w:rsidP="009B4A9D">
      <w:pPr>
        <w:spacing w:before="120"/>
        <w:jc w:val="both"/>
        <w:textAlignment w:val="baseline"/>
        <w:rPr>
          <w:rFonts w:asciiTheme="minorHAnsi" w:hAnsiTheme="minorHAnsi" w:cs="Calibri Light"/>
        </w:rPr>
      </w:pPr>
      <w:r w:rsidRPr="008D7EB7">
        <w:rPr>
          <w:rFonts w:asciiTheme="minorHAnsi" w:hAnsiTheme="minorHAnsi" w:cs="Calibri Light"/>
        </w:rPr>
        <w:t>C</w:t>
      </w:r>
      <w:r w:rsidR="003A3E72" w:rsidRPr="008D7EB7">
        <w:rPr>
          <w:rFonts w:asciiTheme="minorHAnsi" w:hAnsiTheme="minorHAnsi" w:cs="Calibri Light"/>
        </w:rPr>
        <w:t>onformément au dernier alinéa de l’article susvisé, le montant maximal de 600</w:t>
      </w:r>
      <w:r w:rsidR="009B4A9D">
        <w:rPr>
          <w:rFonts w:asciiTheme="minorHAnsi" w:hAnsiTheme="minorHAnsi" w:cs="Calibri Light"/>
        </w:rPr>
        <w:t>,00</w:t>
      </w:r>
      <w:r w:rsidR="003A3E72" w:rsidRPr="008D7EB7">
        <w:rPr>
          <w:rFonts w:asciiTheme="minorHAnsi" w:hAnsiTheme="minorHAnsi" w:cs="Calibri Light"/>
        </w:rPr>
        <w:t xml:space="preserve"> </w:t>
      </w:r>
      <w:r w:rsidR="00BF4C17">
        <w:rPr>
          <w:rFonts w:asciiTheme="minorHAnsi" w:hAnsiTheme="minorHAnsi" w:cs="Calibri Light"/>
        </w:rPr>
        <w:t>euros</w:t>
      </w:r>
      <w:r w:rsidR="003A3E72" w:rsidRPr="008D7EB7">
        <w:rPr>
          <w:rFonts w:asciiTheme="minorHAnsi" w:hAnsiTheme="minorHAnsi" w:cs="Calibri Light"/>
        </w:rPr>
        <w:t xml:space="preserve"> visé ci-dessus peut être adapté par le Gouvernement wallon aux fluctuations de l’indice des prix à la consommation. Cependant, cette faculté d’indexation n’a pas encore été utilisée par le Gouvernement wallon. </w:t>
      </w:r>
    </w:p>
    <w:p w14:paraId="4DD74360" w14:textId="657D0303" w:rsidR="003A3E72" w:rsidRPr="008D7EB7" w:rsidRDefault="00630967" w:rsidP="003A3E72">
      <w:pPr>
        <w:spacing w:before="120"/>
        <w:jc w:val="both"/>
        <w:textAlignment w:val="baseline"/>
        <w:rPr>
          <w:rFonts w:cs="Calibri Light"/>
          <w:spacing w:val="1"/>
        </w:rPr>
      </w:pPr>
      <w:r w:rsidRPr="008D7EB7">
        <w:rPr>
          <w:rFonts w:cs="Calibri Light"/>
          <w:spacing w:val="1"/>
        </w:rPr>
        <w:t>Suivant l’article 6 de l</w:t>
      </w:r>
      <w:r w:rsidR="003A3E72" w:rsidRPr="008D7EB7">
        <w:rPr>
          <w:rFonts w:cs="Calibri Light"/>
          <w:spacing w:val="1"/>
        </w:rPr>
        <w:t xml:space="preserve">'arrêté du Gouvernement wallon du 3 juin 2009 </w:t>
      </w:r>
      <w:r w:rsidRPr="008D7EB7">
        <w:rPr>
          <w:rFonts w:cs="Calibri Light"/>
          <w:spacing w:val="1"/>
        </w:rPr>
        <w:t xml:space="preserve">susvisé </w:t>
      </w:r>
      <w:r w:rsidR="003A3E72" w:rsidRPr="008D7EB7">
        <w:rPr>
          <w:rFonts w:cs="Calibri Light"/>
          <w:spacing w:val="1"/>
        </w:rPr>
        <w:t>le montant de cette taxe, quel qu'il soit, sera réduit de 30 % en faveur des véhicules qui sont :</w:t>
      </w:r>
    </w:p>
    <w:p w14:paraId="5640A6BF" w14:textId="07E9679B" w:rsidR="003A3E72" w:rsidRPr="008D7EB7" w:rsidRDefault="009B4A9D"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Pr>
          <w:rFonts w:asciiTheme="minorHAnsi" w:hAnsiTheme="minorHAnsi" w:cs="Calibri Light"/>
        </w:rPr>
        <w:t>s</w:t>
      </w:r>
      <w:r w:rsidR="003A3E72" w:rsidRPr="008D7EB7">
        <w:rPr>
          <w:rFonts w:asciiTheme="minorHAnsi" w:hAnsiTheme="minorHAnsi" w:cs="Calibri Light"/>
        </w:rPr>
        <w:t>oit</w:t>
      </w:r>
      <w:proofErr w:type="gramEnd"/>
      <w:r w:rsidR="003A3E72" w:rsidRPr="008D7EB7">
        <w:rPr>
          <w:rFonts w:asciiTheme="minorHAnsi" w:hAnsiTheme="minorHAnsi" w:cs="Calibri Light"/>
        </w:rPr>
        <w:t xml:space="preserve"> aptes à utiliser 15 % de biocarburant tel qu'il est défini dans la directive 2003/20/CE du Parlement européen et du Conseil du 8 mai 2003 visant à promouvoir l'utilisation de biocarburants ou autres carburants renouvelables dans les transports ;</w:t>
      </w:r>
    </w:p>
    <w:p w14:paraId="0949C44F" w14:textId="20384CCC" w:rsidR="003A3E72" w:rsidRPr="008D7EB7" w:rsidRDefault="009B4A9D"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Pr>
          <w:rFonts w:asciiTheme="minorHAnsi" w:hAnsiTheme="minorHAnsi" w:cs="Calibri Light"/>
        </w:rPr>
        <w:t>s</w:t>
      </w:r>
      <w:r w:rsidR="003A3E72" w:rsidRPr="008D7EB7">
        <w:rPr>
          <w:rFonts w:asciiTheme="minorHAnsi" w:hAnsiTheme="minorHAnsi" w:cs="Calibri Light"/>
        </w:rPr>
        <w:t>oit</w:t>
      </w:r>
      <w:proofErr w:type="gramEnd"/>
      <w:r w:rsidR="003A3E72" w:rsidRPr="008D7EB7">
        <w:rPr>
          <w:rFonts w:asciiTheme="minorHAnsi" w:hAnsiTheme="minorHAnsi" w:cs="Calibri Light"/>
        </w:rPr>
        <w:t xml:space="preserve"> émettent moins de 115 grammes de CO</w:t>
      </w:r>
      <w:r w:rsidR="003A3E72" w:rsidRPr="008D7EB7">
        <w:rPr>
          <w:rFonts w:asciiTheme="minorHAnsi" w:hAnsiTheme="minorHAnsi" w:cs="Calibri Light"/>
          <w:vertAlign w:val="subscript"/>
        </w:rPr>
        <w:t>2</w:t>
      </w:r>
      <w:r w:rsidR="003A3E72" w:rsidRPr="008D7EB7">
        <w:rPr>
          <w:rFonts w:asciiTheme="minorHAnsi" w:hAnsiTheme="minorHAnsi" w:cs="Calibri Light"/>
        </w:rPr>
        <w:t xml:space="preserve"> par kilomètre ;</w:t>
      </w:r>
    </w:p>
    <w:p w14:paraId="6DFCB2C9" w14:textId="2AE6FD63" w:rsidR="003A3E72" w:rsidRPr="008D7EB7" w:rsidRDefault="009B4A9D" w:rsidP="00B0554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Pr>
          <w:rFonts w:asciiTheme="minorHAnsi" w:hAnsiTheme="minorHAnsi" w:cs="Calibri Light"/>
        </w:rPr>
        <w:t>s</w:t>
      </w:r>
      <w:r w:rsidR="003A3E72" w:rsidRPr="008D7EB7">
        <w:rPr>
          <w:rFonts w:asciiTheme="minorHAnsi" w:hAnsiTheme="minorHAnsi" w:cs="Calibri Light"/>
        </w:rPr>
        <w:t>oit</w:t>
      </w:r>
      <w:proofErr w:type="gramEnd"/>
      <w:r w:rsidR="003A3E72" w:rsidRPr="008D7EB7">
        <w:rPr>
          <w:rFonts w:asciiTheme="minorHAnsi" w:hAnsiTheme="minorHAnsi" w:cs="Calibri Light"/>
        </w:rPr>
        <w:t xml:space="preserve"> sont adaptés pour le transport de personnes voiturées.</w:t>
      </w:r>
    </w:p>
    <w:p w14:paraId="4B666784" w14:textId="77777777" w:rsidR="009B4A9D" w:rsidRPr="003A4654" w:rsidRDefault="009B4A9D" w:rsidP="008D7EB7">
      <w:pPr>
        <w:tabs>
          <w:tab w:val="left" w:pos="144"/>
          <w:tab w:val="left" w:pos="567"/>
        </w:tabs>
        <w:spacing w:before="120" w:after="160"/>
        <w:contextualSpacing/>
        <w:jc w:val="both"/>
        <w:textAlignment w:val="baseline"/>
        <w:rPr>
          <w:rFonts w:cs="Calibri Light"/>
          <w:color w:val="FF0000"/>
          <w:spacing w:val="1"/>
        </w:rPr>
      </w:pPr>
    </w:p>
    <w:p w14:paraId="1263A9AE" w14:textId="4B270EC1" w:rsidR="003A3E72" w:rsidRPr="008D7EB7" w:rsidRDefault="00630967" w:rsidP="003A3E72">
      <w:pPr>
        <w:spacing w:before="120"/>
        <w:jc w:val="both"/>
        <w:textAlignment w:val="baseline"/>
        <w:rPr>
          <w:rFonts w:cs="Calibri Light"/>
          <w:spacing w:val="1"/>
        </w:rPr>
      </w:pPr>
      <w:r w:rsidRPr="008D7EB7">
        <w:rPr>
          <w:rFonts w:cs="Calibri Light"/>
          <w:spacing w:val="1"/>
        </w:rPr>
        <w:t>Les articles 7 à 9 de ce mêm</w:t>
      </w:r>
      <w:r w:rsidR="00BF4C17">
        <w:rPr>
          <w:rFonts w:cs="Calibri Light"/>
          <w:spacing w:val="1"/>
        </w:rPr>
        <w:t>e</w:t>
      </w:r>
      <w:r w:rsidRPr="008D7EB7">
        <w:rPr>
          <w:rFonts w:cs="Calibri Light"/>
          <w:spacing w:val="1"/>
        </w:rPr>
        <w:t xml:space="preserve"> arrêté prévoient l</w:t>
      </w:r>
      <w:r w:rsidR="003A3E72" w:rsidRPr="008D7EB7">
        <w:rPr>
          <w:rFonts w:cs="Calibri Light"/>
          <w:spacing w:val="1"/>
        </w:rPr>
        <w:t>a procédure pour obtenir cette réduction de taxe.</w:t>
      </w:r>
    </w:p>
    <w:p w14:paraId="147137FA" w14:textId="3735932F" w:rsidR="003A3E72" w:rsidRPr="008D7EB7" w:rsidRDefault="003A3E72" w:rsidP="003A3E72">
      <w:pPr>
        <w:spacing w:before="120"/>
        <w:jc w:val="both"/>
        <w:textAlignment w:val="baseline"/>
        <w:rPr>
          <w:rFonts w:asciiTheme="minorHAnsi" w:hAnsiTheme="minorHAnsi" w:cs="Calibri Light"/>
          <w:spacing w:val="-2"/>
        </w:rPr>
      </w:pPr>
      <w:r w:rsidRPr="008D7EB7">
        <w:rPr>
          <w:rFonts w:asciiTheme="minorHAnsi" w:hAnsiTheme="minorHAnsi" w:cs="Calibri Light"/>
        </w:rPr>
        <w:t xml:space="preserve">La réglementation permet à tous taxis, dûment autorisés, de stationner librement aux emplacements qui leur sont réservés sur la voie publique.  En effet, la délivrance de l’autorisation d’exploiter un service emporte celle de stationner sur n’importe quel point de </w:t>
      </w:r>
      <w:r w:rsidRPr="008D7EB7">
        <w:rPr>
          <w:rFonts w:asciiTheme="minorHAnsi" w:hAnsiTheme="minorHAnsi" w:cs="Calibri Light"/>
        </w:rPr>
        <w:lastRenderedPageBreak/>
        <w:t xml:space="preserve">stationnement réservé aux taxis et situés sur la voie publique. </w:t>
      </w:r>
      <w:r w:rsidRPr="008D7EB7">
        <w:rPr>
          <w:rFonts w:asciiTheme="minorHAnsi" w:hAnsiTheme="minorHAnsi" w:cs="Calibri Light"/>
          <w:spacing w:val="-1"/>
        </w:rPr>
        <w:t xml:space="preserve">Par conséquent, </w:t>
      </w:r>
      <w:r w:rsidR="009B4A9D" w:rsidRPr="008D7EB7">
        <w:rPr>
          <w:rFonts w:asciiTheme="minorHAnsi" w:hAnsiTheme="minorHAnsi" w:cs="Calibri Light"/>
          <w:spacing w:val="-1"/>
          <w:u w:val="single"/>
        </w:rPr>
        <w:t>aucune</w:t>
      </w:r>
      <w:r w:rsidRPr="008D7EB7">
        <w:rPr>
          <w:rFonts w:asciiTheme="minorHAnsi" w:hAnsiTheme="minorHAnsi" w:cs="Calibri Light"/>
          <w:spacing w:val="-1"/>
        </w:rPr>
        <w:t xml:space="preserve"> taxe de stationnement (040/366-08) NE PEUT dorénavant être perçue par </w:t>
      </w:r>
      <w:r w:rsidRPr="008D7EB7">
        <w:rPr>
          <w:rFonts w:asciiTheme="minorHAnsi" w:hAnsiTheme="minorHAnsi" w:cs="Calibri Light"/>
          <w:spacing w:val="-2"/>
        </w:rPr>
        <w:t>la commune.</w:t>
      </w:r>
    </w:p>
    <w:p w14:paraId="567D3B66" w14:textId="7646DF4B" w:rsidR="003A3E72" w:rsidRPr="008D7EB7" w:rsidRDefault="003A3E72" w:rsidP="003A3E72">
      <w:pPr>
        <w:spacing w:before="120"/>
        <w:jc w:val="both"/>
        <w:textAlignment w:val="baseline"/>
        <w:rPr>
          <w:rFonts w:cs="Calibri Light"/>
        </w:rPr>
      </w:pPr>
      <w:r w:rsidRPr="008D7EB7">
        <w:rPr>
          <w:rFonts w:cs="Calibri Light"/>
        </w:rPr>
        <w:t>Par ailleurs, la réglementation ne prévoit plus les surtaxes pour la publicité sur les taxis et pour les taxis équipés de la radiotéléphonie.</w:t>
      </w:r>
    </w:p>
    <w:p w14:paraId="45AA4BD2" w14:textId="77777777" w:rsidR="003A3E72" w:rsidRPr="00DA6BD2" w:rsidRDefault="003A3E72" w:rsidP="00EC0174">
      <w:pPr>
        <w:spacing w:before="120"/>
        <w:jc w:val="both"/>
        <w:textAlignment w:val="baseline"/>
        <w:rPr>
          <w:rFonts w:asciiTheme="minorHAnsi" w:hAnsiTheme="minorHAnsi" w:cs="Calibri Light"/>
          <w:spacing w:val="-2"/>
        </w:rPr>
      </w:pPr>
    </w:p>
    <w:p w14:paraId="188A160B" w14:textId="77777777" w:rsidR="0084076C" w:rsidRDefault="009B153C" w:rsidP="00256E9F">
      <w:pPr>
        <w:pStyle w:val="Sam3"/>
      </w:pPr>
      <w:bookmarkStart w:id="6131" w:name="_Toc516739828"/>
      <w:bookmarkStart w:id="6132" w:name="_Toc516751737"/>
      <w:bookmarkStart w:id="6133" w:name="_Toc516825825"/>
      <w:bookmarkStart w:id="6134" w:name="_Toc516826383"/>
      <w:bookmarkStart w:id="6135" w:name="_Toc516837703"/>
      <w:bookmarkStart w:id="6136" w:name="_Toc516838262"/>
      <w:bookmarkStart w:id="6137" w:name="_Toc516838821"/>
      <w:bookmarkStart w:id="6138" w:name="_Toc516839381"/>
      <w:bookmarkStart w:id="6139" w:name="_Toc517173477"/>
      <w:bookmarkStart w:id="6140" w:name="_Toc517175151"/>
      <w:bookmarkStart w:id="6141" w:name="_Toc517175738"/>
      <w:bookmarkStart w:id="6142" w:name="_Toc517176326"/>
      <w:bookmarkStart w:id="6143" w:name="_Toc517337651"/>
      <w:bookmarkStart w:id="6144" w:name="_Toc517360447"/>
      <w:bookmarkStart w:id="6145" w:name="_Toc516739829"/>
      <w:bookmarkStart w:id="6146" w:name="_Toc516751738"/>
      <w:bookmarkStart w:id="6147" w:name="_Toc516825826"/>
      <w:bookmarkStart w:id="6148" w:name="_Toc516826384"/>
      <w:bookmarkStart w:id="6149" w:name="_Toc516837704"/>
      <w:bookmarkStart w:id="6150" w:name="_Toc516838263"/>
      <w:bookmarkStart w:id="6151" w:name="_Toc516838822"/>
      <w:bookmarkStart w:id="6152" w:name="_Toc516839382"/>
      <w:bookmarkStart w:id="6153" w:name="_Toc517173478"/>
      <w:bookmarkStart w:id="6154" w:name="_Toc517175152"/>
      <w:bookmarkStart w:id="6155" w:name="_Toc517175739"/>
      <w:bookmarkStart w:id="6156" w:name="_Toc517176327"/>
      <w:bookmarkStart w:id="6157" w:name="_Toc517337652"/>
      <w:bookmarkStart w:id="6158" w:name="_Toc517360448"/>
      <w:bookmarkStart w:id="6159" w:name="_Toc516739830"/>
      <w:bookmarkStart w:id="6160" w:name="_Toc516751739"/>
      <w:bookmarkStart w:id="6161" w:name="_Toc516825827"/>
      <w:bookmarkStart w:id="6162" w:name="_Toc516826385"/>
      <w:bookmarkStart w:id="6163" w:name="_Toc516837705"/>
      <w:bookmarkStart w:id="6164" w:name="_Toc516838264"/>
      <w:bookmarkStart w:id="6165" w:name="_Toc516838823"/>
      <w:bookmarkStart w:id="6166" w:name="_Toc516839383"/>
      <w:bookmarkStart w:id="6167" w:name="_Toc517173479"/>
      <w:bookmarkStart w:id="6168" w:name="_Toc517175153"/>
      <w:bookmarkStart w:id="6169" w:name="_Toc517175740"/>
      <w:bookmarkStart w:id="6170" w:name="_Toc517176328"/>
      <w:bookmarkStart w:id="6171" w:name="_Toc517337653"/>
      <w:bookmarkStart w:id="6172" w:name="_Toc517360449"/>
      <w:bookmarkStart w:id="6173" w:name="_Toc516739831"/>
      <w:bookmarkStart w:id="6174" w:name="_Toc516751740"/>
      <w:bookmarkStart w:id="6175" w:name="_Toc516825828"/>
      <w:bookmarkStart w:id="6176" w:name="_Toc516826386"/>
      <w:bookmarkStart w:id="6177" w:name="_Toc516837706"/>
      <w:bookmarkStart w:id="6178" w:name="_Toc516838265"/>
      <w:bookmarkStart w:id="6179" w:name="_Toc516838824"/>
      <w:bookmarkStart w:id="6180" w:name="_Toc516839384"/>
      <w:bookmarkStart w:id="6181" w:name="_Toc517173480"/>
      <w:bookmarkStart w:id="6182" w:name="_Toc517175154"/>
      <w:bookmarkStart w:id="6183" w:name="_Toc517175741"/>
      <w:bookmarkStart w:id="6184" w:name="_Toc517176329"/>
      <w:bookmarkStart w:id="6185" w:name="_Toc517337654"/>
      <w:bookmarkStart w:id="6186" w:name="_Toc517360450"/>
      <w:bookmarkStart w:id="6187" w:name="_Toc516739832"/>
      <w:bookmarkStart w:id="6188" w:name="_Toc516751741"/>
      <w:bookmarkStart w:id="6189" w:name="_Toc516825829"/>
      <w:bookmarkStart w:id="6190" w:name="_Toc516826387"/>
      <w:bookmarkStart w:id="6191" w:name="_Toc516837707"/>
      <w:bookmarkStart w:id="6192" w:name="_Toc516838266"/>
      <w:bookmarkStart w:id="6193" w:name="_Toc516838825"/>
      <w:bookmarkStart w:id="6194" w:name="_Toc516839385"/>
      <w:bookmarkStart w:id="6195" w:name="_Toc517173481"/>
      <w:bookmarkStart w:id="6196" w:name="_Toc517175155"/>
      <w:bookmarkStart w:id="6197" w:name="_Toc517175742"/>
      <w:bookmarkStart w:id="6198" w:name="_Toc517176330"/>
      <w:bookmarkStart w:id="6199" w:name="_Toc517337655"/>
      <w:bookmarkStart w:id="6200" w:name="_Toc517360451"/>
      <w:bookmarkStart w:id="6201" w:name="_Toc516739833"/>
      <w:bookmarkStart w:id="6202" w:name="_Toc516751742"/>
      <w:bookmarkStart w:id="6203" w:name="_Toc516825830"/>
      <w:bookmarkStart w:id="6204" w:name="_Toc516826388"/>
      <w:bookmarkStart w:id="6205" w:name="_Toc516837708"/>
      <w:bookmarkStart w:id="6206" w:name="_Toc516838267"/>
      <w:bookmarkStart w:id="6207" w:name="_Toc516838826"/>
      <w:bookmarkStart w:id="6208" w:name="_Toc516839386"/>
      <w:bookmarkStart w:id="6209" w:name="_Toc517173482"/>
      <w:bookmarkStart w:id="6210" w:name="_Toc517175156"/>
      <w:bookmarkStart w:id="6211" w:name="_Toc517175743"/>
      <w:bookmarkStart w:id="6212" w:name="_Toc517176331"/>
      <w:bookmarkStart w:id="6213" w:name="_Toc517337656"/>
      <w:bookmarkStart w:id="6214" w:name="_Toc517360452"/>
      <w:bookmarkStart w:id="6215" w:name="_Toc74557775"/>
      <w:bookmarkStart w:id="6216" w:name="_Hlk69126914"/>
      <w:bookmarkStart w:id="6217" w:name="_Toc512525507"/>
      <w:bookmarkStart w:id="6218" w:name="_Toc515896821"/>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r w:rsidRPr="00DA6BD2">
        <w:t>040/364-22 : Enseignes et publicités assimilées</w:t>
      </w:r>
      <w:bookmarkEnd w:id="6215"/>
      <w:r w:rsidRPr="00DA6BD2">
        <w:t xml:space="preserve"> </w:t>
      </w:r>
    </w:p>
    <w:bookmarkEnd w:id="6216"/>
    <w:p w14:paraId="047C57DA" w14:textId="3C09AFC4" w:rsidR="009B153C" w:rsidRPr="00E9189F" w:rsidRDefault="0084076C" w:rsidP="00E063FD">
      <w:r w:rsidRPr="00A03E6A">
        <w:t>T</w:t>
      </w:r>
      <w:r w:rsidR="009B153C" w:rsidRPr="003F0B7B">
        <w:t>axe directe</w:t>
      </w:r>
      <w:r w:rsidRPr="00E9189F">
        <w:t>.</w:t>
      </w:r>
      <w:bookmarkEnd w:id="6217"/>
      <w:bookmarkEnd w:id="6218"/>
      <w:r w:rsidR="009B153C" w:rsidRPr="00E9189F">
        <w:t xml:space="preserve"> </w:t>
      </w:r>
    </w:p>
    <w:p w14:paraId="3142EDFC"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Cette taxe vise communément :</w:t>
      </w:r>
    </w:p>
    <w:p w14:paraId="6FB0A154" w14:textId="77777777" w:rsidR="009B153C" w:rsidRPr="00DA6BD2"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DA6BD2">
        <w:rPr>
          <w:rFonts w:asciiTheme="minorHAnsi" w:hAnsiTheme="minorHAnsi" w:cs="Calibri Light"/>
        </w:rPr>
        <w:t>Tous les signes ou inscriptions quelconques existant au lieu même de l'établissement, visibles de la voie publique, pour faire connaître au public le nom de l'occupant, le commerce ou l'industrie qui s'exploite au dit lieu ou encore la profession qui s'y exerce ;</w:t>
      </w:r>
    </w:p>
    <w:p w14:paraId="662A09FA" w14:textId="77777777" w:rsidR="009B153C" w:rsidRPr="00DA6BD2"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DA6BD2">
        <w:rPr>
          <w:rFonts w:asciiTheme="minorHAnsi" w:hAnsiTheme="minorHAnsi" w:cs="Calibri Light"/>
        </w:rPr>
        <w:t>Tous les signes ou inscriptions quelconques existant sur l'établissement ou à proximité immédiate, visibles de la voie publique, pour faire connaître au public les activités qui s'y déroulent ou encore les produits et services qui y sont vendus et fournis ;</w:t>
      </w:r>
    </w:p>
    <w:p w14:paraId="75CD9C66" w14:textId="77777777" w:rsidR="009B153C" w:rsidRPr="00DA6BD2"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DA6BD2">
        <w:rPr>
          <w:rFonts w:asciiTheme="minorHAnsi" w:hAnsiTheme="minorHAnsi" w:cs="Calibri Light"/>
        </w:rPr>
        <w:t>Tout objet visible de la voie publique servant à distinguer un immeuble à destination professionnelle ;</w:t>
      </w:r>
    </w:p>
    <w:p w14:paraId="6BF5FA6D" w14:textId="77777777" w:rsidR="009B153C" w:rsidRPr="00DA6BD2"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DA6BD2">
        <w:rPr>
          <w:rFonts w:asciiTheme="minorHAnsi" w:hAnsiTheme="minorHAnsi" w:cs="Calibri Light"/>
        </w:rPr>
        <w:t>Tout panneau, store, drapeau et dispositif de même type, même sans inscription, visible de la voie publique, permettant, par sa couleur, d'identifier l'occupant.</w:t>
      </w:r>
    </w:p>
    <w:p w14:paraId="56950DB9"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Est considérée comme enseigne lumineuse, l'enseigne illuminée par tout procédé d'éclairage, direct ou indirect, interne au dispositif ou externe à celui-ci (dont la projection lumineuse).</w:t>
      </w:r>
    </w:p>
    <w:p w14:paraId="2F3C623A"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Une publicité est assimilée à une enseigne lorsque, placée à proximité immédiate d'un établissement, elle promeut cet établissement ou les activités qui s'y déroulent et les produits et services qui y sont fournis.</w:t>
      </w:r>
    </w:p>
    <w:p w14:paraId="3A9113C0"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Le taux maximum recommandé est de :</w:t>
      </w:r>
    </w:p>
    <w:p w14:paraId="6AAF8DEE" w14:textId="111F6D67" w:rsidR="009B153C" w:rsidRPr="008D7EB7" w:rsidRDefault="00460F83"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 xml:space="preserve">0,30 </w:t>
      </w:r>
      <w:r w:rsidR="009B153C" w:rsidRPr="008D7EB7">
        <w:rPr>
          <w:rFonts w:asciiTheme="minorHAnsi" w:hAnsiTheme="minorHAnsi" w:cs="Calibri Light"/>
        </w:rPr>
        <w:t>euro le dm² pour les enseignes et/ou publicités assimilées</w:t>
      </w:r>
      <w:r w:rsidR="0079336C">
        <w:rPr>
          <w:rFonts w:asciiTheme="minorHAnsi" w:hAnsiTheme="minorHAnsi" w:cs="Calibri Light"/>
        </w:rPr>
        <w:t> ;</w:t>
      </w:r>
    </w:p>
    <w:p w14:paraId="6BE4D3DA" w14:textId="73F13398" w:rsidR="009B153C" w:rsidRPr="008D7EB7" w:rsidRDefault="00460F83"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 xml:space="preserve">0,60 </w:t>
      </w:r>
      <w:r w:rsidR="009B153C" w:rsidRPr="008D7EB7">
        <w:rPr>
          <w:rFonts w:asciiTheme="minorHAnsi" w:hAnsiTheme="minorHAnsi" w:cs="Calibri Light"/>
        </w:rPr>
        <w:t>euro</w:t>
      </w:r>
      <w:r w:rsidR="0021392E" w:rsidRPr="008D7EB7">
        <w:rPr>
          <w:rFonts w:asciiTheme="minorHAnsi" w:hAnsiTheme="minorHAnsi" w:cs="Calibri Light"/>
        </w:rPr>
        <w:t xml:space="preserve"> </w:t>
      </w:r>
      <w:r w:rsidR="009B153C" w:rsidRPr="008D7EB7">
        <w:rPr>
          <w:rFonts w:asciiTheme="minorHAnsi" w:hAnsiTheme="minorHAnsi" w:cs="Calibri Light"/>
        </w:rPr>
        <w:t>le dm² pour les enseignes et/ou publicités assimilées lumineuses</w:t>
      </w:r>
      <w:r w:rsidR="0079336C">
        <w:rPr>
          <w:rFonts w:asciiTheme="minorHAnsi" w:hAnsiTheme="minorHAnsi" w:cs="Calibri Light"/>
        </w:rPr>
        <w:t> ;</w:t>
      </w:r>
    </w:p>
    <w:p w14:paraId="44A03DB8" w14:textId="1AE9AC32" w:rsidR="009B153C" w:rsidRPr="008D7EB7" w:rsidRDefault="00460F83"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3</w:t>
      </w:r>
      <w:r w:rsidR="00AB5233"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w:t>
      </w:r>
      <w:r w:rsidRPr="008D7EB7">
        <w:rPr>
          <w:rFonts w:asciiTheme="minorHAnsi" w:hAnsiTheme="minorHAnsi" w:cs="Calibri Light"/>
        </w:rPr>
        <w:t>s</w:t>
      </w:r>
      <w:r w:rsidR="009B153C" w:rsidRPr="008D7EB7">
        <w:rPr>
          <w:rFonts w:asciiTheme="minorHAnsi" w:hAnsiTheme="minorHAnsi" w:cs="Calibri Light"/>
        </w:rPr>
        <w:t xml:space="preserve"> le mètre courant pour les cordons lumineux qui ne font pas corps avec une enseigne. Seules les enseignes et publicités assimilées visibles de la voie publique peuvent être taxées, à l'exclusion des enseignes rendues obligatoires par une disposition réglementaire (pharmacien, etc.). </w:t>
      </w:r>
    </w:p>
    <w:p w14:paraId="526C887F" w14:textId="0E6B5E0C" w:rsidR="009B153C" w:rsidRDefault="009B153C" w:rsidP="00E063FD">
      <w:pPr>
        <w:spacing w:before="120"/>
        <w:jc w:val="both"/>
        <w:textAlignment w:val="baseline"/>
        <w:rPr>
          <w:rFonts w:asciiTheme="minorHAnsi" w:hAnsiTheme="minorHAnsi"/>
          <w:spacing w:val="-1"/>
        </w:rPr>
      </w:pPr>
      <w:r w:rsidRPr="00E063FD">
        <w:rPr>
          <w:rFonts w:asciiTheme="minorHAnsi" w:hAnsiTheme="minorHAnsi"/>
          <w:spacing w:val="-1"/>
        </w:rPr>
        <w:t xml:space="preserve">Les communes sont invitées à ne pas taxer les </w:t>
      </w:r>
      <w:r w:rsidR="005B7E8F">
        <w:rPr>
          <w:rFonts w:asciiTheme="minorHAnsi" w:hAnsiTheme="minorHAnsi"/>
          <w:spacing w:val="-1"/>
        </w:rPr>
        <w:t>20</w:t>
      </w:r>
      <w:r w:rsidR="000256F8">
        <w:rPr>
          <w:rFonts w:asciiTheme="minorHAnsi" w:hAnsiTheme="minorHAnsi"/>
          <w:spacing w:val="-1"/>
        </w:rPr>
        <w:t>0</w:t>
      </w:r>
      <w:r w:rsidR="005B7E8F">
        <w:rPr>
          <w:rFonts w:asciiTheme="minorHAnsi" w:hAnsiTheme="minorHAnsi"/>
          <w:spacing w:val="-1"/>
        </w:rPr>
        <w:t xml:space="preserve"> premiers dm</w:t>
      </w:r>
      <w:r w:rsidR="005B7E8F" w:rsidRPr="005B7E8F">
        <w:rPr>
          <w:rFonts w:asciiTheme="minorHAnsi" w:hAnsiTheme="minorHAnsi"/>
          <w:spacing w:val="-1"/>
          <w:vertAlign w:val="superscript"/>
        </w:rPr>
        <w:t>2</w:t>
      </w:r>
      <w:r w:rsidRPr="00E063FD">
        <w:rPr>
          <w:rFonts w:asciiTheme="minorHAnsi" w:hAnsiTheme="minorHAnsi"/>
          <w:spacing w:val="-1"/>
        </w:rPr>
        <w:t xml:space="preserve"> de</w:t>
      </w:r>
      <w:r w:rsidR="003A3E72">
        <w:rPr>
          <w:rFonts w:asciiTheme="minorHAnsi" w:hAnsiTheme="minorHAnsi"/>
          <w:spacing w:val="-1"/>
        </w:rPr>
        <w:t xml:space="preserve"> l’</w:t>
      </w:r>
      <w:r w:rsidRPr="00E063FD">
        <w:rPr>
          <w:rFonts w:asciiTheme="minorHAnsi" w:hAnsiTheme="minorHAnsi"/>
          <w:spacing w:val="-1"/>
        </w:rPr>
        <w:t>enseigne et les 2 premiers mètres pour les cordons lumineux.</w:t>
      </w:r>
    </w:p>
    <w:p w14:paraId="4803A96E" w14:textId="77777777" w:rsidR="00AA31C2" w:rsidRDefault="00AA31C2" w:rsidP="00E063FD">
      <w:pPr>
        <w:spacing w:before="120"/>
        <w:jc w:val="both"/>
        <w:textAlignment w:val="baseline"/>
        <w:rPr>
          <w:rFonts w:asciiTheme="minorHAnsi" w:hAnsiTheme="minorHAnsi"/>
          <w:spacing w:val="-1"/>
        </w:rPr>
      </w:pPr>
    </w:p>
    <w:p w14:paraId="20022C54" w14:textId="6BADC371" w:rsidR="00AA31C2" w:rsidRDefault="00AA31C2" w:rsidP="00256E9F">
      <w:pPr>
        <w:pStyle w:val="Sam3"/>
      </w:pPr>
      <w:bookmarkStart w:id="6219" w:name="_Toc74557776"/>
      <w:r w:rsidRPr="00DA6BD2">
        <w:t>040</w:t>
      </w:r>
      <w:r>
        <w:t>01</w:t>
      </w:r>
      <w:r w:rsidRPr="00DA6BD2">
        <w:t>/364-22 : Enseignes et publicités assimilées</w:t>
      </w:r>
      <w:r>
        <w:t xml:space="preserve"> obsolètes</w:t>
      </w:r>
      <w:bookmarkEnd w:id="6219"/>
      <w:r w:rsidRPr="00DA6BD2">
        <w:t xml:space="preserve"> </w:t>
      </w:r>
    </w:p>
    <w:p w14:paraId="4A6BAE15" w14:textId="6ABEA68E" w:rsidR="00AA31C2" w:rsidRDefault="00AA31C2" w:rsidP="00E063FD">
      <w:pPr>
        <w:spacing w:before="120"/>
        <w:jc w:val="both"/>
        <w:textAlignment w:val="baseline"/>
        <w:rPr>
          <w:rFonts w:asciiTheme="minorHAnsi" w:hAnsiTheme="minorHAnsi"/>
          <w:spacing w:val="-1"/>
        </w:rPr>
      </w:pPr>
      <w:r>
        <w:rPr>
          <w:rFonts w:asciiTheme="minorHAnsi" w:hAnsiTheme="minorHAnsi"/>
          <w:spacing w:val="-1"/>
        </w:rPr>
        <w:t>Taxe directe</w:t>
      </w:r>
    </w:p>
    <w:p w14:paraId="2F0886A7" w14:textId="1D9215E6" w:rsidR="00AA31C2" w:rsidRDefault="00AA31C2" w:rsidP="00E063FD">
      <w:pPr>
        <w:spacing w:before="120"/>
        <w:jc w:val="both"/>
        <w:textAlignment w:val="baseline"/>
        <w:rPr>
          <w:rFonts w:asciiTheme="minorHAnsi" w:hAnsiTheme="minorHAnsi"/>
          <w:spacing w:val="-1"/>
        </w:rPr>
      </w:pPr>
      <w:r>
        <w:rPr>
          <w:rFonts w:asciiTheme="minorHAnsi" w:hAnsiTheme="minorHAnsi"/>
          <w:spacing w:val="-1"/>
        </w:rPr>
        <w:t>Cette taxe vise les enseignes et publicités assimilées qui restent placées alors que le commerce qu’elles renseignaient a cessé ses activités</w:t>
      </w:r>
      <w:r w:rsidR="00B62935">
        <w:rPr>
          <w:rFonts w:asciiTheme="minorHAnsi" w:hAnsiTheme="minorHAnsi"/>
          <w:spacing w:val="-1"/>
        </w:rPr>
        <w:t xml:space="preserve"> depuis un minimum de 6 mois</w:t>
      </w:r>
      <w:r>
        <w:rPr>
          <w:rFonts w:asciiTheme="minorHAnsi" w:hAnsiTheme="minorHAnsi"/>
          <w:spacing w:val="-1"/>
        </w:rPr>
        <w:t>.</w:t>
      </w:r>
    </w:p>
    <w:p w14:paraId="2142D861" w14:textId="28C8A39A" w:rsidR="00AA31C2" w:rsidRDefault="00AA31C2" w:rsidP="00E063FD">
      <w:pPr>
        <w:spacing w:before="120"/>
        <w:jc w:val="both"/>
        <w:textAlignment w:val="baseline"/>
        <w:rPr>
          <w:rFonts w:asciiTheme="minorHAnsi" w:hAnsiTheme="minorHAnsi"/>
          <w:spacing w:val="-1"/>
        </w:rPr>
      </w:pPr>
      <w:r>
        <w:rPr>
          <w:rFonts w:asciiTheme="minorHAnsi" w:hAnsiTheme="minorHAnsi"/>
          <w:spacing w:val="-1"/>
        </w:rPr>
        <w:t>Ce type d’enseigne occasionnant une pollution visuelle, il est possible de prévoir une</w:t>
      </w:r>
      <w:r w:rsidR="00DE22FA">
        <w:rPr>
          <w:rFonts w:asciiTheme="minorHAnsi" w:hAnsiTheme="minorHAnsi"/>
          <w:spacing w:val="-1"/>
        </w:rPr>
        <w:t xml:space="preserve"> </w:t>
      </w:r>
      <w:r>
        <w:rPr>
          <w:rFonts w:asciiTheme="minorHAnsi" w:hAnsiTheme="minorHAnsi"/>
          <w:spacing w:val="-1"/>
        </w:rPr>
        <w:t>taxe spécifique à charge du titulaire du droit réel de l’immeuble sur lequel elle est apposée.</w:t>
      </w:r>
    </w:p>
    <w:p w14:paraId="4C8CF488" w14:textId="4B2C14FE" w:rsidR="00854CBA" w:rsidRDefault="00AA31C2" w:rsidP="00E063FD">
      <w:pPr>
        <w:spacing w:before="120"/>
        <w:jc w:val="both"/>
        <w:textAlignment w:val="baseline"/>
        <w:rPr>
          <w:rFonts w:asciiTheme="minorHAnsi" w:hAnsiTheme="minorHAnsi"/>
          <w:spacing w:val="-1"/>
        </w:rPr>
      </w:pPr>
      <w:r w:rsidRPr="00AA31C2">
        <w:rPr>
          <w:rFonts w:asciiTheme="minorHAnsi" w:hAnsiTheme="minorHAnsi"/>
          <w:spacing w:val="-1"/>
        </w:rPr>
        <w:t>Le taux maximum recommandé est de</w:t>
      </w:r>
      <w:r>
        <w:rPr>
          <w:rFonts w:asciiTheme="minorHAnsi" w:hAnsiTheme="minorHAnsi"/>
          <w:spacing w:val="-1"/>
        </w:rPr>
        <w:t xml:space="preserve"> </w:t>
      </w:r>
      <w:r w:rsidR="007E61C7">
        <w:rPr>
          <w:rFonts w:asciiTheme="minorHAnsi" w:hAnsiTheme="minorHAnsi"/>
          <w:spacing w:val="-1"/>
        </w:rPr>
        <w:t xml:space="preserve">1,5 euros par décimètre carré. </w:t>
      </w:r>
      <w:r w:rsidR="00D63CB3">
        <w:rPr>
          <w:rFonts w:asciiTheme="minorHAnsi" w:hAnsiTheme="minorHAnsi"/>
          <w:spacing w:val="-1"/>
        </w:rPr>
        <w:t>Toutefois, un taux minimum forfaitaire de 250 euros par an et par enseigne peut être prévu.</w:t>
      </w:r>
    </w:p>
    <w:p w14:paraId="28BD4302" w14:textId="4806414D" w:rsidR="0084076C" w:rsidRPr="007C26EE" w:rsidRDefault="009B153C" w:rsidP="00256E9F">
      <w:pPr>
        <w:pStyle w:val="Sam3"/>
        <w:rPr>
          <w:rStyle w:val="Titre3Car"/>
          <w:rFonts w:ascii="Calibri" w:eastAsia="PMingLiU" w:hAnsi="Calibri" w:cs="Calibri Light"/>
          <w:b/>
          <w:bCs w:val="0"/>
          <w:szCs w:val="26"/>
          <w:lang w:val="fr-BE" w:eastAsia="fr-FR"/>
        </w:rPr>
      </w:pPr>
      <w:bookmarkStart w:id="6220" w:name="_Toc74557777"/>
      <w:bookmarkStart w:id="6221" w:name="_Toc512525508"/>
      <w:bookmarkStart w:id="6222" w:name="_Toc515896822"/>
      <w:r w:rsidRPr="00EE2A37">
        <w:rPr>
          <w:rStyle w:val="Titre3Car"/>
          <w:rFonts w:asciiTheme="minorHAnsi" w:eastAsia="PMingLiU" w:hAnsiTheme="minorHAnsi"/>
          <w:sz w:val="24"/>
          <w:szCs w:val="24"/>
        </w:rPr>
        <w:lastRenderedPageBreak/>
        <w:t>040/364-23 : Panneaux publicitaires</w:t>
      </w:r>
      <w:bookmarkEnd w:id="6220"/>
      <w:r w:rsidRPr="00EE2A37">
        <w:rPr>
          <w:rStyle w:val="Titre3Car"/>
          <w:rFonts w:asciiTheme="minorHAnsi" w:eastAsia="PMingLiU" w:hAnsiTheme="minorHAnsi"/>
          <w:sz w:val="24"/>
          <w:szCs w:val="24"/>
        </w:rPr>
        <w:t xml:space="preserve"> </w:t>
      </w:r>
    </w:p>
    <w:p w14:paraId="7FC07984" w14:textId="4A1B66ED" w:rsidR="009B153C" w:rsidRPr="006126A1" w:rsidRDefault="0084076C" w:rsidP="00E063FD">
      <w:r w:rsidRPr="00E063FD">
        <w:rPr>
          <w:rStyle w:val="Titre3Car"/>
          <w:rFonts w:asciiTheme="minorHAnsi" w:eastAsia="PMingLiU" w:hAnsiTheme="minorHAnsi"/>
          <w:b w:val="0"/>
          <w:sz w:val="24"/>
          <w:szCs w:val="24"/>
        </w:rPr>
        <w:t>T</w:t>
      </w:r>
      <w:r w:rsidR="009B153C" w:rsidRPr="00E063FD">
        <w:rPr>
          <w:rStyle w:val="Titre3Car"/>
          <w:rFonts w:asciiTheme="minorHAnsi" w:eastAsia="PMingLiU" w:hAnsiTheme="minorHAnsi"/>
          <w:b w:val="0"/>
          <w:sz w:val="24"/>
          <w:szCs w:val="24"/>
        </w:rPr>
        <w:t>axe directe</w:t>
      </w:r>
      <w:bookmarkEnd w:id="6221"/>
      <w:bookmarkEnd w:id="6222"/>
      <w:r w:rsidR="009B153C" w:rsidRPr="00E063FD">
        <w:t xml:space="preserve"> - Modèle disponible</w:t>
      </w:r>
      <w:r w:rsidRPr="00E063FD">
        <w:t>.</w:t>
      </w:r>
      <w:r w:rsidR="009B153C" w:rsidRPr="00E063FD">
        <w:t xml:space="preserve"> </w:t>
      </w:r>
    </w:p>
    <w:p w14:paraId="1602BC56"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Cette taxe vise communément :</w:t>
      </w:r>
    </w:p>
    <w:p w14:paraId="01FFDAA1" w14:textId="7178D071" w:rsidR="009B153C" w:rsidRPr="00DA6BD2" w:rsidRDefault="002C1A5A" w:rsidP="00E063FD">
      <w:pPr>
        <w:numPr>
          <w:ilvl w:val="0"/>
          <w:numId w:val="34"/>
        </w:numPr>
        <w:tabs>
          <w:tab w:val="left" w:pos="576"/>
        </w:tabs>
        <w:spacing w:before="120"/>
        <w:ind w:left="576" w:hanging="576"/>
        <w:jc w:val="both"/>
        <w:textAlignment w:val="baseline"/>
        <w:rPr>
          <w:rFonts w:asciiTheme="minorHAnsi" w:hAnsiTheme="minorHAnsi" w:cs="Calibri Light"/>
        </w:rPr>
      </w:pPr>
      <w:proofErr w:type="gramStart"/>
      <w:r>
        <w:rPr>
          <w:rFonts w:asciiTheme="minorHAnsi" w:hAnsiTheme="minorHAnsi" w:cs="Calibri Light"/>
        </w:rPr>
        <w:t>t</w:t>
      </w:r>
      <w:r w:rsidRPr="00DA6BD2">
        <w:rPr>
          <w:rFonts w:asciiTheme="minorHAnsi" w:hAnsiTheme="minorHAnsi" w:cs="Calibri Light"/>
        </w:rPr>
        <w:t>out</w:t>
      </w:r>
      <w:proofErr w:type="gramEnd"/>
      <w:r w:rsidRPr="00DA6BD2">
        <w:rPr>
          <w:rFonts w:asciiTheme="minorHAnsi" w:hAnsiTheme="minorHAnsi" w:cs="Calibri Light"/>
        </w:rPr>
        <w:t xml:space="preserve"> </w:t>
      </w:r>
      <w:r w:rsidR="009B153C" w:rsidRPr="00DA6BD2">
        <w:rPr>
          <w:rFonts w:asciiTheme="minorHAnsi" w:hAnsiTheme="minorHAnsi" w:cs="Calibri Light"/>
        </w:rPr>
        <w:t>panneau en quelque matériau que ce soit destiné à recevoir de la publicité par collage, agrafage, peinture, impression ou par tout autre moyen ;</w:t>
      </w:r>
    </w:p>
    <w:p w14:paraId="4F730C7B" w14:textId="42E17F67" w:rsidR="009B153C" w:rsidRPr="00DA6BD2" w:rsidRDefault="002C1A5A" w:rsidP="00E063FD">
      <w:pPr>
        <w:numPr>
          <w:ilvl w:val="0"/>
          <w:numId w:val="34"/>
        </w:numPr>
        <w:tabs>
          <w:tab w:val="left" w:pos="576"/>
        </w:tabs>
        <w:spacing w:before="120"/>
        <w:ind w:left="576" w:hanging="576"/>
        <w:jc w:val="both"/>
        <w:textAlignment w:val="baseline"/>
        <w:rPr>
          <w:rFonts w:asciiTheme="minorHAnsi" w:hAnsiTheme="minorHAnsi" w:cs="Calibri Light"/>
        </w:rPr>
      </w:pPr>
      <w:proofErr w:type="gramStart"/>
      <w:r>
        <w:rPr>
          <w:rFonts w:asciiTheme="minorHAnsi" w:hAnsiTheme="minorHAnsi" w:cs="Calibri Light"/>
        </w:rPr>
        <w:t>t</w:t>
      </w:r>
      <w:r w:rsidRPr="00DA6BD2">
        <w:rPr>
          <w:rFonts w:asciiTheme="minorHAnsi" w:hAnsiTheme="minorHAnsi" w:cs="Calibri Light"/>
        </w:rPr>
        <w:t>out</w:t>
      </w:r>
      <w:proofErr w:type="gramEnd"/>
      <w:r w:rsidRPr="00DA6BD2">
        <w:rPr>
          <w:rFonts w:asciiTheme="minorHAnsi" w:hAnsiTheme="minorHAnsi" w:cs="Calibri Light"/>
        </w:rPr>
        <w:t xml:space="preserve"> </w:t>
      </w:r>
      <w:r w:rsidR="009B153C" w:rsidRPr="00DA6BD2">
        <w:rPr>
          <w:rFonts w:asciiTheme="minorHAnsi" w:hAnsiTheme="minorHAnsi" w:cs="Calibri Light"/>
        </w:rPr>
        <w:t>dispositif en quelque matériau que ce soit destiné à recevoir de la publicité par collage, agrafage, peinture, insertion, intercalation, impression ou par tout autre moyen</w:t>
      </w:r>
      <w:r w:rsidR="00460F83">
        <w:rPr>
          <w:rFonts w:asciiTheme="minorHAnsi" w:hAnsiTheme="minorHAnsi" w:cs="Calibri Light"/>
        </w:rPr>
        <w:t> ;</w:t>
      </w:r>
    </w:p>
    <w:p w14:paraId="0BB2BB28" w14:textId="5FE1721A" w:rsidR="009B153C" w:rsidRPr="00DA6BD2" w:rsidRDefault="002C1A5A" w:rsidP="00E063FD">
      <w:pPr>
        <w:numPr>
          <w:ilvl w:val="0"/>
          <w:numId w:val="34"/>
        </w:numPr>
        <w:tabs>
          <w:tab w:val="left" w:pos="576"/>
        </w:tabs>
        <w:spacing w:before="120"/>
        <w:ind w:left="576" w:hanging="576"/>
        <w:jc w:val="both"/>
        <w:textAlignment w:val="baseline"/>
        <w:rPr>
          <w:rFonts w:asciiTheme="minorHAnsi" w:hAnsiTheme="minorHAnsi" w:cs="Calibri Light"/>
        </w:rPr>
      </w:pPr>
      <w:proofErr w:type="gramStart"/>
      <w:r>
        <w:rPr>
          <w:rFonts w:asciiTheme="minorHAnsi" w:hAnsiTheme="minorHAnsi" w:cs="Calibri Light"/>
        </w:rPr>
        <w:t>t</w:t>
      </w:r>
      <w:r w:rsidRPr="00DA6BD2">
        <w:rPr>
          <w:rFonts w:asciiTheme="minorHAnsi" w:hAnsiTheme="minorHAnsi" w:cs="Calibri Light"/>
        </w:rPr>
        <w:t>out</w:t>
      </w:r>
      <w:proofErr w:type="gramEnd"/>
      <w:r w:rsidRPr="00DA6BD2">
        <w:rPr>
          <w:rFonts w:asciiTheme="minorHAnsi" w:hAnsiTheme="minorHAnsi" w:cs="Calibri Light"/>
        </w:rPr>
        <w:t xml:space="preserve"> </w:t>
      </w:r>
      <w:r w:rsidR="009B153C" w:rsidRPr="00DA6BD2">
        <w:rPr>
          <w:rFonts w:asciiTheme="minorHAnsi" w:hAnsiTheme="minorHAnsi" w:cs="Calibri Light"/>
        </w:rPr>
        <w:t>support autre qu'un panneau publicitaire (mur, vitrine, clôture, colonne, etc. ou partie) employé dans le but de recevoir de la publicité. (Seule la superficie de l'espace utilisé pour recevoir de la publicité pouvant être prise en considération pour établir la base imposable)</w:t>
      </w:r>
      <w:r w:rsidR="00460F83">
        <w:rPr>
          <w:rFonts w:asciiTheme="minorHAnsi" w:hAnsiTheme="minorHAnsi" w:cs="Calibri Light"/>
        </w:rPr>
        <w:t> ;</w:t>
      </w:r>
    </w:p>
    <w:p w14:paraId="62C2AA4C" w14:textId="33718A2B" w:rsidR="009B153C" w:rsidRPr="00DA6BD2" w:rsidRDefault="002C1A5A" w:rsidP="00E063FD">
      <w:pPr>
        <w:numPr>
          <w:ilvl w:val="0"/>
          <w:numId w:val="34"/>
        </w:numPr>
        <w:tabs>
          <w:tab w:val="left" w:pos="576"/>
        </w:tabs>
        <w:spacing w:before="120"/>
        <w:ind w:left="576" w:hanging="576"/>
        <w:jc w:val="both"/>
        <w:textAlignment w:val="baseline"/>
        <w:rPr>
          <w:rFonts w:asciiTheme="minorHAnsi" w:hAnsiTheme="minorHAnsi" w:cs="Calibri Light"/>
          <w:spacing w:val="-2"/>
        </w:rPr>
      </w:pPr>
      <w:proofErr w:type="gramStart"/>
      <w:r>
        <w:rPr>
          <w:rFonts w:asciiTheme="minorHAnsi" w:hAnsiTheme="minorHAnsi" w:cs="Calibri Light"/>
          <w:spacing w:val="-2"/>
        </w:rPr>
        <w:t>t</w:t>
      </w:r>
      <w:r w:rsidRPr="00DA6BD2">
        <w:rPr>
          <w:rFonts w:asciiTheme="minorHAnsi" w:hAnsiTheme="minorHAnsi" w:cs="Calibri Light"/>
          <w:spacing w:val="-2"/>
        </w:rPr>
        <w:t>out</w:t>
      </w:r>
      <w:proofErr w:type="gramEnd"/>
      <w:r w:rsidRPr="00DA6BD2">
        <w:rPr>
          <w:rFonts w:asciiTheme="minorHAnsi" w:hAnsiTheme="minorHAnsi" w:cs="Calibri Light"/>
          <w:spacing w:val="-2"/>
        </w:rPr>
        <w:t xml:space="preserve"> </w:t>
      </w:r>
      <w:r w:rsidR="009B153C" w:rsidRPr="00DA6BD2">
        <w:rPr>
          <w:rFonts w:asciiTheme="minorHAnsi" w:hAnsiTheme="minorHAnsi" w:cs="Calibri Light"/>
          <w:spacing w:val="-2"/>
        </w:rPr>
        <w:t xml:space="preserve">écran (toute technologie confondue, </w:t>
      </w:r>
      <w:r w:rsidR="00BF4C17">
        <w:rPr>
          <w:rFonts w:asciiTheme="minorHAnsi" w:hAnsiTheme="minorHAnsi" w:cs="Calibri Light"/>
          <w:spacing w:val="-2"/>
        </w:rPr>
        <w:t>c’est-à-dire</w:t>
      </w:r>
      <w:r w:rsidR="009B153C" w:rsidRPr="00DA6BD2">
        <w:rPr>
          <w:rFonts w:asciiTheme="minorHAnsi" w:hAnsiTheme="minorHAnsi" w:cs="Calibri Light"/>
          <w:spacing w:val="-2"/>
        </w:rPr>
        <w:t xml:space="preserve"> cristaux liquides, diodes électroluminescentes, plasma ...) diffusant des messages publicitaires</w:t>
      </w:r>
      <w:r w:rsidR="00460F83">
        <w:rPr>
          <w:rFonts w:asciiTheme="minorHAnsi" w:hAnsiTheme="minorHAnsi" w:cs="Calibri Light"/>
          <w:spacing w:val="-2"/>
        </w:rPr>
        <w:t> ;</w:t>
      </w:r>
    </w:p>
    <w:p w14:paraId="610C0B5C" w14:textId="25CE58B5" w:rsidR="009B153C" w:rsidRDefault="002C1A5A" w:rsidP="00E063FD">
      <w:pPr>
        <w:numPr>
          <w:ilvl w:val="0"/>
          <w:numId w:val="34"/>
        </w:numPr>
        <w:tabs>
          <w:tab w:val="left" w:pos="576"/>
        </w:tabs>
        <w:spacing w:before="120"/>
        <w:ind w:left="576" w:hanging="576"/>
        <w:jc w:val="both"/>
        <w:textAlignment w:val="baseline"/>
        <w:rPr>
          <w:rFonts w:asciiTheme="minorHAnsi" w:hAnsiTheme="minorHAnsi" w:cs="Calibri Light"/>
          <w:color w:val="0D0D0D"/>
          <w:spacing w:val="-2"/>
        </w:rPr>
      </w:pPr>
      <w:proofErr w:type="gramStart"/>
      <w:r>
        <w:rPr>
          <w:rFonts w:asciiTheme="minorHAnsi" w:hAnsiTheme="minorHAnsi" w:cs="Calibri Light"/>
          <w:color w:val="0D0D0D"/>
          <w:spacing w:val="-2"/>
        </w:rPr>
        <w:t>t</w:t>
      </w:r>
      <w:r w:rsidRPr="00DA6BD2">
        <w:rPr>
          <w:rFonts w:asciiTheme="minorHAnsi" w:hAnsiTheme="minorHAnsi" w:cs="Calibri Light"/>
          <w:color w:val="0D0D0D"/>
          <w:spacing w:val="-2"/>
        </w:rPr>
        <w:t>out</w:t>
      </w:r>
      <w:proofErr w:type="gramEnd"/>
      <w:r w:rsidRPr="00DA6BD2">
        <w:rPr>
          <w:rFonts w:asciiTheme="minorHAnsi" w:hAnsiTheme="minorHAnsi" w:cs="Calibri Light"/>
          <w:color w:val="0D0D0D"/>
          <w:spacing w:val="-2"/>
        </w:rPr>
        <w:t xml:space="preserve"> </w:t>
      </w:r>
      <w:r w:rsidR="009B153C" w:rsidRPr="00DA6BD2">
        <w:rPr>
          <w:rFonts w:asciiTheme="minorHAnsi" w:hAnsiTheme="minorHAnsi" w:cs="Calibri Light"/>
          <w:color w:val="0D0D0D"/>
          <w:spacing w:val="-2"/>
        </w:rPr>
        <w:t>support mobile, tel les remorques. Toutefois, il est recommandé de préciser les endroits visés et la durée de l’immobilisation</w:t>
      </w:r>
      <w:r w:rsidR="00460F83">
        <w:rPr>
          <w:rFonts w:asciiTheme="minorHAnsi" w:hAnsiTheme="minorHAnsi" w:cs="Calibri Light"/>
          <w:color w:val="0D0D0D"/>
          <w:spacing w:val="-2"/>
        </w:rPr>
        <w:t> ;</w:t>
      </w:r>
    </w:p>
    <w:p w14:paraId="73DF9A91" w14:textId="782DDD5C" w:rsidR="0028386D" w:rsidRPr="00FC06A0" w:rsidRDefault="002C1A5A" w:rsidP="00E063FD">
      <w:pPr>
        <w:numPr>
          <w:ilvl w:val="0"/>
          <w:numId w:val="34"/>
        </w:numPr>
        <w:tabs>
          <w:tab w:val="left" w:pos="576"/>
        </w:tabs>
        <w:spacing w:before="120"/>
        <w:ind w:left="576" w:hanging="576"/>
        <w:jc w:val="both"/>
        <w:textAlignment w:val="baseline"/>
        <w:rPr>
          <w:rFonts w:asciiTheme="minorHAnsi" w:hAnsiTheme="minorHAnsi" w:cs="Calibri Light"/>
          <w:color w:val="0D0D0D"/>
          <w:spacing w:val="-2"/>
        </w:rPr>
      </w:pPr>
      <w:bookmarkStart w:id="6223" w:name="_Hlk38969818"/>
      <w:proofErr w:type="gramStart"/>
      <w:r>
        <w:rPr>
          <w:rFonts w:asciiTheme="minorHAnsi" w:hAnsiTheme="minorHAnsi" w:cs="Calibri Light"/>
          <w:color w:val="0D0D0D"/>
          <w:spacing w:val="-2"/>
        </w:rPr>
        <w:t>t</w:t>
      </w:r>
      <w:r w:rsidR="0028386D" w:rsidRPr="00FC06A0">
        <w:rPr>
          <w:rFonts w:asciiTheme="minorHAnsi" w:hAnsiTheme="minorHAnsi" w:cs="Calibri Light"/>
          <w:color w:val="0D0D0D"/>
          <w:spacing w:val="-2"/>
        </w:rPr>
        <w:t>oute</w:t>
      </w:r>
      <w:proofErr w:type="gramEnd"/>
      <w:r w:rsidR="0028386D" w:rsidRPr="00FC06A0">
        <w:rPr>
          <w:rFonts w:asciiTheme="minorHAnsi" w:hAnsiTheme="minorHAnsi" w:cs="Calibri Light"/>
          <w:color w:val="0D0D0D"/>
          <w:spacing w:val="-2"/>
        </w:rPr>
        <w:t xml:space="preserve"> affiche en métal léger ou en PVC ne nécessitant aucun support.</w:t>
      </w:r>
    </w:p>
    <w:bookmarkEnd w:id="6223"/>
    <w:p w14:paraId="261CBBE3" w14:textId="38202C29" w:rsidR="009B153C" w:rsidRPr="00DA6BD2" w:rsidRDefault="009B153C" w:rsidP="00E063FD">
      <w:pPr>
        <w:spacing w:before="120"/>
        <w:jc w:val="both"/>
        <w:textAlignment w:val="baseline"/>
        <w:rPr>
          <w:rFonts w:asciiTheme="minorHAnsi" w:hAnsiTheme="minorHAnsi" w:cs="Calibri Light"/>
          <w:color w:val="0D0D0D"/>
          <w:spacing w:val="-3"/>
        </w:rPr>
      </w:pPr>
      <w:r w:rsidRPr="00DA6BD2">
        <w:rPr>
          <w:rFonts w:asciiTheme="minorHAnsi" w:hAnsiTheme="minorHAnsi" w:cs="Calibri Light"/>
          <w:color w:val="0D0D0D"/>
          <w:spacing w:val="-3"/>
        </w:rPr>
        <w:t xml:space="preserve">Taux maximum recommandé : </w:t>
      </w:r>
      <w:r w:rsidR="00460F83" w:rsidRPr="008D7EB7">
        <w:rPr>
          <w:rFonts w:asciiTheme="minorHAnsi" w:hAnsiTheme="minorHAnsi" w:cs="Calibri Light"/>
          <w:color w:val="0D0D0D"/>
          <w:spacing w:val="-3"/>
        </w:rPr>
        <w:t xml:space="preserve">0,85 </w:t>
      </w:r>
      <w:r w:rsidR="00FC06A0" w:rsidRPr="008D7EB7">
        <w:rPr>
          <w:rFonts w:asciiTheme="minorHAnsi" w:hAnsiTheme="minorHAnsi" w:cs="Calibri Light"/>
          <w:color w:val="0D0D0D"/>
          <w:spacing w:val="-3"/>
        </w:rPr>
        <w:t>euro</w:t>
      </w:r>
      <w:r w:rsidRPr="00FC06A0">
        <w:rPr>
          <w:rFonts w:asciiTheme="minorHAnsi" w:hAnsiTheme="minorHAnsi" w:cs="Calibri Light"/>
          <w:color w:val="0D0D0D"/>
          <w:spacing w:val="-3"/>
        </w:rPr>
        <w:t xml:space="preserve"> le dm</w:t>
      </w:r>
      <w:r w:rsidRPr="00FC06A0">
        <w:rPr>
          <w:rFonts w:asciiTheme="minorHAnsi" w:hAnsiTheme="minorHAnsi" w:cs="Calibri Light"/>
          <w:color w:val="0D0D0D"/>
          <w:spacing w:val="-3"/>
          <w:vertAlign w:val="superscript"/>
        </w:rPr>
        <w:t>2</w:t>
      </w:r>
      <w:r w:rsidRPr="00DA6BD2">
        <w:rPr>
          <w:rFonts w:asciiTheme="minorHAnsi" w:hAnsiTheme="minorHAnsi" w:cs="Calibri Light"/>
          <w:color w:val="0D0D0D"/>
          <w:spacing w:val="-3"/>
        </w:rPr>
        <w:t>.</w:t>
      </w:r>
    </w:p>
    <w:p w14:paraId="3760C9C8" w14:textId="2DFB9C5F" w:rsidR="009B153C" w:rsidRDefault="009B153C" w:rsidP="00E063FD">
      <w:pPr>
        <w:spacing w:before="120"/>
        <w:jc w:val="both"/>
        <w:textAlignment w:val="baseline"/>
        <w:rPr>
          <w:rFonts w:asciiTheme="minorHAnsi" w:hAnsiTheme="minorHAnsi" w:cs="Calibri Light"/>
          <w:color w:val="0D0D0D"/>
          <w:spacing w:val="-3"/>
        </w:rPr>
      </w:pPr>
      <w:r w:rsidRPr="00DA6BD2">
        <w:rPr>
          <w:rFonts w:asciiTheme="minorHAnsi" w:hAnsiTheme="minorHAnsi" w:cs="Calibri Light"/>
          <w:color w:val="0D0D0D"/>
          <w:spacing w:val="-3"/>
        </w:rPr>
        <w:t>En ce qui concerne les supports mobiles, ce taux maximum recommandé devra être réduit d’un coefficient qui permet de tenir compte de la durée du placement.</w:t>
      </w:r>
    </w:p>
    <w:p w14:paraId="18489716" w14:textId="2875EC19" w:rsidR="006B1AFC" w:rsidRPr="008D7EB7" w:rsidRDefault="005438AF" w:rsidP="005438AF">
      <w:pPr>
        <w:spacing w:before="120"/>
        <w:jc w:val="both"/>
        <w:textAlignment w:val="baseline"/>
        <w:rPr>
          <w:rFonts w:asciiTheme="minorHAnsi" w:hAnsiTheme="minorHAnsi" w:cs="Calibri Light"/>
          <w:color w:val="0D0D0D"/>
          <w:spacing w:val="-3"/>
        </w:rPr>
      </w:pPr>
      <w:bookmarkStart w:id="6224" w:name="_Hlk39393757"/>
      <w:r w:rsidRPr="008D7EB7">
        <w:rPr>
          <w:rFonts w:asciiTheme="minorHAnsi" w:hAnsiTheme="minorHAnsi" w:cs="Calibri Light"/>
          <w:color w:val="0D0D0D"/>
          <w:spacing w:val="-3"/>
          <w:u w:val="single"/>
        </w:rPr>
        <w:t>Exemple par jour</w:t>
      </w:r>
      <w:r w:rsidRPr="008D7EB7">
        <w:rPr>
          <w:rFonts w:asciiTheme="minorHAnsi" w:hAnsiTheme="minorHAnsi" w:cs="Calibri Light"/>
          <w:color w:val="0D0D0D"/>
          <w:spacing w:val="-3"/>
        </w:rPr>
        <w:t xml:space="preserve"> : 0</w:t>
      </w:r>
      <w:r w:rsidR="00FC06A0">
        <w:rPr>
          <w:rFonts w:asciiTheme="minorHAnsi" w:hAnsiTheme="minorHAnsi" w:cs="Calibri Light"/>
          <w:color w:val="0D0D0D"/>
          <w:spacing w:val="-3"/>
        </w:rPr>
        <w:t>,</w:t>
      </w:r>
      <w:r w:rsidR="00460F83" w:rsidRPr="008D7EB7">
        <w:rPr>
          <w:rFonts w:asciiTheme="minorHAnsi" w:hAnsiTheme="minorHAnsi" w:cs="Calibri Light"/>
          <w:color w:val="0D0D0D"/>
          <w:spacing w:val="-3"/>
        </w:rPr>
        <w:t>8</w:t>
      </w:r>
      <w:r w:rsidRPr="008D7EB7">
        <w:rPr>
          <w:rFonts w:asciiTheme="minorHAnsi" w:hAnsiTheme="minorHAnsi" w:cs="Calibri Light"/>
          <w:color w:val="0D0D0D"/>
          <w:spacing w:val="-3"/>
        </w:rPr>
        <w:t xml:space="preserve">5 </w:t>
      </w:r>
      <w:r w:rsidR="00FC06A0">
        <w:rPr>
          <w:rFonts w:asciiTheme="minorHAnsi" w:hAnsiTheme="minorHAnsi" w:cs="Calibri Light"/>
          <w:color w:val="0D0D0D"/>
          <w:spacing w:val="-3"/>
        </w:rPr>
        <w:t xml:space="preserve">euro </w:t>
      </w:r>
      <w:r w:rsidRPr="008D7EB7">
        <w:rPr>
          <w:rFonts w:asciiTheme="minorHAnsi" w:hAnsiTheme="minorHAnsi" w:cs="Calibri Light"/>
          <w:color w:val="0D0D0D"/>
          <w:spacing w:val="-3"/>
        </w:rPr>
        <w:t>* le nombre de jours de placement /365</w:t>
      </w:r>
      <w:r w:rsidR="006B1AFC" w:rsidRPr="008D7EB7">
        <w:rPr>
          <w:rFonts w:asciiTheme="minorHAnsi" w:hAnsiTheme="minorHAnsi" w:cs="Calibri Light"/>
          <w:color w:val="0D0D0D"/>
          <w:spacing w:val="-3"/>
        </w:rPr>
        <w:t>.</w:t>
      </w:r>
    </w:p>
    <w:p w14:paraId="779E758C" w14:textId="72463D3C" w:rsidR="005438AF" w:rsidRPr="008D7EB7" w:rsidRDefault="005438AF" w:rsidP="005438AF">
      <w:pPr>
        <w:spacing w:before="120"/>
        <w:jc w:val="both"/>
        <w:textAlignment w:val="baseline"/>
        <w:rPr>
          <w:rFonts w:asciiTheme="minorHAnsi" w:hAnsiTheme="minorHAnsi" w:cs="Calibri Light"/>
          <w:color w:val="0D0D0D"/>
          <w:spacing w:val="-3"/>
        </w:rPr>
      </w:pPr>
      <w:r w:rsidRPr="008D7EB7">
        <w:rPr>
          <w:rFonts w:asciiTheme="minorHAnsi" w:hAnsiTheme="minorHAnsi" w:cs="Calibri Light"/>
          <w:color w:val="0D0D0D"/>
          <w:spacing w:val="-3"/>
          <w:u w:val="single"/>
        </w:rPr>
        <w:t>Exemple par trimestre</w:t>
      </w:r>
      <w:r w:rsidRPr="008D7EB7">
        <w:rPr>
          <w:rFonts w:asciiTheme="minorHAnsi" w:hAnsiTheme="minorHAnsi" w:cs="Calibri Light"/>
          <w:color w:val="0D0D0D"/>
          <w:spacing w:val="-3"/>
        </w:rPr>
        <w:t xml:space="preserve"> : 0</w:t>
      </w:r>
      <w:r w:rsidR="00FC06A0">
        <w:rPr>
          <w:rFonts w:asciiTheme="minorHAnsi" w:hAnsiTheme="minorHAnsi" w:cs="Calibri Light"/>
          <w:color w:val="0D0D0D"/>
          <w:spacing w:val="-3"/>
        </w:rPr>
        <w:t>,</w:t>
      </w:r>
      <w:r w:rsidR="00460F83" w:rsidRPr="008D7EB7">
        <w:rPr>
          <w:rFonts w:asciiTheme="minorHAnsi" w:hAnsiTheme="minorHAnsi" w:cs="Calibri Light"/>
          <w:color w:val="0D0D0D"/>
          <w:spacing w:val="-3"/>
        </w:rPr>
        <w:t>8</w:t>
      </w:r>
      <w:r w:rsidRPr="008D7EB7">
        <w:rPr>
          <w:rFonts w:asciiTheme="minorHAnsi" w:hAnsiTheme="minorHAnsi" w:cs="Calibri Light"/>
          <w:color w:val="0D0D0D"/>
          <w:spacing w:val="-3"/>
        </w:rPr>
        <w:t xml:space="preserve">5 </w:t>
      </w:r>
      <w:r w:rsidR="00FC06A0">
        <w:rPr>
          <w:rFonts w:asciiTheme="minorHAnsi" w:hAnsiTheme="minorHAnsi" w:cs="Calibri Light"/>
          <w:color w:val="0D0D0D"/>
          <w:spacing w:val="-3"/>
        </w:rPr>
        <w:t>euro</w:t>
      </w:r>
      <w:r w:rsidR="00FC06A0" w:rsidRPr="008D7EB7">
        <w:rPr>
          <w:rFonts w:asciiTheme="minorHAnsi" w:hAnsiTheme="minorHAnsi" w:cs="Calibri Light"/>
          <w:color w:val="0D0D0D"/>
          <w:spacing w:val="-3"/>
        </w:rPr>
        <w:t xml:space="preserve"> </w:t>
      </w:r>
      <w:r w:rsidRPr="008D7EB7">
        <w:rPr>
          <w:rFonts w:asciiTheme="minorHAnsi" w:hAnsiTheme="minorHAnsi" w:cs="Calibri Light"/>
          <w:color w:val="0D0D0D"/>
          <w:spacing w:val="-3"/>
        </w:rPr>
        <w:t>*le nombres de trimestre /4)</w:t>
      </w:r>
      <w:r w:rsidR="006B1AFC" w:rsidRPr="008D7EB7">
        <w:rPr>
          <w:rFonts w:asciiTheme="minorHAnsi" w:hAnsiTheme="minorHAnsi" w:cs="Calibri Light"/>
          <w:color w:val="0D0D0D"/>
          <w:spacing w:val="-3"/>
        </w:rPr>
        <w:t>.</w:t>
      </w:r>
      <w:r w:rsidRPr="008D7EB7">
        <w:rPr>
          <w:rFonts w:asciiTheme="minorHAnsi" w:hAnsiTheme="minorHAnsi" w:cs="Calibri Light"/>
          <w:color w:val="0D0D0D"/>
          <w:spacing w:val="-3"/>
        </w:rPr>
        <w:t xml:space="preserve"> </w:t>
      </w:r>
    </w:p>
    <w:bookmarkEnd w:id="6224"/>
    <w:p w14:paraId="1729E117" w14:textId="6AA172F0" w:rsidR="00BB4C8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Ce taux pourra être majoré jusqu'au double lorsque le panneau est équipé d'un système de défilement électronique ou mécanique des messages publicitaires OU lorsque le panneau est lumineux ou éclairé. </w:t>
      </w:r>
    </w:p>
    <w:p w14:paraId="3CACE441"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 taux pourra être majoré jusqu'au triple lorsque le panneau est équipé d'un système de défilement électronique ou mécanique des messages publicitaires ET lorsque le panneau est lumineux ou éclairé.</w:t>
      </w:r>
    </w:p>
    <w:p w14:paraId="322EC309" w14:textId="3603CED7" w:rsidR="009B153C" w:rsidRDefault="009B153C" w:rsidP="00E063FD">
      <w:pPr>
        <w:spacing w:before="120"/>
        <w:jc w:val="both"/>
        <w:rPr>
          <w:rFonts w:asciiTheme="minorHAnsi" w:hAnsiTheme="minorHAnsi" w:cs="Calibri Light"/>
          <w:lang w:val="fr-BE"/>
        </w:rPr>
      </w:pPr>
      <w:r w:rsidRPr="00DA6BD2">
        <w:rPr>
          <w:rFonts w:asciiTheme="minorHAnsi" w:hAnsiTheme="minorHAnsi" w:cs="Calibri Light"/>
          <w:lang w:val="fr-BE"/>
        </w:rPr>
        <w:t>Pour les communes appliquant le doublement et le triplement du taux, j’attire particulièrement votre attention sur l’impact que peut avoir une hausse trop importante du taux sur l’activité des firmes publicitaires, lesquelles connaissent aujourd’hui diverses formes de concurrence. C’est pourquoi je préconise des taux progressifs en fonction de la surface des panneaux et du nombre de possibilités de défilement.</w:t>
      </w:r>
    </w:p>
    <w:p w14:paraId="2633BAF7" w14:textId="77777777" w:rsidR="00FB05AF" w:rsidRPr="00DA6BD2" w:rsidRDefault="00FB05AF" w:rsidP="00E063FD">
      <w:pPr>
        <w:spacing w:before="120"/>
        <w:jc w:val="both"/>
        <w:rPr>
          <w:rFonts w:asciiTheme="minorHAnsi" w:hAnsiTheme="minorHAnsi" w:cs="Calibri Light"/>
          <w:lang w:val="fr-BE"/>
        </w:rPr>
      </w:pPr>
    </w:p>
    <w:p w14:paraId="46FD059D" w14:textId="77777777" w:rsidR="0084076C" w:rsidRPr="00E063FD" w:rsidRDefault="009B153C" w:rsidP="00256E9F">
      <w:pPr>
        <w:pStyle w:val="Sam3"/>
        <w:rPr>
          <w:rFonts w:cs="Calibri Light"/>
          <w:spacing w:val="4"/>
        </w:rPr>
      </w:pPr>
      <w:bookmarkStart w:id="6225" w:name="_Toc74557778"/>
      <w:bookmarkStart w:id="6226" w:name="_Hlk68528824"/>
      <w:bookmarkStart w:id="6227" w:name="_Toc515896823"/>
      <w:bookmarkStart w:id="6228" w:name="_Toc512525510"/>
      <w:r w:rsidRPr="00404723">
        <w:t xml:space="preserve">04001/364-24 : Distribution gratuite </w:t>
      </w:r>
      <w:r w:rsidRPr="00E063FD">
        <w:t>d'écrits publicitaires ou d’échantillons publicitaires non adressés et de supports de presse régionale gratuite</w:t>
      </w:r>
      <w:bookmarkEnd w:id="6225"/>
      <w:r w:rsidRPr="00E063FD">
        <w:t xml:space="preserve"> </w:t>
      </w:r>
    </w:p>
    <w:bookmarkEnd w:id="6226"/>
    <w:p w14:paraId="73CD2D9A" w14:textId="77777777" w:rsidR="009B153C" w:rsidRPr="00E9189F" w:rsidRDefault="0084076C" w:rsidP="00E063FD">
      <w:pPr>
        <w:rPr>
          <w:rFonts w:cs="Calibri Light"/>
          <w:spacing w:val="4"/>
        </w:rPr>
      </w:pPr>
      <w:r w:rsidRPr="00787482">
        <w:rPr>
          <w:rFonts w:eastAsia="PMingLiU"/>
        </w:rPr>
        <w:t>T</w:t>
      </w:r>
      <w:r w:rsidR="009B153C" w:rsidRPr="00E063FD">
        <w:rPr>
          <w:rFonts w:eastAsia="PMingLiU"/>
        </w:rPr>
        <w:t>axe indirecte</w:t>
      </w:r>
      <w:r w:rsidRPr="00787482">
        <w:rPr>
          <w:rFonts w:eastAsia="PMingLiU"/>
        </w:rPr>
        <w:t>.</w:t>
      </w:r>
      <w:bookmarkEnd w:id="6227"/>
      <w:r w:rsidR="009B153C" w:rsidRPr="003F0B7B">
        <w:rPr>
          <w:rFonts w:cs="Calibri Light"/>
          <w:spacing w:val="4"/>
        </w:rPr>
        <w:t xml:space="preserve"> </w:t>
      </w:r>
    </w:p>
    <w:p w14:paraId="215B576C" w14:textId="77777777" w:rsidR="009B153C" w:rsidRPr="00671240" w:rsidRDefault="009B153C" w:rsidP="00E063FD">
      <w:pPr>
        <w:spacing w:before="120"/>
        <w:jc w:val="both"/>
        <w:textAlignment w:val="baseline"/>
        <w:rPr>
          <w:rFonts w:asciiTheme="minorHAnsi" w:hAnsiTheme="minorHAnsi"/>
          <w:b/>
          <w:spacing w:val="-1"/>
        </w:rPr>
      </w:pPr>
      <w:r w:rsidRPr="00B57084">
        <w:rPr>
          <w:rFonts w:asciiTheme="minorHAnsi" w:hAnsiTheme="minorHAnsi"/>
          <w:b/>
          <w:spacing w:val="-1"/>
        </w:rPr>
        <w:t xml:space="preserve">La taxe vise la distribution gratuite de deux types d’écrits que sont les écrits (ou les échantillons) publicitaires </w:t>
      </w:r>
      <w:r w:rsidRPr="00671240">
        <w:rPr>
          <w:rFonts w:asciiTheme="minorHAnsi" w:hAnsiTheme="minorHAnsi"/>
          <w:b/>
          <w:spacing w:val="-1"/>
        </w:rPr>
        <w:t>non adressés et les supports de presse régionale gratuite.</w:t>
      </w:r>
    </w:p>
    <w:p w14:paraId="4835820E" w14:textId="77777777" w:rsidR="00EC0174" w:rsidRPr="0037322F" w:rsidRDefault="00EC0174" w:rsidP="00EC0174">
      <w:pPr>
        <w:spacing w:before="120"/>
        <w:jc w:val="both"/>
        <w:textAlignment w:val="baseline"/>
        <w:rPr>
          <w:rFonts w:asciiTheme="minorHAnsi" w:hAnsiTheme="minorHAnsi"/>
          <w:spacing w:val="-1"/>
        </w:rPr>
      </w:pPr>
      <w:r w:rsidRPr="0037322F">
        <w:rPr>
          <w:rFonts w:asciiTheme="minorHAnsi" w:hAnsiTheme="minorHAnsi"/>
          <w:spacing w:val="-1"/>
        </w:rPr>
        <w:lastRenderedPageBreak/>
        <w:t xml:space="preserve">Les « toutes boîtes » se distinguent non seulement de la </w:t>
      </w:r>
      <w:r w:rsidRPr="00671240">
        <w:rPr>
          <w:rFonts w:asciiTheme="minorHAnsi" w:hAnsiTheme="minorHAnsi"/>
          <w:spacing w:val="-1"/>
        </w:rPr>
        <w:t>presse adressée</w:t>
      </w:r>
      <w:r w:rsidRPr="0037322F">
        <w:rPr>
          <w:rFonts w:asciiTheme="minorHAnsi" w:hAnsiTheme="minorHAnsi"/>
          <w:spacing w:val="-1"/>
        </w:rPr>
        <w:t xml:space="preserve">, qui est distribuée uniquement aux abonnés, à leur demande et à leurs frais, mais également des </w:t>
      </w:r>
      <w:r w:rsidRPr="00671240">
        <w:rPr>
          <w:rFonts w:asciiTheme="minorHAnsi" w:hAnsiTheme="minorHAnsi"/>
          <w:spacing w:val="-1"/>
        </w:rPr>
        <w:t>écrits adressés</w:t>
      </w:r>
      <w:r w:rsidRPr="0037322F">
        <w:rPr>
          <w:rFonts w:asciiTheme="minorHAnsi" w:hAnsiTheme="minorHAnsi"/>
          <w:spacing w:val="-1"/>
        </w:rPr>
        <w:t>, envoyés gratuitement à leurs destinataires, parfois sans que ceux-ci en aient fait la demande.</w:t>
      </w:r>
    </w:p>
    <w:p w14:paraId="6DBB0BEA" w14:textId="299852B9" w:rsidR="009B153C" w:rsidRDefault="002E4936" w:rsidP="00E063FD">
      <w:pPr>
        <w:spacing w:before="120"/>
        <w:jc w:val="both"/>
        <w:textAlignment w:val="baseline"/>
        <w:rPr>
          <w:rFonts w:asciiTheme="minorHAnsi" w:hAnsiTheme="minorHAnsi"/>
          <w:b/>
          <w:spacing w:val="-1"/>
        </w:rPr>
      </w:pPr>
      <w:r w:rsidRPr="00B57084">
        <w:rPr>
          <w:rFonts w:asciiTheme="minorHAnsi" w:hAnsiTheme="minorHAnsi"/>
          <w:b/>
          <w:spacing w:val="-1"/>
        </w:rPr>
        <w:t>À</w:t>
      </w:r>
      <w:r w:rsidR="00EC0174" w:rsidRPr="00B57084">
        <w:rPr>
          <w:rFonts w:asciiTheme="minorHAnsi" w:hAnsiTheme="minorHAnsi"/>
          <w:b/>
          <w:spacing w:val="-1"/>
        </w:rPr>
        <w:t xml:space="preserve"> ce titre, la législation reconnaissant les principes de la protection de la vie privée et du secret de la correspondance empêche que les écrits adressés soient ouverts par l’autorité taxatrice. Ils échappent donc, pour des raisons pratiques, à cette taxation. </w:t>
      </w:r>
    </w:p>
    <w:p w14:paraId="631C4DF1" w14:textId="77777777" w:rsidR="000D1361" w:rsidRDefault="000D1361" w:rsidP="00E063FD">
      <w:pPr>
        <w:spacing w:before="120"/>
        <w:jc w:val="both"/>
        <w:textAlignment w:val="baseline"/>
        <w:rPr>
          <w:rFonts w:asciiTheme="minorHAnsi" w:hAnsiTheme="minorHAnsi"/>
          <w:spacing w:val="-1"/>
        </w:rPr>
      </w:pPr>
    </w:p>
    <w:p w14:paraId="3BC4F5B0" w14:textId="77777777" w:rsidR="009B153C" w:rsidRPr="00E063FD" w:rsidRDefault="009B153C" w:rsidP="00581DAD">
      <w:pPr>
        <w:pStyle w:val="Sam4"/>
        <w:rPr>
          <w:b w:val="0"/>
        </w:rPr>
      </w:pPr>
      <w:bookmarkStart w:id="6229" w:name="_Toc516739837"/>
      <w:bookmarkStart w:id="6230" w:name="_Toc516751746"/>
      <w:bookmarkStart w:id="6231" w:name="_Toc516825834"/>
      <w:bookmarkStart w:id="6232" w:name="_Toc516826392"/>
      <w:bookmarkStart w:id="6233" w:name="_Toc516837712"/>
      <w:bookmarkStart w:id="6234" w:name="_Toc516838271"/>
      <w:bookmarkStart w:id="6235" w:name="_Toc516838830"/>
      <w:bookmarkStart w:id="6236" w:name="_Toc516839390"/>
      <w:bookmarkStart w:id="6237" w:name="_Toc517173486"/>
      <w:bookmarkStart w:id="6238" w:name="_Toc517175160"/>
      <w:bookmarkStart w:id="6239" w:name="_Toc517175747"/>
      <w:bookmarkStart w:id="6240" w:name="_Toc517176335"/>
      <w:bookmarkStart w:id="6241" w:name="_Toc517337660"/>
      <w:bookmarkStart w:id="6242" w:name="_Toc517360456"/>
      <w:bookmarkStart w:id="6243" w:name="_Toc74557779"/>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r w:rsidRPr="00E063FD">
        <w:t>Les écrits (ou les échantillons) publicitaires non adressés</w:t>
      </w:r>
      <w:bookmarkEnd w:id="6243"/>
      <w:r w:rsidRPr="00E063FD">
        <w:t> </w:t>
      </w:r>
    </w:p>
    <w:p w14:paraId="0E122726" w14:textId="77777777" w:rsidR="009B153C" w:rsidRPr="00E063FD" w:rsidRDefault="009B153C" w:rsidP="00E063FD">
      <w:pPr>
        <w:spacing w:before="120"/>
        <w:jc w:val="both"/>
        <w:textAlignment w:val="baseline"/>
        <w:rPr>
          <w:rFonts w:asciiTheme="minorHAnsi" w:hAnsiTheme="minorHAnsi"/>
          <w:spacing w:val="-1"/>
        </w:rPr>
      </w:pPr>
      <w:r w:rsidRPr="00E063FD">
        <w:rPr>
          <w:rFonts w:asciiTheme="minorHAnsi" w:hAnsiTheme="minorHAnsi"/>
          <w:spacing w:val="-1"/>
        </w:rPr>
        <w:t>Les écrits (ou les échantillons) publicitaires non adressés sont des écrits à vocation commerciale (publicitaire c’est-à-dire visant un intérêt particulier, celui de l’annonceur) qui ne comportent pas le nom et/ou l'adresse complète du destinataire (rue, n°, code postal et commune) et qui sont diffusés gratuitement en principe à l'ensemble des habitants de la commune.</w:t>
      </w:r>
    </w:p>
    <w:p w14:paraId="697497D9" w14:textId="48EBB09A" w:rsidR="009B153C" w:rsidRPr="00E063FD" w:rsidRDefault="002E4936" w:rsidP="00E063FD">
      <w:pPr>
        <w:spacing w:before="120"/>
        <w:jc w:val="both"/>
        <w:textAlignment w:val="baseline"/>
        <w:rPr>
          <w:rFonts w:asciiTheme="minorHAnsi" w:hAnsiTheme="minorHAnsi"/>
          <w:spacing w:val="-1"/>
        </w:rPr>
      </w:pPr>
      <w:r w:rsidRPr="00E063FD">
        <w:rPr>
          <w:rFonts w:asciiTheme="minorHAnsi" w:hAnsiTheme="minorHAnsi"/>
          <w:spacing w:val="-1"/>
        </w:rPr>
        <w:t>Échantillon</w:t>
      </w:r>
      <w:r w:rsidR="009B153C" w:rsidRPr="00E063FD">
        <w:rPr>
          <w:rFonts w:asciiTheme="minorHAnsi" w:hAnsiTheme="minorHAnsi"/>
          <w:spacing w:val="-1"/>
        </w:rPr>
        <w:t> : toute petite quantité et/ou exemple d'un produit réalisé pour en assurer la promotion et/ou la vente.</w:t>
      </w:r>
    </w:p>
    <w:p w14:paraId="38F23EC4" w14:textId="353281BE" w:rsidR="009B153C" w:rsidRPr="00256E9F" w:rsidRDefault="009B153C" w:rsidP="00E063FD">
      <w:pPr>
        <w:spacing w:before="120"/>
        <w:jc w:val="both"/>
        <w:textAlignment w:val="baseline"/>
        <w:rPr>
          <w:rFonts w:asciiTheme="minorHAnsi" w:hAnsiTheme="minorHAnsi"/>
          <w:b/>
          <w:bCs/>
          <w:spacing w:val="-1"/>
        </w:rPr>
      </w:pPr>
      <w:r w:rsidRPr="00256E9F">
        <w:rPr>
          <w:rFonts w:asciiTheme="minorHAnsi" w:hAnsiTheme="minorHAnsi"/>
          <w:b/>
          <w:bCs/>
          <w:spacing w:val="-1"/>
        </w:rPr>
        <w:t>Le taux maximum recommandé est modulé en fonction du poids des écrits publicitaires non adressés ou échantillons publicitaires non adressés</w:t>
      </w:r>
      <w:r w:rsidR="00BF4C17" w:rsidRPr="00256E9F">
        <w:rPr>
          <w:rFonts w:asciiTheme="minorHAnsi" w:hAnsiTheme="minorHAnsi"/>
          <w:b/>
          <w:bCs/>
          <w:spacing w:val="-1"/>
        </w:rPr>
        <w:t> :</w:t>
      </w:r>
    </w:p>
    <w:p w14:paraId="405EC45D" w14:textId="1B0B6397" w:rsidR="009B153C" w:rsidRPr="008D7EB7"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0,</w:t>
      </w:r>
      <w:r w:rsidR="00854CBA">
        <w:rPr>
          <w:rFonts w:asciiTheme="minorHAnsi" w:hAnsiTheme="minorHAnsi" w:cs="Calibri Light"/>
        </w:rPr>
        <w:t>0</w:t>
      </w:r>
      <w:r w:rsidRPr="008D7EB7">
        <w:rPr>
          <w:rFonts w:asciiTheme="minorHAnsi" w:hAnsiTheme="minorHAnsi" w:cs="Calibri Light"/>
        </w:rPr>
        <w:t xml:space="preserve">150 </w:t>
      </w:r>
      <w:r w:rsidR="009B153C" w:rsidRPr="008D7EB7">
        <w:rPr>
          <w:rFonts w:asciiTheme="minorHAnsi" w:hAnsiTheme="minorHAnsi" w:cs="Calibri Light"/>
        </w:rPr>
        <w:t>euro</w:t>
      </w:r>
      <w:r w:rsidR="000D1361" w:rsidRPr="008D7EB7">
        <w:rPr>
          <w:rFonts w:asciiTheme="minorHAnsi" w:hAnsiTheme="minorHAnsi" w:cs="Calibri Light"/>
        </w:rPr>
        <w:t xml:space="preserve"> </w:t>
      </w:r>
      <w:r w:rsidR="009B153C" w:rsidRPr="008D7EB7">
        <w:rPr>
          <w:rFonts w:asciiTheme="minorHAnsi" w:hAnsiTheme="minorHAnsi" w:cs="Calibri Light"/>
        </w:rPr>
        <w:t>par exemplaire distribué pour les écrits et les échantillons publicitaires jusqu'à 10 grammes inclus,</w:t>
      </w:r>
    </w:p>
    <w:p w14:paraId="0E9FF17D" w14:textId="1EF86389" w:rsidR="009B153C" w:rsidRPr="008D7EB7"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0,</w:t>
      </w:r>
      <w:r w:rsidR="00854CBA">
        <w:rPr>
          <w:rFonts w:asciiTheme="minorHAnsi" w:hAnsiTheme="minorHAnsi" w:cs="Calibri Light"/>
        </w:rPr>
        <w:t>0</w:t>
      </w:r>
      <w:r w:rsidRPr="008D7EB7">
        <w:rPr>
          <w:rFonts w:asciiTheme="minorHAnsi" w:hAnsiTheme="minorHAnsi" w:cs="Calibri Light"/>
        </w:rPr>
        <w:t xml:space="preserve">390 </w:t>
      </w:r>
      <w:r w:rsidR="009B153C" w:rsidRPr="008D7EB7">
        <w:rPr>
          <w:rFonts w:asciiTheme="minorHAnsi" w:hAnsiTheme="minorHAnsi" w:cs="Calibri Light"/>
        </w:rPr>
        <w:t>euro par exemplaire distribué pour les écrits et les échantillons publicitaires au-delà de 10 et jusqu'à 40 grammes inclus,</w:t>
      </w:r>
    </w:p>
    <w:p w14:paraId="290009C0" w14:textId="3A0F43C7" w:rsidR="009B153C" w:rsidRPr="008D7EB7"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0,</w:t>
      </w:r>
      <w:r w:rsidR="00854CBA">
        <w:rPr>
          <w:rFonts w:asciiTheme="minorHAnsi" w:hAnsiTheme="minorHAnsi" w:cs="Calibri Light"/>
        </w:rPr>
        <w:t>0</w:t>
      </w:r>
      <w:r w:rsidRPr="008D7EB7">
        <w:rPr>
          <w:rFonts w:asciiTheme="minorHAnsi" w:hAnsiTheme="minorHAnsi" w:cs="Calibri Light"/>
        </w:rPr>
        <w:t xml:space="preserve">585 </w:t>
      </w:r>
      <w:r w:rsidR="009B153C" w:rsidRPr="008D7EB7">
        <w:rPr>
          <w:rFonts w:asciiTheme="minorHAnsi" w:hAnsiTheme="minorHAnsi" w:cs="Calibri Light"/>
        </w:rPr>
        <w:t>euro par exemplaire distribué pour les écrits et les échantillons publicitaires au-delà de 40 et jusqu'à 225 grammes inclus,</w:t>
      </w:r>
    </w:p>
    <w:p w14:paraId="0182CD37" w14:textId="4BF2E8E0" w:rsidR="009B153C" w:rsidRPr="008D7EB7"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 xml:space="preserve">0,1050 </w:t>
      </w:r>
      <w:r w:rsidR="009B153C" w:rsidRPr="008D7EB7">
        <w:rPr>
          <w:rFonts w:asciiTheme="minorHAnsi" w:hAnsiTheme="minorHAnsi" w:cs="Calibri Light"/>
        </w:rPr>
        <w:t>euro</w:t>
      </w:r>
      <w:r w:rsidR="000D1361" w:rsidRPr="008D7EB7">
        <w:rPr>
          <w:rFonts w:asciiTheme="minorHAnsi" w:hAnsiTheme="minorHAnsi" w:cs="Calibri Light"/>
        </w:rPr>
        <w:t xml:space="preserve"> </w:t>
      </w:r>
      <w:r w:rsidR="009B153C" w:rsidRPr="008D7EB7">
        <w:rPr>
          <w:rFonts w:asciiTheme="minorHAnsi" w:hAnsiTheme="minorHAnsi" w:cs="Calibri Light"/>
        </w:rPr>
        <w:t>par exemplaire distribué pour les écrits et les échantillons publicitaires supérieurs à 225 grammes.</w:t>
      </w:r>
    </w:p>
    <w:p w14:paraId="12076EE1" w14:textId="77777777" w:rsidR="009B153C" w:rsidRPr="00E063FD" w:rsidRDefault="009B153C" w:rsidP="00E063FD">
      <w:pPr>
        <w:spacing w:before="120"/>
        <w:jc w:val="both"/>
        <w:textAlignment w:val="baseline"/>
        <w:rPr>
          <w:rFonts w:asciiTheme="minorHAnsi" w:hAnsiTheme="minorHAnsi"/>
          <w:spacing w:val="-1"/>
        </w:rPr>
      </w:pPr>
    </w:p>
    <w:p w14:paraId="4235748C" w14:textId="77777777" w:rsidR="009B153C" w:rsidRPr="00E063FD" w:rsidRDefault="009B153C" w:rsidP="00581DAD">
      <w:pPr>
        <w:pStyle w:val="Sam4"/>
        <w:rPr>
          <w:b w:val="0"/>
        </w:rPr>
      </w:pPr>
      <w:bookmarkStart w:id="6244" w:name="_Toc74557780"/>
      <w:r w:rsidRPr="00E063FD">
        <w:t>Les supports de la presse régionale gratuite</w:t>
      </w:r>
      <w:bookmarkEnd w:id="6244"/>
      <w:r w:rsidRPr="00E063FD">
        <w:t> </w:t>
      </w:r>
    </w:p>
    <w:p w14:paraId="17C4F6CA" w14:textId="40DCAF2B" w:rsidR="009B153C" w:rsidRDefault="009B153C" w:rsidP="00E063FD">
      <w:pPr>
        <w:spacing w:before="120"/>
        <w:jc w:val="both"/>
        <w:textAlignment w:val="baseline"/>
        <w:rPr>
          <w:rFonts w:asciiTheme="minorHAnsi" w:hAnsiTheme="minorHAnsi"/>
          <w:spacing w:val="-1"/>
        </w:rPr>
      </w:pPr>
      <w:r w:rsidRPr="00E063FD">
        <w:rPr>
          <w:rFonts w:asciiTheme="minorHAnsi" w:hAnsiTheme="minorHAnsi"/>
          <w:spacing w:val="-1"/>
        </w:rPr>
        <w:t xml:space="preserve">Le </w:t>
      </w:r>
      <w:r w:rsidR="003A3E72">
        <w:rPr>
          <w:rFonts w:asciiTheme="minorHAnsi" w:hAnsiTheme="minorHAnsi"/>
          <w:spacing w:val="-1"/>
        </w:rPr>
        <w:t>s</w:t>
      </w:r>
      <w:r w:rsidRPr="00E063FD">
        <w:rPr>
          <w:rFonts w:asciiTheme="minorHAnsi" w:hAnsiTheme="minorHAnsi"/>
          <w:spacing w:val="-1"/>
        </w:rPr>
        <w:t>upport de la presse régionale gratuite est l’écrit qui réunit les conditions suivantes :</w:t>
      </w:r>
    </w:p>
    <w:p w14:paraId="7B9FFC44" w14:textId="399B87F6" w:rsidR="009B153C" w:rsidRPr="008D7EB7" w:rsidRDefault="00B8479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009B153C" w:rsidRPr="008D7EB7">
        <w:rPr>
          <w:rFonts w:asciiTheme="minorHAnsi" w:hAnsiTheme="minorHAnsi" w:cs="Calibri Light"/>
        </w:rPr>
        <w:t>e</w:t>
      </w:r>
      <w:proofErr w:type="gramEnd"/>
      <w:r w:rsidR="009B153C" w:rsidRPr="008D7EB7">
        <w:rPr>
          <w:rFonts w:asciiTheme="minorHAnsi" w:hAnsiTheme="minorHAnsi" w:cs="Calibri Light"/>
        </w:rPr>
        <w:t xml:space="preserve"> rythme périodique doit être régulier et défini avec un minimum de 12 parutions par an</w:t>
      </w:r>
      <w:r w:rsidR="00BF4C17">
        <w:rPr>
          <w:rFonts w:asciiTheme="minorHAnsi" w:hAnsiTheme="minorHAnsi" w:cs="Calibri Light"/>
        </w:rPr>
        <w:t xml:space="preserve"> </w:t>
      </w:r>
      <w:r w:rsidR="009B153C" w:rsidRPr="008D7EB7">
        <w:rPr>
          <w:rFonts w:asciiTheme="minorHAnsi" w:hAnsiTheme="minorHAnsi" w:cs="Calibri Light"/>
        </w:rPr>
        <w:t>;</w:t>
      </w:r>
    </w:p>
    <w:p w14:paraId="439DBD0E" w14:textId="1EBBC8CD" w:rsidR="009B153C" w:rsidRDefault="00B84798" w:rsidP="00B84798">
      <w:pPr>
        <w:pStyle w:val="Paragraphedeliste"/>
        <w:numPr>
          <w:ilvl w:val="0"/>
          <w:numId w:val="162"/>
        </w:numPr>
        <w:tabs>
          <w:tab w:val="left" w:pos="144"/>
        </w:tabs>
        <w:spacing w:before="120"/>
        <w:jc w:val="both"/>
        <w:textAlignment w:val="baseline"/>
        <w:rPr>
          <w:rFonts w:asciiTheme="minorHAnsi" w:hAnsiTheme="minorHAnsi"/>
          <w:spacing w:val="-1"/>
        </w:rPr>
      </w:pPr>
      <w:proofErr w:type="gramStart"/>
      <w:r>
        <w:rPr>
          <w:rFonts w:asciiTheme="minorHAnsi" w:hAnsiTheme="minorHAnsi" w:cs="Calibri Light"/>
        </w:rPr>
        <w:t>l</w:t>
      </w:r>
      <w:r w:rsidR="009B153C" w:rsidRPr="008D7EB7">
        <w:rPr>
          <w:rFonts w:asciiTheme="minorHAnsi" w:hAnsiTheme="minorHAnsi" w:cs="Calibri Light"/>
        </w:rPr>
        <w:t>’écrit</w:t>
      </w:r>
      <w:proofErr w:type="gramEnd"/>
      <w:r w:rsidR="009B153C" w:rsidRPr="008D7EB7">
        <w:rPr>
          <w:rFonts w:asciiTheme="minorHAnsi" w:hAnsiTheme="minorHAnsi" w:cs="Calibri Light"/>
        </w:rPr>
        <w:t xml:space="preserve"> de PRG doit contenir, outre de la publicité, du texte rédactionnel d'informations liées à l'actualité récente, adaptée à la zone de distribution mais essentiellement locales et/ou communales et comportant à la fois au moins 5 des six informations d'intérêt général suivantes, d'actualité et non périmées, adaptées à la zone de distribution et, en tous cas</w:t>
      </w:r>
      <w:r w:rsidR="009B153C" w:rsidRPr="00E063FD">
        <w:rPr>
          <w:rFonts w:asciiTheme="minorHAnsi" w:hAnsiTheme="minorHAnsi"/>
          <w:spacing w:val="-1"/>
        </w:rPr>
        <w:t xml:space="preserve"> essentiellement communales :</w:t>
      </w:r>
    </w:p>
    <w:p w14:paraId="156AA1C6" w14:textId="77777777" w:rsidR="009B153C" w:rsidRPr="00E063FD" w:rsidRDefault="009B153C"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proofErr w:type="gramStart"/>
      <w:r w:rsidRPr="00E063FD">
        <w:rPr>
          <w:rFonts w:asciiTheme="minorHAnsi" w:hAnsiTheme="minorHAnsi"/>
          <w:spacing w:val="-1"/>
        </w:rPr>
        <w:t>les</w:t>
      </w:r>
      <w:proofErr w:type="gramEnd"/>
      <w:r w:rsidRPr="00E063FD">
        <w:rPr>
          <w:rFonts w:asciiTheme="minorHAnsi" w:hAnsiTheme="minorHAnsi"/>
          <w:spacing w:val="-1"/>
        </w:rPr>
        <w:t xml:space="preserve"> rôles de garde (médecins, pharmaciens, vétérinaires, ...)</w:t>
      </w:r>
      <w:r w:rsidR="00EC0174">
        <w:rPr>
          <w:rFonts w:asciiTheme="minorHAnsi" w:hAnsiTheme="minorHAnsi"/>
          <w:spacing w:val="-1"/>
        </w:rPr>
        <w:t> ;</w:t>
      </w:r>
    </w:p>
    <w:p w14:paraId="36CCDAAF" w14:textId="77777777" w:rsidR="009B153C" w:rsidRPr="00E063FD" w:rsidRDefault="009B153C"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proofErr w:type="gramStart"/>
      <w:r w:rsidRPr="00E063FD">
        <w:rPr>
          <w:rFonts w:asciiTheme="minorHAnsi" w:hAnsiTheme="minorHAnsi"/>
          <w:spacing w:val="-1"/>
        </w:rPr>
        <w:t>les</w:t>
      </w:r>
      <w:proofErr w:type="gramEnd"/>
      <w:r w:rsidRPr="00E063FD">
        <w:rPr>
          <w:rFonts w:asciiTheme="minorHAnsi" w:hAnsiTheme="minorHAnsi"/>
          <w:spacing w:val="-1"/>
        </w:rPr>
        <w:t xml:space="preserve"> agendas culturels reprenant les principales manifestations de la commune taxatrice et de sa région, de ses A.S.B.L. culturelles, sportives, caritatives</w:t>
      </w:r>
      <w:r w:rsidR="00EC0174">
        <w:rPr>
          <w:rFonts w:asciiTheme="minorHAnsi" w:hAnsiTheme="minorHAnsi"/>
          <w:spacing w:val="-1"/>
        </w:rPr>
        <w:t> ;</w:t>
      </w:r>
    </w:p>
    <w:p w14:paraId="6BEE366D" w14:textId="77777777" w:rsidR="009B153C" w:rsidRPr="00E063FD" w:rsidRDefault="009B153C"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proofErr w:type="gramStart"/>
      <w:r w:rsidRPr="00E063FD">
        <w:rPr>
          <w:rFonts w:asciiTheme="minorHAnsi" w:hAnsiTheme="minorHAnsi"/>
          <w:spacing w:val="-1"/>
        </w:rPr>
        <w:t>les</w:t>
      </w:r>
      <w:proofErr w:type="gramEnd"/>
      <w:r w:rsidRPr="00E063FD">
        <w:rPr>
          <w:rFonts w:asciiTheme="minorHAnsi" w:hAnsiTheme="minorHAnsi"/>
          <w:spacing w:val="-1"/>
        </w:rPr>
        <w:t xml:space="preserve"> « petites annonces » de particuliers</w:t>
      </w:r>
      <w:r w:rsidR="00EC0174">
        <w:rPr>
          <w:rFonts w:asciiTheme="minorHAnsi" w:hAnsiTheme="minorHAnsi"/>
          <w:spacing w:val="-1"/>
        </w:rPr>
        <w:t> ;</w:t>
      </w:r>
    </w:p>
    <w:p w14:paraId="2CAADF0C" w14:textId="77777777" w:rsidR="009B153C" w:rsidRPr="00E063FD" w:rsidRDefault="009B153C"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proofErr w:type="gramStart"/>
      <w:r w:rsidRPr="00E063FD">
        <w:rPr>
          <w:rFonts w:asciiTheme="minorHAnsi" w:hAnsiTheme="minorHAnsi"/>
          <w:spacing w:val="-1"/>
        </w:rPr>
        <w:t>une</w:t>
      </w:r>
      <w:proofErr w:type="gramEnd"/>
      <w:r w:rsidRPr="00E063FD">
        <w:rPr>
          <w:rFonts w:asciiTheme="minorHAnsi" w:hAnsiTheme="minorHAnsi"/>
          <w:spacing w:val="-1"/>
        </w:rPr>
        <w:t xml:space="preserve"> rubrique d'offres d'emplois et de formation</w:t>
      </w:r>
      <w:r w:rsidR="00EC0174">
        <w:rPr>
          <w:rFonts w:asciiTheme="minorHAnsi" w:hAnsiTheme="minorHAnsi"/>
          <w:spacing w:val="-1"/>
        </w:rPr>
        <w:t> ;</w:t>
      </w:r>
    </w:p>
    <w:p w14:paraId="323B951E" w14:textId="77777777" w:rsidR="009B153C" w:rsidRPr="00E063FD" w:rsidRDefault="009B153C"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proofErr w:type="gramStart"/>
      <w:r w:rsidRPr="00E063FD">
        <w:rPr>
          <w:rFonts w:asciiTheme="minorHAnsi" w:hAnsiTheme="minorHAnsi"/>
          <w:spacing w:val="-1"/>
        </w:rPr>
        <w:t>les</w:t>
      </w:r>
      <w:proofErr w:type="gramEnd"/>
      <w:r w:rsidRPr="00E063FD">
        <w:rPr>
          <w:rFonts w:asciiTheme="minorHAnsi" w:hAnsiTheme="minorHAnsi"/>
          <w:spacing w:val="-1"/>
        </w:rPr>
        <w:t xml:space="preserve"> annonces notariales</w:t>
      </w:r>
      <w:r w:rsidR="00EC0174">
        <w:rPr>
          <w:rFonts w:asciiTheme="minorHAnsi" w:hAnsiTheme="minorHAnsi"/>
          <w:spacing w:val="-1"/>
        </w:rPr>
        <w:t> ;</w:t>
      </w:r>
    </w:p>
    <w:p w14:paraId="32D47DDC" w14:textId="2513318C" w:rsidR="009B153C" w:rsidRPr="00E063FD" w:rsidRDefault="009B153C" w:rsidP="008D7EB7">
      <w:pPr>
        <w:pStyle w:val="Paragraphedeliste"/>
        <w:numPr>
          <w:ilvl w:val="0"/>
          <w:numId w:val="168"/>
        </w:numPr>
        <w:spacing w:before="120"/>
        <w:contextualSpacing/>
        <w:jc w:val="both"/>
        <w:textAlignment w:val="baseline"/>
        <w:rPr>
          <w:rFonts w:asciiTheme="minorHAnsi" w:hAnsiTheme="minorHAnsi"/>
          <w:spacing w:val="-1"/>
        </w:rPr>
      </w:pPr>
      <w:proofErr w:type="gramStart"/>
      <w:r w:rsidRPr="00E063FD">
        <w:rPr>
          <w:rFonts w:asciiTheme="minorHAnsi" w:hAnsiTheme="minorHAnsi"/>
          <w:spacing w:val="-1"/>
        </w:rPr>
        <w:t>des</w:t>
      </w:r>
      <w:proofErr w:type="gramEnd"/>
      <w:r w:rsidRPr="00E063FD">
        <w:rPr>
          <w:rFonts w:asciiTheme="minorHAnsi" w:hAnsiTheme="minorHAnsi"/>
          <w:spacing w:val="-1"/>
        </w:rPr>
        <w:t xml:space="preserve"> informations relatives à l'application de </w:t>
      </w:r>
      <w:r w:rsidR="003A3E72">
        <w:rPr>
          <w:rFonts w:asciiTheme="minorHAnsi" w:hAnsiTheme="minorHAnsi"/>
          <w:spacing w:val="-1"/>
        </w:rPr>
        <w:t>l</w:t>
      </w:r>
      <w:r w:rsidRPr="00E063FD">
        <w:rPr>
          <w:rFonts w:asciiTheme="minorHAnsi" w:hAnsiTheme="minorHAnsi"/>
          <w:spacing w:val="-1"/>
        </w:rPr>
        <w:t xml:space="preserve">ois, décrets ou règlements généraux qu'ils soient régionaux, fédéraux ou locaux des annonces d'utilité publique ainsi que </w:t>
      </w:r>
      <w:r w:rsidRPr="00E063FD">
        <w:rPr>
          <w:rFonts w:asciiTheme="minorHAnsi" w:hAnsiTheme="minorHAnsi"/>
          <w:spacing w:val="-1"/>
        </w:rPr>
        <w:lastRenderedPageBreak/>
        <w:t>des publications officielles ou d'intérêt public telles que : enquêtes publiques, autres publications ordonnées par les cours et tribunaux, ....</w:t>
      </w:r>
    </w:p>
    <w:p w14:paraId="1CED3239" w14:textId="6C608FDD" w:rsidR="009B153C" w:rsidRPr="008D7EB7" w:rsidRDefault="00B8479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009B153C" w:rsidRPr="008D7EB7">
        <w:rPr>
          <w:rFonts w:asciiTheme="minorHAnsi" w:hAnsiTheme="minorHAnsi" w:cs="Calibri Light"/>
        </w:rPr>
        <w:t>e</w:t>
      </w:r>
      <w:proofErr w:type="gramEnd"/>
      <w:r w:rsidR="009B153C" w:rsidRPr="008D7EB7">
        <w:rPr>
          <w:rFonts w:asciiTheme="minorHAnsi" w:hAnsiTheme="minorHAnsi" w:cs="Calibri Light"/>
        </w:rPr>
        <w:t xml:space="preserve"> contenu « publicitaire » présent dans l’écrit de la PRG doit être multi-</w:t>
      </w:r>
      <w:r w:rsidR="001C7CA7" w:rsidRPr="008D7EB7">
        <w:rPr>
          <w:rFonts w:asciiTheme="minorHAnsi" w:hAnsiTheme="minorHAnsi" w:cs="Calibri Light"/>
        </w:rPr>
        <w:t xml:space="preserve">enseignes </w:t>
      </w:r>
      <w:r w:rsidR="009B153C" w:rsidRPr="008D7EB7">
        <w:rPr>
          <w:rFonts w:asciiTheme="minorHAnsi" w:hAnsiTheme="minorHAnsi" w:cs="Calibri Light"/>
        </w:rPr>
        <w:t>;</w:t>
      </w:r>
    </w:p>
    <w:p w14:paraId="52AC6B41" w14:textId="4F7C007A" w:rsidR="009B153C" w:rsidRPr="008D7EB7" w:rsidRDefault="00B8479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009B153C" w:rsidRPr="008D7EB7">
        <w:rPr>
          <w:rFonts w:asciiTheme="minorHAnsi" w:hAnsiTheme="minorHAnsi" w:cs="Calibri Light"/>
        </w:rPr>
        <w:t>e</w:t>
      </w:r>
      <w:proofErr w:type="gramEnd"/>
      <w:r w:rsidR="009B153C" w:rsidRPr="008D7EB7">
        <w:rPr>
          <w:rFonts w:asciiTheme="minorHAnsi" w:hAnsiTheme="minorHAnsi" w:cs="Calibri Light"/>
        </w:rPr>
        <w:t xml:space="preserve"> contenu rédactionnel original dans l’écrit de la PRG doit être protégé par les droits d’auteur ;</w:t>
      </w:r>
    </w:p>
    <w:p w14:paraId="3B9B7F72" w14:textId="632B3770" w:rsidR="009B153C" w:rsidRPr="008D7EB7" w:rsidRDefault="00B8479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009B153C" w:rsidRPr="008D7EB7">
        <w:rPr>
          <w:rFonts w:asciiTheme="minorHAnsi" w:hAnsiTheme="minorHAnsi" w:cs="Calibri Light"/>
        </w:rPr>
        <w:t>’écrit</w:t>
      </w:r>
      <w:proofErr w:type="gramEnd"/>
      <w:r w:rsidR="009B153C" w:rsidRPr="008D7EB7">
        <w:rPr>
          <w:rFonts w:asciiTheme="minorHAnsi" w:hAnsiTheme="minorHAnsi" w:cs="Calibri Light"/>
        </w:rPr>
        <w:t xml:space="preserve"> de PRG doit obligatoirement reprendre la mention de l’éditeur responsable et le contact de la rédaction (« ours »)</w:t>
      </w:r>
      <w:r>
        <w:rPr>
          <w:rFonts w:asciiTheme="minorHAnsi" w:hAnsiTheme="minorHAnsi" w:cs="Calibri Light"/>
        </w:rPr>
        <w:t>.</w:t>
      </w:r>
    </w:p>
    <w:p w14:paraId="5775024B" w14:textId="77777777" w:rsidR="009B153C" w:rsidRPr="00E063FD" w:rsidRDefault="009B153C" w:rsidP="00E063FD">
      <w:pPr>
        <w:spacing w:before="120"/>
        <w:jc w:val="both"/>
        <w:textAlignment w:val="baseline"/>
        <w:rPr>
          <w:rFonts w:asciiTheme="minorHAnsi" w:hAnsiTheme="minorHAnsi"/>
          <w:spacing w:val="-1"/>
        </w:rPr>
      </w:pPr>
      <w:r w:rsidRPr="00E063FD">
        <w:rPr>
          <w:rFonts w:asciiTheme="minorHAnsi" w:hAnsiTheme="minorHAnsi"/>
          <w:spacing w:val="-1"/>
        </w:rPr>
        <w:t>La zone de distribution telle que mentionnée ci-dessus doit s’entendre comme le territoire de la commune taxatrice et de ses communes limitrophes.</w:t>
      </w:r>
    </w:p>
    <w:p w14:paraId="3EE5D4D5" w14:textId="2BFA5B6E" w:rsidR="009B153C" w:rsidRPr="00256E9F" w:rsidRDefault="009B153C" w:rsidP="00E063FD">
      <w:pPr>
        <w:spacing w:before="120"/>
        <w:jc w:val="both"/>
        <w:textAlignment w:val="baseline"/>
        <w:rPr>
          <w:rFonts w:asciiTheme="minorHAnsi" w:hAnsiTheme="minorHAnsi"/>
          <w:b/>
          <w:bCs/>
          <w:spacing w:val="-1"/>
        </w:rPr>
      </w:pPr>
      <w:r w:rsidRPr="00256E9F">
        <w:rPr>
          <w:rFonts w:asciiTheme="minorHAnsi" w:hAnsiTheme="minorHAnsi"/>
          <w:b/>
          <w:bCs/>
          <w:spacing w:val="-1"/>
        </w:rPr>
        <w:t xml:space="preserve">Le taux maximum recommandé est de </w:t>
      </w:r>
      <w:r w:rsidR="00460F83" w:rsidRPr="00256E9F">
        <w:rPr>
          <w:rFonts w:asciiTheme="minorHAnsi" w:hAnsiTheme="minorHAnsi"/>
          <w:b/>
          <w:bCs/>
          <w:spacing w:val="-1"/>
        </w:rPr>
        <w:t xml:space="preserve">0,010 </w:t>
      </w:r>
      <w:r w:rsidRPr="00256E9F">
        <w:rPr>
          <w:rFonts w:asciiTheme="minorHAnsi" w:hAnsiTheme="minorHAnsi"/>
          <w:b/>
          <w:bCs/>
          <w:spacing w:val="-1"/>
        </w:rPr>
        <w:t>euro par exemplaire distribué</w:t>
      </w:r>
      <w:r w:rsidR="00315F8B" w:rsidRPr="00256E9F">
        <w:rPr>
          <w:rFonts w:asciiTheme="minorHAnsi" w:hAnsiTheme="minorHAnsi"/>
          <w:b/>
          <w:bCs/>
          <w:spacing w:val="-1"/>
        </w:rPr>
        <w:t xml:space="preserve"> et peut être modulé en fonction du poids</w:t>
      </w:r>
      <w:r w:rsidRPr="00256E9F">
        <w:rPr>
          <w:rFonts w:asciiTheme="minorHAnsi" w:hAnsiTheme="minorHAnsi"/>
          <w:b/>
          <w:bCs/>
          <w:spacing w:val="-1"/>
        </w:rPr>
        <w:t>.</w:t>
      </w:r>
    </w:p>
    <w:p w14:paraId="1222C433" w14:textId="5D1CDA44" w:rsidR="00DF074E" w:rsidRPr="00DA6BD2" w:rsidRDefault="00DF074E" w:rsidP="00E063FD">
      <w:pPr>
        <w:spacing w:before="120" w:line="240" w:lineRule="exact"/>
        <w:jc w:val="both"/>
        <w:textAlignment w:val="baseline"/>
        <w:rPr>
          <w:rFonts w:asciiTheme="minorHAnsi" w:hAnsiTheme="minorHAnsi" w:cs="Calibri Light"/>
          <w:lang w:val="fr-BE"/>
        </w:rPr>
      </w:pPr>
      <w:bookmarkStart w:id="6245" w:name="_Hlk38971832"/>
      <w:r w:rsidRPr="00DA6BD2">
        <w:rPr>
          <w:rFonts w:asciiTheme="minorHAnsi" w:hAnsiTheme="minorHAnsi" w:cs="Calibri Light"/>
          <w:lang w:val="fr-BE"/>
        </w:rPr>
        <w:t xml:space="preserve">Si la </w:t>
      </w:r>
      <w:r>
        <w:rPr>
          <w:rFonts w:asciiTheme="minorHAnsi" w:hAnsiTheme="minorHAnsi" w:cs="Calibri Light"/>
          <w:lang w:val="fr-BE"/>
        </w:rPr>
        <w:t>presse régionale gratuite</w:t>
      </w:r>
      <w:r w:rsidRPr="00DA6BD2">
        <w:rPr>
          <w:rFonts w:asciiTheme="minorHAnsi" w:hAnsiTheme="minorHAnsi" w:cs="Calibri Light"/>
          <w:lang w:val="fr-BE"/>
        </w:rPr>
        <w:t xml:space="preserve"> insère des cahiers publicitaires supplémentaires dans leurs éditions, ces «</w:t>
      </w:r>
      <w:r w:rsidR="000D1361">
        <w:rPr>
          <w:rFonts w:asciiTheme="minorHAnsi" w:hAnsiTheme="minorHAnsi" w:cs="Calibri Light"/>
          <w:lang w:val="fr-BE"/>
        </w:rPr>
        <w:t xml:space="preserve"> </w:t>
      </w:r>
      <w:r w:rsidRPr="00DA6BD2">
        <w:rPr>
          <w:rFonts w:asciiTheme="minorHAnsi" w:hAnsiTheme="minorHAnsi" w:cs="Calibri Light"/>
          <w:lang w:val="fr-BE"/>
        </w:rPr>
        <w:t xml:space="preserve">cahiers » </w:t>
      </w:r>
      <w:r w:rsidR="00F2041C" w:rsidRPr="00B84798">
        <w:rPr>
          <w:rFonts w:asciiTheme="minorHAnsi" w:hAnsiTheme="minorHAnsi" w:cs="Calibri Light"/>
          <w:lang w:val="fr-BE"/>
        </w:rPr>
        <w:t xml:space="preserve">sont </w:t>
      </w:r>
      <w:r w:rsidRPr="00B84798">
        <w:rPr>
          <w:rFonts w:asciiTheme="minorHAnsi" w:hAnsiTheme="minorHAnsi" w:cs="Calibri Light"/>
          <w:lang w:val="fr-BE"/>
        </w:rPr>
        <w:t>taxés</w:t>
      </w:r>
      <w:r w:rsidRPr="00DA6BD2">
        <w:rPr>
          <w:rFonts w:asciiTheme="minorHAnsi" w:hAnsiTheme="minorHAnsi" w:cs="Calibri Light"/>
          <w:lang w:val="fr-BE"/>
        </w:rPr>
        <w:t xml:space="preserve"> au même taux que les écrits publicitaires.</w:t>
      </w:r>
    </w:p>
    <w:bookmarkEnd w:id="6245"/>
    <w:p w14:paraId="5ACDA3AE" w14:textId="77777777" w:rsidR="00EC0561" w:rsidRPr="00E063FD" w:rsidRDefault="00EC0561" w:rsidP="00EC0561">
      <w:pPr>
        <w:spacing w:before="120"/>
        <w:jc w:val="both"/>
        <w:textAlignment w:val="baseline"/>
        <w:rPr>
          <w:rFonts w:asciiTheme="minorHAnsi" w:hAnsiTheme="minorHAnsi"/>
          <w:spacing w:val="-1"/>
        </w:rPr>
      </w:pPr>
      <w:r w:rsidRPr="00E063FD">
        <w:rPr>
          <w:rFonts w:asciiTheme="minorHAnsi" w:hAnsiTheme="minorHAnsi"/>
          <w:spacing w:val="-1"/>
        </w:rPr>
        <w:t xml:space="preserve">Les modifications apportées </w:t>
      </w:r>
      <w:r>
        <w:rPr>
          <w:rFonts w:asciiTheme="minorHAnsi" w:hAnsiTheme="minorHAnsi"/>
          <w:spacing w:val="-1"/>
        </w:rPr>
        <w:t>ci-avant à cette taxe</w:t>
      </w:r>
      <w:r w:rsidRPr="00E063FD">
        <w:rPr>
          <w:rFonts w:asciiTheme="minorHAnsi" w:hAnsiTheme="minorHAnsi"/>
          <w:spacing w:val="-1"/>
        </w:rPr>
        <w:t xml:space="preserve"> ne valent que pour l’avenir et ne peuvent pas avoir d’incidence sur les contentieux en cours.</w:t>
      </w:r>
    </w:p>
    <w:p w14:paraId="73B5EC89" w14:textId="77777777" w:rsidR="003A3E72" w:rsidRPr="008D7EB7" w:rsidRDefault="003A3E72" w:rsidP="003A3E72">
      <w:pPr>
        <w:spacing w:before="120"/>
        <w:jc w:val="both"/>
        <w:textAlignment w:val="baseline"/>
        <w:rPr>
          <w:rFonts w:asciiTheme="minorHAnsi" w:hAnsiTheme="minorHAnsi"/>
          <w:b/>
          <w:spacing w:val="-1"/>
        </w:rPr>
      </w:pPr>
      <w:r w:rsidRPr="008D7EB7">
        <w:rPr>
          <w:rFonts w:asciiTheme="minorHAnsi" w:hAnsiTheme="minorHAnsi"/>
          <w:b/>
          <w:spacing w:val="-1"/>
        </w:rPr>
        <w:t>Procédure</w:t>
      </w:r>
    </w:p>
    <w:p w14:paraId="25404B2B"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Le système de taxation forfaitaire trimestrielle constitue une bonne pratique administrative (une seule déclaration par trimestre, calcul de la taxe selon le nombre de boîtes aux lettres installées et non réellement desservies).</w:t>
      </w:r>
    </w:p>
    <w:p w14:paraId="2E906CCA"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Pour les communes qui seraient tentées de diminuer le nombre de distribution prises en considération par trimestre, il faut attirer leur attention sur ce qui suit : si ce système a pour vocation d'inciter, dans l'avenir, de nouveaux contribuables à y adhérer, actuellement, toutes choses restant égales, et, par rapport à un système de taxation appliqué à chaque distribution, la recette risque de diminuer dans les proportions suivantes :</w:t>
      </w:r>
    </w:p>
    <w:p w14:paraId="75AA55C0" w14:textId="1C51A523"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8% en cas de 12 distributions par trimestre ;</w:t>
      </w:r>
    </w:p>
    <w:p w14:paraId="22A894D2" w14:textId="0338FA33"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15% en cas de 11 distributions par trimestre ;</w:t>
      </w:r>
    </w:p>
    <w:p w14:paraId="38620FAF" w14:textId="3BE318C5" w:rsidR="003A3E72" w:rsidRPr="008D7EB7"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23% en cas de 10 distributions par trimestre.</w:t>
      </w:r>
    </w:p>
    <w:p w14:paraId="25008CC9"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Rien ne s'oppose par ailleurs à remplacer la redevabilité en cascade par une solidarité entre l'éditeur et la personne physique ou morale pour compte de laquelle l'écrit publicitaire est distribué.</w:t>
      </w:r>
    </w:p>
    <w:p w14:paraId="2125B730" w14:textId="77777777" w:rsidR="003A3E72" w:rsidRPr="008D7EB7" w:rsidRDefault="003A3E72" w:rsidP="003A3E72">
      <w:pPr>
        <w:spacing w:before="120"/>
        <w:jc w:val="both"/>
        <w:textAlignment w:val="baseline"/>
        <w:rPr>
          <w:rFonts w:asciiTheme="minorHAnsi" w:hAnsiTheme="minorHAnsi"/>
          <w:b/>
          <w:spacing w:val="-1"/>
        </w:rPr>
      </w:pPr>
      <w:r w:rsidRPr="008D7EB7">
        <w:rPr>
          <w:rFonts w:asciiTheme="minorHAnsi" w:hAnsiTheme="minorHAnsi"/>
          <w:b/>
          <w:spacing w:val="-1"/>
        </w:rPr>
        <w:t>Enseignement de la jurisprudence</w:t>
      </w:r>
    </w:p>
    <w:p w14:paraId="3EF180CF"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 xml:space="preserve">Cette taxe se justifie principalement par l’objectif financier qui est de permettre à la commune de se doter des moyens nécessaires afin d’assurer l’exercice de sa mission de service public mais aussi par des objectifs accessoires, non-financiers, d’incitation ou de dissuasion. </w:t>
      </w:r>
    </w:p>
    <w:p w14:paraId="51E74CE8"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Parmi ceux-ci relevons que le Conseil d’État  confirme qu’ajouter une fin écologique à la justification financière est utile pour justifier le respect du principe d’égalité et de non-discrimination : « (…) il n'est pas manifestement déraisonnable d'assigner une fin écologique à la taxe, l'abondance des écrits publicitaires étant telle, par rapport au nombre des autres écrits, qu'il n'est pas contestable que l'intervention des services communaux de la propreté publique soit plus importante (…) ».</w:t>
      </w:r>
    </w:p>
    <w:p w14:paraId="317E339A" w14:textId="123A17C9"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lastRenderedPageBreak/>
        <w:t xml:space="preserve">Dès lors qu'elle entraîne la distribution des écrits concernés dans toutes les boîtes aux lettres situées sur le territoire de la commune, y compris celles d'appartements ou d'immeubles inoccupés, la distribution "toutes boîtes" est de nature à provoquer une production de déchets de papier plus importante que la distribution d'écrits </w:t>
      </w:r>
      <w:r w:rsidR="001044C0" w:rsidRPr="00054F3F">
        <w:rPr>
          <w:rFonts w:asciiTheme="minorHAnsi" w:hAnsiTheme="minorHAnsi"/>
          <w:spacing w:val="-1"/>
        </w:rPr>
        <w:t>adressés.</w:t>
      </w:r>
    </w:p>
    <w:p w14:paraId="518E742F"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Toutefois, il est également indispensable de respecter les normes de rang supérieur et en particulier les principes d'égalité et de non-discrimination consacrés par les articles 10, 11 et 172 de la Constitution.</w:t>
      </w:r>
    </w:p>
    <w:p w14:paraId="610C15B9" w14:textId="390629A5"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Ainsi, on peut dire qu’au regard du but et de l'effet de la taxe, la distribution de « toutes boîtes » se distingue de la distribution gratuite adressée et des autres publications gratuites diverses non adressées au domicile ou ailleurs dès lors que seule la première, est en principe distribuée de manière généralisée, la deuxième ne l'étant en principe pas et il n'existe aucune disproportion entre les moyens employés et le but de réduire les déchets papiers sur le territoire de la commune.</w:t>
      </w:r>
    </w:p>
    <w:p w14:paraId="27AA5491"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Les « toutes boîtes » se distinguent non seulement de la presse adressée, qui est distribuée uniquement aux abonnés, à leur demande et à leurs frais, mais également des écrits adressés, envoyés gratuitement à leurs destinataires, parfois sans que ceux-ci en aient fait la demande.</w:t>
      </w:r>
    </w:p>
    <w:p w14:paraId="2737CAD8"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 xml:space="preserve">La jurisprudence a déjà reconnu que le tarif préférentiel accordé à la presse régionale gratuite pouvait se justifier en raison de son rôle social ou d'intérêt général. </w:t>
      </w:r>
    </w:p>
    <w:p w14:paraId="226D97D6"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En effet, l’écrit de la PRG contient, « outre de la publicité, du texte rédactionnel d'informations liées à l'actualité récente, adaptée à la zone de distribution mais essentiellement locales et/ou communales et comportant à la fois au moins cinq des six informations d'intérêt général reprises ci-dessous ».</w:t>
      </w:r>
    </w:p>
    <w:p w14:paraId="6166BEA3" w14:textId="13E5951A"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En accordant un taux préférentiel aux éditeurs qui fournissent cette information, il s'agit clairement, pour des raisons sociales et d'intérêt général, de favoriser la diffusion dans la commune d'informations utiles sur le plan local via les distributions généralisées des</w:t>
      </w:r>
      <w:r w:rsidR="001044C0" w:rsidRPr="00054F3F">
        <w:rPr>
          <w:rFonts w:asciiTheme="minorHAnsi" w:hAnsiTheme="minorHAnsi"/>
          <w:spacing w:val="-1"/>
        </w:rPr>
        <w:t xml:space="preserve"> « toutes</w:t>
      </w:r>
      <w:r w:rsidRPr="008D7EB7">
        <w:rPr>
          <w:rFonts w:asciiTheme="minorHAnsi" w:hAnsiTheme="minorHAnsi"/>
          <w:spacing w:val="-1"/>
        </w:rPr>
        <w:t xml:space="preserve"> boîtes ».</w:t>
      </w:r>
    </w:p>
    <w:p w14:paraId="3DAC6182"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Quant au critère de taxation établi en fonction du poids. La jurisprudence a déjà reconnu qu’il n’est pas manifestement déraisonnable de déterminer le taux de taxation en fonction d'un critère général et objectif tel que le poids de chaque écrit "toutes boîtes" distribué, et non en fonction de leur contenu rédactionnel, étant donné que le volume de déchets papier produit par un exemplaire d'un écrit au contenu exclusivement publicitaire est, à poids égal, exactement le même que le volume de déchets produit par un exemplaire d'un écrit au contenu à la fois publicitaire et informatif  .</w:t>
      </w:r>
    </w:p>
    <w:p w14:paraId="1925A074"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Lorsque, dans un règlement-taxe, le Conseil communal prévoit des exemptions, des dérogations ou des réductions de taux, il poursuit un objectif spécifique qui ne se confond pas avec les finalités assignées à la taxe.</w:t>
      </w:r>
    </w:p>
    <w:p w14:paraId="53894F04"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La distinction opérée est justifiée par l'inégalité des charges et inconvénients qui résultent des différentes catégories de distribution dans leur ampleur et dans leur caractère systématique.</w:t>
      </w:r>
    </w:p>
    <w:p w14:paraId="55A9343A" w14:textId="77777777"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 xml:space="preserve">L'exigence de justification objective et raisonnable n'implique du reste pas que l'autorité publique qui opère une distinction entre des catégories de contribuables doive fonder celle-ci sur des constatations et des faits devant être prouvés concrètement devant le juge ni apporter la preuve que la distinction ou l'absence de distinction aura nécessairement des effets </w:t>
      </w:r>
      <w:r w:rsidRPr="008D7EB7">
        <w:rPr>
          <w:rFonts w:asciiTheme="minorHAnsi" w:hAnsiTheme="minorHAnsi"/>
          <w:spacing w:val="-1"/>
        </w:rPr>
        <w:lastRenderedPageBreak/>
        <w:t>déterminés dès lors qu'il suffit qu'il apparaisse raisonnablement ou qu'il peut exister une justification objective pour ces différentes catégories .</w:t>
      </w:r>
    </w:p>
    <w:p w14:paraId="574584DD" w14:textId="3C7872B6" w:rsidR="003A3E72" w:rsidRPr="008D7EB7" w:rsidRDefault="003A3E72" w:rsidP="003A3E72">
      <w:pPr>
        <w:spacing w:before="120"/>
        <w:jc w:val="both"/>
        <w:textAlignment w:val="baseline"/>
        <w:rPr>
          <w:rFonts w:asciiTheme="minorHAnsi" w:hAnsiTheme="minorHAnsi"/>
          <w:spacing w:val="-1"/>
        </w:rPr>
      </w:pPr>
      <w:r w:rsidRPr="008D7EB7">
        <w:rPr>
          <w:rFonts w:asciiTheme="minorHAnsi" w:hAnsiTheme="minorHAnsi"/>
          <w:spacing w:val="-1"/>
        </w:rPr>
        <w:t>Les critères requis pour relever de la presse régionale gratuite identifiant les domaines d'information à couvrir, le nombre d'information d'intérêt général et la régularité minimale de distribution, sont généraux et objectifs et en rapport avec l'objectif qui justifie l'application d'un taux réduit à la presse régionale gratuite qui est distinct de l'objectif accessoire de dissuasion de la taxe.</w:t>
      </w:r>
    </w:p>
    <w:p w14:paraId="72299E8D" w14:textId="12BA2F7D" w:rsidR="00895F08" w:rsidRDefault="001C7CA7" w:rsidP="00054F3F">
      <w:pPr>
        <w:spacing w:before="120"/>
        <w:jc w:val="both"/>
        <w:textAlignment w:val="baseline"/>
        <w:rPr>
          <w:rFonts w:asciiTheme="minorHAnsi" w:hAnsiTheme="minorHAnsi"/>
          <w:spacing w:val="-1"/>
        </w:rPr>
      </w:pPr>
      <w:r w:rsidRPr="008D7EB7">
        <w:rPr>
          <w:rFonts w:asciiTheme="minorHAnsi" w:hAnsiTheme="minorHAnsi"/>
          <w:spacing w:val="-1"/>
        </w:rPr>
        <w:t>Enfin, face à un envoi groupé de « toutes boites », je vous invite à considérer qu'il y a autant de taxes à appliquer qu'il y a d'écrits distincts dans cet emballage.</w:t>
      </w:r>
      <w:r w:rsidR="00895F08" w:rsidRPr="008D7EB7">
        <w:rPr>
          <w:rFonts w:asciiTheme="minorHAnsi" w:hAnsiTheme="minorHAnsi"/>
          <w:spacing w:val="-1"/>
        </w:rPr>
        <w:t xml:space="preserve"> </w:t>
      </w:r>
    </w:p>
    <w:p w14:paraId="4EEFF8D8" w14:textId="0D02FBEF" w:rsidR="00895F08" w:rsidRPr="008D7EB7" w:rsidRDefault="000D1361" w:rsidP="008D7EB7">
      <w:pPr>
        <w:spacing w:before="120"/>
        <w:jc w:val="both"/>
        <w:textAlignment w:val="baseline"/>
        <w:rPr>
          <w:bCs/>
        </w:rPr>
      </w:pPr>
      <w:r w:rsidRPr="008D7EB7">
        <w:rPr>
          <w:rFonts w:asciiTheme="minorHAnsi" w:hAnsiTheme="minorHAnsi"/>
          <w:spacing w:val="-1"/>
        </w:rPr>
        <w:t>L</w:t>
      </w:r>
      <w:r w:rsidR="00895F08" w:rsidRPr="008D7EB7">
        <w:rPr>
          <w:rFonts w:asciiTheme="minorHAnsi" w:hAnsiTheme="minorHAnsi"/>
          <w:spacing w:val="-1"/>
        </w:rPr>
        <w:t xml:space="preserve">’arrêté du Gouvernement </w:t>
      </w:r>
      <w:r w:rsidRPr="008D7EB7">
        <w:rPr>
          <w:rFonts w:asciiTheme="minorHAnsi" w:hAnsiTheme="minorHAnsi"/>
          <w:spacing w:val="-1"/>
        </w:rPr>
        <w:t>w</w:t>
      </w:r>
      <w:r w:rsidR="00895F08" w:rsidRPr="008D7EB7">
        <w:rPr>
          <w:rFonts w:asciiTheme="minorHAnsi" w:hAnsiTheme="minorHAnsi"/>
          <w:spacing w:val="-1"/>
        </w:rPr>
        <w:t xml:space="preserve">allon du </w:t>
      </w:r>
      <w:r w:rsidR="00032481">
        <w:rPr>
          <w:rFonts w:asciiTheme="minorHAnsi" w:hAnsiTheme="minorHAnsi"/>
          <w:spacing w:val="-1"/>
        </w:rPr>
        <w:t>23 avril 2020</w:t>
      </w:r>
      <w:r w:rsidR="009A1F41">
        <w:rPr>
          <w:rFonts w:asciiTheme="minorHAnsi" w:hAnsiTheme="minorHAnsi"/>
          <w:spacing w:val="-1"/>
        </w:rPr>
        <w:t xml:space="preserve"> </w:t>
      </w:r>
      <w:r w:rsidR="009A1F41">
        <w:rPr>
          <w:rStyle w:val="Appelnotedebasdep"/>
          <w:rFonts w:asciiTheme="minorHAnsi" w:hAnsiTheme="minorHAnsi"/>
          <w:spacing w:val="-1"/>
        </w:rPr>
        <w:footnoteReference w:id="162"/>
      </w:r>
      <w:r w:rsidR="00895F08" w:rsidRPr="008D7EB7">
        <w:rPr>
          <w:rFonts w:asciiTheme="minorHAnsi" w:hAnsiTheme="minorHAnsi"/>
          <w:spacing w:val="-1"/>
        </w:rPr>
        <w:t xml:space="preserve"> favorisant la prévention de certains déchets et la propreté publique. Conformément aux engagements pris par le secteur de distribution des publications gratuites pour réduire l’utilisation du film plastique autour des</w:t>
      </w:r>
      <w:r w:rsidR="00895F08" w:rsidRPr="008D7EB7">
        <w:rPr>
          <w:bCs/>
        </w:rPr>
        <w:t xml:space="preserve"> publications publicitaires, cet arrêté prévoit un échelonnement dans le temps pour la réduction du plastique pour ce qui concerne les publications existantes et l’interdiction avec effet immédiat de l’utilisation du plastique pour les publications qui ne l’utilisaient pas encore.</w:t>
      </w:r>
    </w:p>
    <w:p w14:paraId="3497BFB2" w14:textId="38ED825C" w:rsidR="00EC0174" w:rsidRDefault="00895F08" w:rsidP="008D7EB7">
      <w:pPr>
        <w:spacing w:beforeLines="32" w:before="76" w:after="240"/>
        <w:jc w:val="both"/>
        <w:textAlignment w:val="baseline"/>
      </w:pPr>
      <w:r w:rsidRPr="00671240">
        <w:rPr>
          <w:b/>
        </w:rPr>
        <w:t xml:space="preserve">Je vous recommande de veiller à ce que votre politique fiscale soit conforme à cette règlementation et de ne plus taxer l’emballage, </w:t>
      </w:r>
      <w:proofErr w:type="spellStart"/>
      <w:r w:rsidR="00BF4C17" w:rsidRPr="00671240">
        <w:rPr>
          <w:b/>
        </w:rPr>
        <w:t>f</w:t>
      </w:r>
      <w:r w:rsidR="00BF4C17">
        <w:rPr>
          <w:b/>
        </w:rPr>
        <w:t>ût</w:t>
      </w:r>
      <w:r w:rsidRPr="00671240">
        <w:rPr>
          <w:b/>
        </w:rPr>
        <w:t>-il</w:t>
      </w:r>
      <w:proofErr w:type="spellEnd"/>
      <w:r w:rsidRPr="00671240">
        <w:rPr>
          <w:b/>
        </w:rPr>
        <w:t xml:space="preserve"> plastique, utilisé pour grouper les publications dans la mesure où cela aurait un effet pénalisant pour le secteur qui doit déjà répondre aux objectifs et directives repris dans le 3</w:t>
      </w:r>
      <w:r w:rsidRPr="00671240">
        <w:rPr>
          <w:b/>
          <w:vertAlign w:val="superscript"/>
        </w:rPr>
        <w:t>ème</w:t>
      </w:r>
      <w:r w:rsidRPr="00671240">
        <w:rPr>
          <w:b/>
        </w:rPr>
        <w:t xml:space="preserve"> Plan des déchets-ressources</w:t>
      </w:r>
      <w:r w:rsidR="00054F3F">
        <w:rPr>
          <w:rStyle w:val="Appelnotedebasdep"/>
          <w:b/>
        </w:rPr>
        <w:footnoteReference w:id="163"/>
      </w:r>
      <w:r w:rsidRPr="00671240">
        <w:rPr>
          <w:b/>
        </w:rPr>
        <w:t xml:space="preserve"> et dans l’arrêté susmentionné. En effet, cet emballage (qui tient à grouper les publications) ne peut être considéré comme une publication publicitaire en tant que telle.</w:t>
      </w:r>
      <w:r>
        <w:t> </w:t>
      </w:r>
    </w:p>
    <w:p w14:paraId="698D9C6E" w14:textId="79101DF9" w:rsidR="00BF4C17" w:rsidRDefault="00BF4C17" w:rsidP="00256E9F">
      <w:pPr>
        <w:pStyle w:val="Sam3"/>
      </w:pPr>
    </w:p>
    <w:p w14:paraId="3CA1DB1E" w14:textId="77777777" w:rsidR="009D393B" w:rsidRPr="00E063FD" w:rsidRDefault="009D393B" w:rsidP="00256E9F">
      <w:pPr>
        <w:pStyle w:val="Sam3"/>
      </w:pPr>
      <w:bookmarkStart w:id="6246" w:name="_Toc516739840"/>
      <w:bookmarkStart w:id="6247" w:name="_Toc516751749"/>
      <w:bookmarkStart w:id="6248" w:name="_Toc516825837"/>
      <w:bookmarkStart w:id="6249" w:name="_Toc516826395"/>
      <w:bookmarkStart w:id="6250" w:name="_Toc516837715"/>
      <w:bookmarkStart w:id="6251" w:name="_Toc516838274"/>
      <w:bookmarkStart w:id="6252" w:name="_Toc516838833"/>
      <w:bookmarkStart w:id="6253" w:name="_Toc516839393"/>
      <w:bookmarkStart w:id="6254" w:name="_Toc517173489"/>
      <w:bookmarkStart w:id="6255" w:name="_Toc517175163"/>
      <w:bookmarkStart w:id="6256" w:name="_Toc517175750"/>
      <w:bookmarkStart w:id="6257" w:name="_Toc517176338"/>
      <w:bookmarkStart w:id="6258" w:name="_Toc517337663"/>
      <w:bookmarkStart w:id="6259" w:name="_Toc517360459"/>
      <w:bookmarkStart w:id="6260" w:name="_Toc516739841"/>
      <w:bookmarkStart w:id="6261" w:name="_Toc516751750"/>
      <w:bookmarkStart w:id="6262" w:name="_Toc516825838"/>
      <w:bookmarkStart w:id="6263" w:name="_Toc516826396"/>
      <w:bookmarkStart w:id="6264" w:name="_Toc516837716"/>
      <w:bookmarkStart w:id="6265" w:name="_Toc516838275"/>
      <w:bookmarkStart w:id="6266" w:name="_Toc516838834"/>
      <w:bookmarkStart w:id="6267" w:name="_Toc516839394"/>
      <w:bookmarkStart w:id="6268" w:name="_Toc517173490"/>
      <w:bookmarkStart w:id="6269" w:name="_Toc517175164"/>
      <w:bookmarkStart w:id="6270" w:name="_Toc517175751"/>
      <w:bookmarkStart w:id="6271" w:name="_Toc517176339"/>
      <w:bookmarkStart w:id="6272" w:name="_Toc517337664"/>
      <w:bookmarkStart w:id="6273" w:name="_Toc517360460"/>
      <w:bookmarkStart w:id="6274" w:name="_Toc516739842"/>
      <w:bookmarkStart w:id="6275" w:name="_Toc516751751"/>
      <w:bookmarkStart w:id="6276" w:name="_Toc516825839"/>
      <w:bookmarkStart w:id="6277" w:name="_Toc516826397"/>
      <w:bookmarkStart w:id="6278" w:name="_Toc516837717"/>
      <w:bookmarkStart w:id="6279" w:name="_Toc516838276"/>
      <w:bookmarkStart w:id="6280" w:name="_Toc516838835"/>
      <w:bookmarkStart w:id="6281" w:name="_Toc516839395"/>
      <w:bookmarkStart w:id="6282" w:name="_Toc517173491"/>
      <w:bookmarkStart w:id="6283" w:name="_Toc517175165"/>
      <w:bookmarkStart w:id="6284" w:name="_Toc517175752"/>
      <w:bookmarkStart w:id="6285" w:name="_Toc517176340"/>
      <w:bookmarkStart w:id="6286" w:name="_Toc517337665"/>
      <w:bookmarkStart w:id="6287" w:name="_Toc517360461"/>
      <w:bookmarkStart w:id="6288" w:name="_Toc516739843"/>
      <w:bookmarkStart w:id="6289" w:name="_Toc516751752"/>
      <w:bookmarkStart w:id="6290" w:name="_Toc516825840"/>
      <w:bookmarkStart w:id="6291" w:name="_Toc516826398"/>
      <w:bookmarkStart w:id="6292" w:name="_Toc516837718"/>
      <w:bookmarkStart w:id="6293" w:name="_Toc516838277"/>
      <w:bookmarkStart w:id="6294" w:name="_Toc516838836"/>
      <w:bookmarkStart w:id="6295" w:name="_Toc516839396"/>
      <w:bookmarkStart w:id="6296" w:name="_Toc517173492"/>
      <w:bookmarkStart w:id="6297" w:name="_Toc517175166"/>
      <w:bookmarkStart w:id="6298" w:name="_Toc517175753"/>
      <w:bookmarkStart w:id="6299" w:name="_Toc517176341"/>
      <w:bookmarkStart w:id="6300" w:name="_Toc517337666"/>
      <w:bookmarkStart w:id="6301" w:name="_Toc517360462"/>
      <w:bookmarkStart w:id="6302" w:name="_Toc516739844"/>
      <w:bookmarkStart w:id="6303" w:name="_Toc516751753"/>
      <w:bookmarkStart w:id="6304" w:name="_Toc516825841"/>
      <w:bookmarkStart w:id="6305" w:name="_Toc516826399"/>
      <w:bookmarkStart w:id="6306" w:name="_Toc516837719"/>
      <w:bookmarkStart w:id="6307" w:name="_Toc516838278"/>
      <w:bookmarkStart w:id="6308" w:name="_Toc516838837"/>
      <w:bookmarkStart w:id="6309" w:name="_Toc516839397"/>
      <w:bookmarkStart w:id="6310" w:name="_Toc517173493"/>
      <w:bookmarkStart w:id="6311" w:name="_Toc517175167"/>
      <w:bookmarkStart w:id="6312" w:name="_Toc517175754"/>
      <w:bookmarkStart w:id="6313" w:name="_Toc517176342"/>
      <w:bookmarkStart w:id="6314" w:name="_Toc517337667"/>
      <w:bookmarkStart w:id="6315" w:name="_Toc517360463"/>
      <w:bookmarkStart w:id="6316" w:name="_Toc516739845"/>
      <w:bookmarkStart w:id="6317" w:name="_Toc516751754"/>
      <w:bookmarkStart w:id="6318" w:name="_Toc516825842"/>
      <w:bookmarkStart w:id="6319" w:name="_Toc516826400"/>
      <w:bookmarkStart w:id="6320" w:name="_Toc516837720"/>
      <w:bookmarkStart w:id="6321" w:name="_Toc516838279"/>
      <w:bookmarkStart w:id="6322" w:name="_Toc516838838"/>
      <w:bookmarkStart w:id="6323" w:name="_Toc516839398"/>
      <w:bookmarkStart w:id="6324" w:name="_Toc517173494"/>
      <w:bookmarkStart w:id="6325" w:name="_Toc517175168"/>
      <w:bookmarkStart w:id="6326" w:name="_Toc517175755"/>
      <w:bookmarkStart w:id="6327" w:name="_Toc517176343"/>
      <w:bookmarkStart w:id="6328" w:name="_Toc517337668"/>
      <w:bookmarkStart w:id="6329" w:name="_Toc517360464"/>
      <w:bookmarkStart w:id="6330" w:name="_Toc516739846"/>
      <w:bookmarkStart w:id="6331" w:name="_Toc516751755"/>
      <w:bookmarkStart w:id="6332" w:name="_Toc516825843"/>
      <w:bookmarkStart w:id="6333" w:name="_Toc516826401"/>
      <w:bookmarkStart w:id="6334" w:name="_Toc516837721"/>
      <w:bookmarkStart w:id="6335" w:name="_Toc516838280"/>
      <w:bookmarkStart w:id="6336" w:name="_Toc516838839"/>
      <w:bookmarkStart w:id="6337" w:name="_Toc516839399"/>
      <w:bookmarkStart w:id="6338" w:name="_Toc517173495"/>
      <w:bookmarkStart w:id="6339" w:name="_Toc517175169"/>
      <w:bookmarkStart w:id="6340" w:name="_Toc517175756"/>
      <w:bookmarkStart w:id="6341" w:name="_Toc517176344"/>
      <w:bookmarkStart w:id="6342" w:name="_Toc517337669"/>
      <w:bookmarkStart w:id="6343" w:name="_Toc517360465"/>
      <w:bookmarkStart w:id="6344" w:name="_Toc516739847"/>
      <w:bookmarkStart w:id="6345" w:name="_Toc516751756"/>
      <w:bookmarkStart w:id="6346" w:name="_Toc516825844"/>
      <w:bookmarkStart w:id="6347" w:name="_Toc516826402"/>
      <w:bookmarkStart w:id="6348" w:name="_Toc516837722"/>
      <w:bookmarkStart w:id="6349" w:name="_Toc516838281"/>
      <w:bookmarkStart w:id="6350" w:name="_Toc516838840"/>
      <w:bookmarkStart w:id="6351" w:name="_Toc516839400"/>
      <w:bookmarkStart w:id="6352" w:name="_Toc517173496"/>
      <w:bookmarkStart w:id="6353" w:name="_Toc517175170"/>
      <w:bookmarkStart w:id="6354" w:name="_Toc517175757"/>
      <w:bookmarkStart w:id="6355" w:name="_Toc517176345"/>
      <w:bookmarkStart w:id="6356" w:name="_Toc517337670"/>
      <w:bookmarkStart w:id="6357" w:name="_Toc517360466"/>
      <w:bookmarkStart w:id="6358" w:name="_Toc516739848"/>
      <w:bookmarkStart w:id="6359" w:name="_Toc516751757"/>
      <w:bookmarkStart w:id="6360" w:name="_Toc516825845"/>
      <w:bookmarkStart w:id="6361" w:name="_Toc516826403"/>
      <w:bookmarkStart w:id="6362" w:name="_Toc516837723"/>
      <w:bookmarkStart w:id="6363" w:name="_Toc516838282"/>
      <w:bookmarkStart w:id="6364" w:name="_Toc516838841"/>
      <w:bookmarkStart w:id="6365" w:name="_Toc516839401"/>
      <w:bookmarkStart w:id="6366" w:name="_Toc517173497"/>
      <w:bookmarkStart w:id="6367" w:name="_Toc517175171"/>
      <w:bookmarkStart w:id="6368" w:name="_Toc517175758"/>
      <w:bookmarkStart w:id="6369" w:name="_Toc517176346"/>
      <w:bookmarkStart w:id="6370" w:name="_Toc517337671"/>
      <w:bookmarkStart w:id="6371" w:name="_Toc517360467"/>
      <w:bookmarkStart w:id="6372" w:name="_Toc516739849"/>
      <w:bookmarkStart w:id="6373" w:name="_Toc516751758"/>
      <w:bookmarkStart w:id="6374" w:name="_Toc516825846"/>
      <w:bookmarkStart w:id="6375" w:name="_Toc516826404"/>
      <w:bookmarkStart w:id="6376" w:name="_Toc516837724"/>
      <w:bookmarkStart w:id="6377" w:name="_Toc516838283"/>
      <w:bookmarkStart w:id="6378" w:name="_Toc516838842"/>
      <w:bookmarkStart w:id="6379" w:name="_Toc516839402"/>
      <w:bookmarkStart w:id="6380" w:name="_Toc517173498"/>
      <w:bookmarkStart w:id="6381" w:name="_Toc517175172"/>
      <w:bookmarkStart w:id="6382" w:name="_Toc517175759"/>
      <w:bookmarkStart w:id="6383" w:name="_Toc517176347"/>
      <w:bookmarkStart w:id="6384" w:name="_Toc517337672"/>
      <w:bookmarkStart w:id="6385" w:name="_Toc517360468"/>
      <w:bookmarkStart w:id="6386" w:name="_Toc516739850"/>
      <w:bookmarkStart w:id="6387" w:name="_Toc516751759"/>
      <w:bookmarkStart w:id="6388" w:name="_Toc516825847"/>
      <w:bookmarkStart w:id="6389" w:name="_Toc516826405"/>
      <w:bookmarkStart w:id="6390" w:name="_Toc516837725"/>
      <w:bookmarkStart w:id="6391" w:name="_Toc516838284"/>
      <w:bookmarkStart w:id="6392" w:name="_Toc516838843"/>
      <w:bookmarkStart w:id="6393" w:name="_Toc516839403"/>
      <w:bookmarkStart w:id="6394" w:name="_Toc517173499"/>
      <w:bookmarkStart w:id="6395" w:name="_Toc517175173"/>
      <w:bookmarkStart w:id="6396" w:name="_Toc517175760"/>
      <w:bookmarkStart w:id="6397" w:name="_Toc517176348"/>
      <w:bookmarkStart w:id="6398" w:name="_Toc517337673"/>
      <w:bookmarkStart w:id="6399" w:name="_Toc517360469"/>
      <w:bookmarkStart w:id="6400" w:name="_Toc516739851"/>
      <w:bookmarkStart w:id="6401" w:name="_Toc516751760"/>
      <w:bookmarkStart w:id="6402" w:name="_Toc516825848"/>
      <w:bookmarkStart w:id="6403" w:name="_Toc516826406"/>
      <w:bookmarkStart w:id="6404" w:name="_Toc516837726"/>
      <w:bookmarkStart w:id="6405" w:name="_Toc516838285"/>
      <w:bookmarkStart w:id="6406" w:name="_Toc516838844"/>
      <w:bookmarkStart w:id="6407" w:name="_Toc516839404"/>
      <w:bookmarkStart w:id="6408" w:name="_Toc517173500"/>
      <w:bookmarkStart w:id="6409" w:name="_Toc517175174"/>
      <w:bookmarkStart w:id="6410" w:name="_Toc517175761"/>
      <w:bookmarkStart w:id="6411" w:name="_Toc517176349"/>
      <w:bookmarkStart w:id="6412" w:name="_Toc517337674"/>
      <w:bookmarkStart w:id="6413" w:name="_Toc517360470"/>
      <w:bookmarkStart w:id="6414" w:name="_Toc516739852"/>
      <w:bookmarkStart w:id="6415" w:name="_Toc516751761"/>
      <w:bookmarkStart w:id="6416" w:name="_Toc516825849"/>
      <w:bookmarkStart w:id="6417" w:name="_Toc516826407"/>
      <w:bookmarkStart w:id="6418" w:name="_Toc516837727"/>
      <w:bookmarkStart w:id="6419" w:name="_Toc516838286"/>
      <w:bookmarkStart w:id="6420" w:name="_Toc516838845"/>
      <w:bookmarkStart w:id="6421" w:name="_Toc516839405"/>
      <w:bookmarkStart w:id="6422" w:name="_Toc517173501"/>
      <w:bookmarkStart w:id="6423" w:name="_Toc517175175"/>
      <w:bookmarkStart w:id="6424" w:name="_Toc517175762"/>
      <w:bookmarkStart w:id="6425" w:name="_Toc517176350"/>
      <w:bookmarkStart w:id="6426" w:name="_Toc517337675"/>
      <w:bookmarkStart w:id="6427" w:name="_Toc517360471"/>
      <w:bookmarkStart w:id="6428" w:name="_Toc516739853"/>
      <w:bookmarkStart w:id="6429" w:name="_Toc516751762"/>
      <w:bookmarkStart w:id="6430" w:name="_Toc516825850"/>
      <w:bookmarkStart w:id="6431" w:name="_Toc516826408"/>
      <w:bookmarkStart w:id="6432" w:name="_Toc516837728"/>
      <w:bookmarkStart w:id="6433" w:name="_Toc516838287"/>
      <w:bookmarkStart w:id="6434" w:name="_Toc516838846"/>
      <w:bookmarkStart w:id="6435" w:name="_Toc516839406"/>
      <w:bookmarkStart w:id="6436" w:name="_Toc517173502"/>
      <w:bookmarkStart w:id="6437" w:name="_Toc517175176"/>
      <w:bookmarkStart w:id="6438" w:name="_Toc517175763"/>
      <w:bookmarkStart w:id="6439" w:name="_Toc517176351"/>
      <w:bookmarkStart w:id="6440" w:name="_Toc517337676"/>
      <w:bookmarkStart w:id="6441" w:name="_Toc517360472"/>
      <w:bookmarkStart w:id="6442" w:name="_Toc516739854"/>
      <w:bookmarkStart w:id="6443" w:name="_Toc516751763"/>
      <w:bookmarkStart w:id="6444" w:name="_Toc516825851"/>
      <w:bookmarkStart w:id="6445" w:name="_Toc516826409"/>
      <w:bookmarkStart w:id="6446" w:name="_Toc516837729"/>
      <w:bookmarkStart w:id="6447" w:name="_Toc516838288"/>
      <w:bookmarkStart w:id="6448" w:name="_Toc516838847"/>
      <w:bookmarkStart w:id="6449" w:name="_Toc516839407"/>
      <w:bookmarkStart w:id="6450" w:name="_Toc517173503"/>
      <w:bookmarkStart w:id="6451" w:name="_Toc517175177"/>
      <w:bookmarkStart w:id="6452" w:name="_Toc517175764"/>
      <w:bookmarkStart w:id="6453" w:name="_Toc517176352"/>
      <w:bookmarkStart w:id="6454" w:name="_Toc517337677"/>
      <w:bookmarkStart w:id="6455" w:name="_Toc517360473"/>
      <w:bookmarkStart w:id="6456" w:name="_Toc516739855"/>
      <w:bookmarkStart w:id="6457" w:name="_Toc516751764"/>
      <w:bookmarkStart w:id="6458" w:name="_Toc516825852"/>
      <w:bookmarkStart w:id="6459" w:name="_Toc516826410"/>
      <w:bookmarkStart w:id="6460" w:name="_Toc516837730"/>
      <w:bookmarkStart w:id="6461" w:name="_Toc516838289"/>
      <w:bookmarkStart w:id="6462" w:name="_Toc516838848"/>
      <w:bookmarkStart w:id="6463" w:name="_Toc516839408"/>
      <w:bookmarkStart w:id="6464" w:name="_Toc517173504"/>
      <w:bookmarkStart w:id="6465" w:name="_Toc517175178"/>
      <w:bookmarkStart w:id="6466" w:name="_Toc517175765"/>
      <w:bookmarkStart w:id="6467" w:name="_Toc517176353"/>
      <w:bookmarkStart w:id="6468" w:name="_Toc517337678"/>
      <w:bookmarkStart w:id="6469" w:name="_Toc517360474"/>
      <w:bookmarkStart w:id="6470" w:name="_Toc516739856"/>
      <w:bookmarkStart w:id="6471" w:name="_Toc516751765"/>
      <w:bookmarkStart w:id="6472" w:name="_Toc516825853"/>
      <w:bookmarkStart w:id="6473" w:name="_Toc516826411"/>
      <w:bookmarkStart w:id="6474" w:name="_Toc516837731"/>
      <w:bookmarkStart w:id="6475" w:name="_Toc516838290"/>
      <w:bookmarkStart w:id="6476" w:name="_Toc516838849"/>
      <w:bookmarkStart w:id="6477" w:name="_Toc516839409"/>
      <w:bookmarkStart w:id="6478" w:name="_Toc517173505"/>
      <w:bookmarkStart w:id="6479" w:name="_Toc517175179"/>
      <w:bookmarkStart w:id="6480" w:name="_Toc517175766"/>
      <w:bookmarkStart w:id="6481" w:name="_Toc517176354"/>
      <w:bookmarkStart w:id="6482" w:name="_Toc517337679"/>
      <w:bookmarkStart w:id="6483" w:name="_Toc517360475"/>
      <w:bookmarkStart w:id="6484" w:name="_Toc516739857"/>
      <w:bookmarkStart w:id="6485" w:name="_Toc516751766"/>
      <w:bookmarkStart w:id="6486" w:name="_Toc516825854"/>
      <w:bookmarkStart w:id="6487" w:name="_Toc516826412"/>
      <w:bookmarkStart w:id="6488" w:name="_Toc516837732"/>
      <w:bookmarkStart w:id="6489" w:name="_Toc516838291"/>
      <w:bookmarkStart w:id="6490" w:name="_Toc516838850"/>
      <w:bookmarkStart w:id="6491" w:name="_Toc516839410"/>
      <w:bookmarkStart w:id="6492" w:name="_Toc517173506"/>
      <w:bookmarkStart w:id="6493" w:name="_Toc517175180"/>
      <w:bookmarkStart w:id="6494" w:name="_Toc517175767"/>
      <w:bookmarkStart w:id="6495" w:name="_Toc517176355"/>
      <w:bookmarkStart w:id="6496" w:name="_Toc517337680"/>
      <w:bookmarkStart w:id="6497" w:name="_Toc517360476"/>
      <w:bookmarkStart w:id="6498" w:name="_Toc516739858"/>
      <w:bookmarkStart w:id="6499" w:name="_Toc516751767"/>
      <w:bookmarkStart w:id="6500" w:name="_Toc516825855"/>
      <w:bookmarkStart w:id="6501" w:name="_Toc516826413"/>
      <w:bookmarkStart w:id="6502" w:name="_Toc516837733"/>
      <w:bookmarkStart w:id="6503" w:name="_Toc516838292"/>
      <w:bookmarkStart w:id="6504" w:name="_Toc516838851"/>
      <w:bookmarkStart w:id="6505" w:name="_Toc516839411"/>
      <w:bookmarkStart w:id="6506" w:name="_Toc517173507"/>
      <w:bookmarkStart w:id="6507" w:name="_Toc517175181"/>
      <w:bookmarkStart w:id="6508" w:name="_Toc517175768"/>
      <w:bookmarkStart w:id="6509" w:name="_Toc517176356"/>
      <w:bookmarkStart w:id="6510" w:name="_Toc517337681"/>
      <w:bookmarkStart w:id="6511" w:name="_Toc517360477"/>
      <w:bookmarkStart w:id="6512" w:name="_Toc516739859"/>
      <w:bookmarkStart w:id="6513" w:name="_Toc516751768"/>
      <w:bookmarkStart w:id="6514" w:name="_Toc516825856"/>
      <w:bookmarkStart w:id="6515" w:name="_Toc516826414"/>
      <w:bookmarkStart w:id="6516" w:name="_Toc516837734"/>
      <w:bookmarkStart w:id="6517" w:name="_Toc516838293"/>
      <w:bookmarkStart w:id="6518" w:name="_Toc516838852"/>
      <w:bookmarkStart w:id="6519" w:name="_Toc516839412"/>
      <w:bookmarkStart w:id="6520" w:name="_Toc517173508"/>
      <w:bookmarkStart w:id="6521" w:name="_Toc517175182"/>
      <w:bookmarkStart w:id="6522" w:name="_Toc517175769"/>
      <w:bookmarkStart w:id="6523" w:name="_Toc517176357"/>
      <w:bookmarkStart w:id="6524" w:name="_Toc517337682"/>
      <w:bookmarkStart w:id="6525" w:name="_Toc517360478"/>
      <w:bookmarkStart w:id="6526" w:name="_Toc516739860"/>
      <w:bookmarkStart w:id="6527" w:name="_Toc516751769"/>
      <w:bookmarkStart w:id="6528" w:name="_Toc516825857"/>
      <w:bookmarkStart w:id="6529" w:name="_Toc516826415"/>
      <w:bookmarkStart w:id="6530" w:name="_Toc516837735"/>
      <w:bookmarkStart w:id="6531" w:name="_Toc516838294"/>
      <w:bookmarkStart w:id="6532" w:name="_Toc516838853"/>
      <w:bookmarkStart w:id="6533" w:name="_Toc516839413"/>
      <w:bookmarkStart w:id="6534" w:name="_Toc517173509"/>
      <w:bookmarkStart w:id="6535" w:name="_Toc517175183"/>
      <w:bookmarkStart w:id="6536" w:name="_Toc517175770"/>
      <w:bookmarkStart w:id="6537" w:name="_Toc517176358"/>
      <w:bookmarkStart w:id="6538" w:name="_Toc517337683"/>
      <w:bookmarkStart w:id="6539" w:name="_Toc517360479"/>
      <w:bookmarkStart w:id="6540" w:name="_Toc516739861"/>
      <w:bookmarkStart w:id="6541" w:name="_Toc516751770"/>
      <w:bookmarkStart w:id="6542" w:name="_Toc516825858"/>
      <w:bookmarkStart w:id="6543" w:name="_Toc516826416"/>
      <w:bookmarkStart w:id="6544" w:name="_Toc516837736"/>
      <w:bookmarkStart w:id="6545" w:name="_Toc516838295"/>
      <w:bookmarkStart w:id="6546" w:name="_Toc516838854"/>
      <w:bookmarkStart w:id="6547" w:name="_Toc516839414"/>
      <w:bookmarkStart w:id="6548" w:name="_Toc517173510"/>
      <w:bookmarkStart w:id="6549" w:name="_Toc517175184"/>
      <w:bookmarkStart w:id="6550" w:name="_Toc517175771"/>
      <w:bookmarkStart w:id="6551" w:name="_Toc517176359"/>
      <w:bookmarkStart w:id="6552" w:name="_Toc517337684"/>
      <w:bookmarkStart w:id="6553" w:name="_Toc517360480"/>
      <w:bookmarkStart w:id="6554" w:name="_Toc516739862"/>
      <w:bookmarkStart w:id="6555" w:name="_Toc516751771"/>
      <w:bookmarkStart w:id="6556" w:name="_Toc516825859"/>
      <w:bookmarkStart w:id="6557" w:name="_Toc516826417"/>
      <w:bookmarkStart w:id="6558" w:name="_Toc516837737"/>
      <w:bookmarkStart w:id="6559" w:name="_Toc516838296"/>
      <w:bookmarkStart w:id="6560" w:name="_Toc516838855"/>
      <w:bookmarkStart w:id="6561" w:name="_Toc516839415"/>
      <w:bookmarkStart w:id="6562" w:name="_Toc517173511"/>
      <w:bookmarkStart w:id="6563" w:name="_Toc517175185"/>
      <w:bookmarkStart w:id="6564" w:name="_Toc517175772"/>
      <w:bookmarkStart w:id="6565" w:name="_Toc517176360"/>
      <w:bookmarkStart w:id="6566" w:name="_Toc517337685"/>
      <w:bookmarkStart w:id="6567" w:name="_Toc517360481"/>
      <w:bookmarkStart w:id="6568" w:name="_Toc516739863"/>
      <w:bookmarkStart w:id="6569" w:name="_Toc516751772"/>
      <w:bookmarkStart w:id="6570" w:name="_Toc516825860"/>
      <w:bookmarkStart w:id="6571" w:name="_Toc516826418"/>
      <w:bookmarkStart w:id="6572" w:name="_Toc516837738"/>
      <w:bookmarkStart w:id="6573" w:name="_Toc516838297"/>
      <w:bookmarkStart w:id="6574" w:name="_Toc516838856"/>
      <w:bookmarkStart w:id="6575" w:name="_Toc516839416"/>
      <w:bookmarkStart w:id="6576" w:name="_Toc517173512"/>
      <w:bookmarkStart w:id="6577" w:name="_Toc517175186"/>
      <w:bookmarkStart w:id="6578" w:name="_Toc517175773"/>
      <w:bookmarkStart w:id="6579" w:name="_Toc517176361"/>
      <w:bookmarkStart w:id="6580" w:name="_Toc517337686"/>
      <w:bookmarkStart w:id="6581" w:name="_Toc517360482"/>
      <w:bookmarkStart w:id="6582" w:name="_Toc516739864"/>
      <w:bookmarkStart w:id="6583" w:name="_Toc516751773"/>
      <w:bookmarkStart w:id="6584" w:name="_Toc516825861"/>
      <w:bookmarkStart w:id="6585" w:name="_Toc516826419"/>
      <w:bookmarkStart w:id="6586" w:name="_Toc516837739"/>
      <w:bookmarkStart w:id="6587" w:name="_Toc516838298"/>
      <w:bookmarkStart w:id="6588" w:name="_Toc516838857"/>
      <w:bookmarkStart w:id="6589" w:name="_Toc516839417"/>
      <w:bookmarkStart w:id="6590" w:name="_Toc517173513"/>
      <w:bookmarkStart w:id="6591" w:name="_Toc517175187"/>
      <w:bookmarkStart w:id="6592" w:name="_Toc517175774"/>
      <w:bookmarkStart w:id="6593" w:name="_Toc517176362"/>
      <w:bookmarkStart w:id="6594" w:name="_Toc517337687"/>
      <w:bookmarkStart w:id="6595" w:name="_Toc517360483"/>
      <w:bookmarkStart w:id="6596" w:name="_Toc74557781"/>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r>
        <w:t xml:space="preserve">04002/364-24 : </w:t>
      </w:r>
      <w:r w:rsidR="00C82157">
        <w:t>D</w:t>
      </w:r>
      <w:r>
        <w:t>iffusion publicitaire sur la voie publique</w:t>
      </w:r>
      <w:bookmarkEnd w:id="6596"/>
    </w:p>
    <w:bookmarkEnd w:id="6228"/>
    <w:p w14:paraId="285FE45E" w14:textId="77777777" w:rsidR="0084076C" w:rsidRDefault="0084076C" w:rsidP="00E063FD">
      <w:pPr>
        <w:rPr>
          <w:rFonts w:cs="Calibri Light"/>
        </w:rPr>
      </w:pPr>
      <w:r>
        <w:rPr>
          <w:rFonts w:cs="Calibri Light"/>
        </w:rPr>
        <w:t>Taxe indirecte – Modèle disponible.</w:t>
      </w:r>
    </w:p>
    <w:p w14:paraId="01C8B528"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Cette taxe vise communément la diffusion de messages publicitaires par diffuseur ou par panneau mobile, ou encore au moyen d'habits ou de parements à caractère publicitaire portés par une personne ou un animal.</w:t>
      </w:r>
    </w:p>
    <w:p w14:paraId="0BDA6C31" w14:textId="3835AA79" w:rsidR="009B153C" w:rsidRPr="00054F3F" w:rsidRDefault="009B153C" w:rsidP="00E063FD">
      <w:pPr>
        <w:spacing w:before="120"/>
        <w:jc w:val="both"/>
        <w:textAlignment w:val="baseline"/>
        <w:rPr>
          <w:rFonts w:asciiTheme="minorHAnsi" w:hAnsiTheme="minorHAnsi" w:cs="Calibri Light"/>
          <w:spacing w:val="-2"/>
          <w:u w:val="single"/>
        </w:rPr>
      </w:pPr>
      <w:r w:rsidRPr="00DA6BD2">
        <w:rPr>
          <w:rFonts w:asciiTheme="minorHAnsi" w:hAnsiTheme="minorHAnsi" w:cs="Calibri Light"/>
          <w:spacing w:val="-2"/>
          <w:u w:val="single"/>
        </w:rPr>
        <w:t>Diffuseurs sonores</w:t>
      </w:r>
      <w:r w:rsidRPr="00DA6BD2">
        <w:rPr>
          <w:rFonts w:asciiTheme="minorHAnsi" w:hAnsiTheme="minorHAnsi" w:cs="Calibri Light"/>
          <w:spacing w:val="-2"/>
        </w:rPr>
        <w:t xml:space="preserve"> : Taux maximum recommandé : </w:t>
      </w:r>
      <w:r w:rsidR="009964D3" w:rsidRPr="00054F3F">
        <w:rPr>
          <w:rFonts w:asciiTheme="minorHAnsi" w:hAnsiTheme="minorHAnsi" w:cs="Calibri Light"/>
          <w:spacing w:val="-2"/>
        </w:rPr>
        <w:t>85</w:t>
      </w:r>
      <w:r w:rsidR="00054F3F" w:rsidRPr="008D7EB7">
        <w:rPr>
          <w:rFonts w:asciiTheme="minorHAnsi" w:hAnsiTheme="minorHAnsi" w:cs="Calibri Light"/>
          <w:spacing w:val="-2"/>
        </w:rPr>
        <w:t>,00</w:t>
      </w:r>
      <w:r w:rsidR="009964D3" w:rsidRPr="00054F3F">
        <w:rPr>
          <w:rFonts w:asciiTheme="minorHAnsi" w:hAnsiTheme="minorHAnsi" w:cs="Calibri Light"/>
          <w:spacing w:val="-2"/>
        </w:rPr>
        <w:t xml:space="preserve"> </w:t>
      </w:r>
      <w:r w:rsidRPr="00054F3F">
        <w:rPr>
          <w:rFonts w:asciiTheme="minorHAnsi" w:hAnsiTheme="minorHAnsi" w:cs="Calibri Light"/>
          <w:spacing w:val="-2"/>
        </w:rPr>
        <w:t>euros/jour.</w:t>
      </w:r>
    </w:p>
    <w:p w14:paraId="5575512B" w14:textId="0E72D2C3" w:rsidR="009B153C" w:rsidRPr="00DA6BD2" w:rsidRDefault="009B153C" w:rsidP="00E063FD">
      <w:pPr>
        <w:spacing w:before="120"/>
        <w:jc w:val="both"/>
        <w:textAlignment w:val="baseline"/>
        <w:rPr>
          <w:rFonts w:asciiTheme="minorHAnsi" w:hAnsiTheme="minorHAnsi" w:cs="Calibri Light"/>
        </w:rPr>
      </w:pPr>
      <w:r w:rsidRPr="00054F3F">
        <w:rPr>
          <w:rFonts w:asciiTheme="minorHAnsi" w:hAnsiTheme="minorHAnsi" w:cs="Calibri Light"/>
          <w:u w:val="single"/>
        </w:rPr>
        <w:t>Diffusion par panneaux mobiles,</w:t>
      </w:r>
      <w:r w:rsidRPr="00054F3F">
        <w:rPr>
          <w:rFonts w:asciiTheme="minorHAnsi" w:hAnsiTheme="minorHAnsi" w:cs="Calibri Light"/>
        </w:rPr>
        <w:t xml:space="preserve"> par rayons lasers ou supports ou distribution de tracts ou gadgets sur la voie publique : Taux maximum recommandé : </w:t>
      </w:r>
      <w:r w:rsidR="009964D3" w:rsidRPr="00054F3F">
        <w:rPr>
          <w:rFonts w:asciiTheme="minorHAnsi" w:hAnsiTheme="minorHAnsi" w:cs="Calibri Light"/>
        </w:rPr>
        <w:t>25</w:t>
      </w:r>
      <w:r w:rsidR="00054F3F" w:rsidRPr="008D7EB7">
        <w:rPr>
          <w:rFonts w:asciiTheme="minorHAnsi" w:hAnsiTheme="minorHAnsi" w:cs="Calibri Light"/>
        </w:rPr>
        <w:t>,00</w:t>
      </w:r>
      <w:r w:rsidR="009964D3" w:rsidRPr="00054F3F">
        <w:rPr>
          <w:rFonts w:asciiTheme="minorHAnsi" w:hAnsiTheme="minorHAnsi" w:cs="Calibri Light"/>
        </w:rPr>
        <w:t xml:space="preserve"> </w:t>
      </w:r>
      <w:r w:rsidRPr="00054F3F">
        <w:rPr>
          <w:rFonts w:asciiTheme="minorHAnsi" w:hAnsiTheme="minorHAnsi" w:cs="Calibri Light"/>
        </w:rPr>
        <w:t>euros</w:t>
      </w:r>
      <w:r w:rsidR="009964D3" w:rsidRPr="00054F3F">
        <w:rPr>
          <w:rFonts w:asciiTheme="minorHAnsi" w:hAnsiTheme="minorHAnsi" w:cs="Calibri Light"/>
        </w:rPr>
        <w:t xml:space="preserve"> </w:t>
      </w:r>
      <w:r w:rsidRPr="00054F3F">
        <w:rPr>
          <w:rFonts w:asciiTheme="minorHAnsi" w:hAnsiTheme="minorHAnsi" w:cs="Calibri Light"/>
        </w:rPr>
        <w:t>/jour</w:t>
      </w:r>
      <w:r w:rsidRPr="00DA6BD2">
        <w:rPr>
          <w:rFonts w:asciiTheme="minorHAnsi" w:hAnsiTheme="minorHAnsi" w:cs="Calibri Light"/>
        </w:rPr>
        <w:t>.</w:t>
      </w:r>
    </w:p>
    <w:p w14:paraId="10B7C664"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 taux pourra être majoré jusqu'au double lorsque le panneau mobile est équipé d'un système de défilement électronique ou mécanique des messages publicitaires.</w:t>
      </w:r>
    </w:p>
    <w:p w14:paraId="7542A478" w14:textId="744CC98A"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commerçants ambulants (glacier, ...) ne sont pas visés par la présente taxe dans la mesure où l'utilisation d'un matériel de sonorisation fait partie intégrante de la nature de l'activité exercée et ne revêt dès lors pas un caractère purement publicitaire.</w:t>
      </w:r>
    </w:p>
    <w:p w14:paraId="4343D250" w14:textId="79752FC9" w:rsidR="000D1361" w:rsidRDefault="000D1361" w:rsidP="00E063FD">
      <w:pPr>
        <w:spacing w:before="120"/>
        <w:jc w:val="both"/>
        <w:textAlignment w:val="baseline"/>
        <w:rPr>
          <w:rFonts w:asciiTheme="minorHAnsi" w:hAnsiTheme="minorHAnsi" w:cs="Calibri Light"/>
        </w:rPr>
      </w:pPr>
    </w:p>
    <w:p w14:paraId="1FB73093" w14:textId="4AB04425" w:rsidR="00954869" w:rsidRDefault="00954869" w:rsidP="00E063FD">
      <w:pPr>
        <w:spacing w:before="120"/>
        <w:jc w:val="both"/>
        <w:textAlignment w:val="baseline"/>
        <w:rPr>
          <w:rFonts w:asciiTheme="minorHAnsi" w:hAnsiTheme="minorHAnsi" w:cs="Calibri Light"/>
        </w:rPr>
      </w:pPr>
    </w:p>
    <w:p w14:paraId="67330C51" w14:textId="41B2C6EE" w:rsidR="00954869" w:rsidRDefault="00954869" w:rsidP="00E063FD">
      <w:pPr>
        <w:spacing w:before="120"/>
        <w:jc w:val="both"/>
        <w:textAlignment w:val="baseline"/>
        <w:rPr>
          <w:rFonts w:asciiTheme="minorHAnsi" w:hAnsiTheme="minorHAnsi" w:cs="Calibri Light"/>
        </w:rPr>
      </w:pPr>
    </w:p>
    <w:p w14:paraId="02865FA6" w14:textId="77777777" w:rsidR="00954869" w:rsidRDefault="00954869" w:rsidP="00E063FD">
      <w:pPr>
        <w:spacing w:before="120"/>
        <w:jc w:val="both"/>
        <w:textAlignment w:val="baseline"/>
        <w:rPr>
          <w:rFonts w:asciiTheme="minorHAnsi" w:hAnsiTheme="minorHAnsi" w:cs="Calibri Light"/>
        </w:rPr>
      </w:pPr>
    </w:p>
    <w:p w14:paraId="18AC8E00" w14:textId="77777777" w:rsidR="009D393B" w:rsidRPr="00DA6BD2" w:rsidRDefault="00C82157" w:rsidP="00256E9F">
      <w:pPr>
        <w:pStyle w:val="Sam3"/>
      </w:pPr>
      <w:bookmarkStart w:id="6597" w:name="_Toc74557782"/>
      <w:r>
        <w:lastRenderedPageBreak/>
        <w:t>040/364-26 : S</w:t>
      </w:r>
      <w:r w:rsidR="009D393B">
        <w:t>éjour</w:t>
      </w:r>
      <w:bookmarkEnd w:id="6597"/>
      <w:r w:rsidR="009D393B">
        <w:t xml:space="preserve"> </w:t>
      </w:r>
    </w:p>
    <w:p w14:paraId="2ED059F6" w14:textId="77777777" w:rsidR="0084076C" w:rsidRDefault="0084076C" w:rsidP="00E063FD">
      <w:pPr>
        <w:rPr>
          <w:rFonts w:cs="Calibri Light"/>
        </w:rPr>
      </w:pPr>
      <w:r>
        <w:rPr>
          <w:rFonts w:cs="Calibri Light"/>
        </w:rPr>
        <w:t>Taxe directe si prise au forfait ou taxe indirecte si prise à la nuitée – Modèle disponible.</w:t>
      </w:r>
    </w:p>
    <w:p w14:paraId="0A18028B" w14:textId="25BFE5F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 taux maximum recommandé est fixé à </w:t>
      </w:r>
      <w:r w:rsidR="009964D3" w:rsidRPr="00A14A63">
        <w:rPr>
          <w:rFonts w:asciiTheme="minorHAnsi" w:hAnsiTheme="minorHAnsi" w:cs="Calibri Light"/>
        </w:rPr>
        <w:t xml:space="preserve">1,30 </w:t>
      </w:r>
      <w:r w:rsidRPr="00A14A63">
        <w:rPr>
          <w:rFonts w:asciiTheme="minorHAnsi" w:hAnsiTheme="minorHAnsi" w:cs="Calibri Light"/>
        </w:rPr>
        <w:t>euro</w:t>
      </w:r>
      <w:r w:rsidR="003A3E72" w:rsidRPr="00A14A63">
        <w:rPr>
          <w:rFonts w:asciiTheme="minorHAnsi" w:hAnsiTheme="minorHAnsi" w:cs="Calibri Light"/>
        </w:rPr>
        <w:t>s</w:t>
      </w:r>
      <w:r w:rsidRPr="00A14A63">
        <w:rPr>
          <w:rFonts w:asciiTheme="minorHAnsi" w:hAnsiTheme="minorHAnsi" w:cs="Calibri Light"/>
        </w:rPr>
        <w:t xml:space="preserve"> par</w:t>
      </w:r>
      <w:r w:rsidRPr="00DA6BD2">
        <w:rPr>
          <w:rFonts w:asciiTheme="minorHAnsi" w:hAnsiTheme="minorHAnsi" w:cs="Calibri Light"/>
        </w:rPr>
        <w:t xml:space="preserve"> personne et par nuitée ou </w:t>
      </w:r>
      <w:r w:rsidRPr="00A14A63">
        <w:rPr>
          <w:rFonts w:asciiTheme="minorHAnsi" w:hAnsiTheme="minorHAnsi" w:cs="Calibri Light"/>
        </w:rPr>
        <w:t>forfaitairement à</w:t>
      </w:r>
      <w:r w:rsidR="007718CA" w:rsidRPr="00A14A63">
        <w:rPr>
          <w:rFonts w:asciiTheme="minorHAnsi" w:hAnsiTheme="minorHAnsi" w:cs="Calibri Light"/>
        </w:rPr>
        <w:t xml:space="preserve"> </w:t>
      </w:r>
      <w:r w:rsidR="009964D3" w:rsidRPr="00A14A63">
        <w:rPr>
          <w:rFonts w:asciiTheme="minorHAnsi" w:hAnsiTheme="minorHAnsi" w:cs="Calibri Light"/>
        </w:rPr>
        <w:t>180</w:t>
      </w:r>
      <w:r w:rsidR="00A14A63" w:rsidRPr="008D7EB7">
        <w:rPr>
          <w:rFonts w:asciiTheme="minorHAnsi" w:hAnsiTheme="minorHAnsi" w:cs="Calibri Light"/>
        </w:rPr>
        <w:t>,00</w:t>
      </w:r>
      <w:r w:rsidR="009964D3" w:rsidRPr="00A14A63">
        <w:rPr>
          <w:rFonts w:asciiTheme="minorHAnsi" w:hAnsiTheme="minorHAnsi" w:cs="Calibri Light"/>
        </w:rPr>
        <w:t xml:space="preserve"> </w:t>
      </w:r>
      <w:r w:rsidRPr="00A14A63">
        <w:rPr>
          <w:rFonts w:asciiTheme="minorHAnsi" w:hAnsiTheme="minorHAnsi" w:cs="Calibri Light"/>
        </w:rPr>
        <w:t>euros/an/lit</w:t>
      </w:r>
      <w:r w:rsidRPr="00DA6BD2">
        <w:rPr>
          <w:rFonts w:asciiTheme="minorHAnsi" w:hAnsiTheme="minorHAnsi" w:cs="Calibri Light"/>
        </w:rPr>
        <w:t>, chambre ou emplacement de camping.</w:t>
      </w:r>
    </w:p>
    <w:p w14:paraId="56264F9C"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Lorsque la taxation vise les hébergements dûment autorisés à utiliser une dénomination protégée par le Code wallon du Tourisme (établissement hôtelier, hébergement touristique de terroir, meublé de vacances, camping touristique ou village de vacances), la taxe est réduite de moitié.</w:t>
      </w:r>
    </w:p>
    <w:p w14:paraId="16C8E798" w14:textId="5CE09974" w:rsidR="009B153C"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L'application de cette taxe implique automatiquement que l'exploitant des lieux loués et les locataires de ceux-ci ne soient pas soumis à la taxe sur les secondes résidences.</w:t>
      </w:r>
    </w:p>
    <w:p w14:paraId="49242EA8" w14:textId="6F7D3F64" w:rsidR="005438AF" w:rsidRDefault="005438AF" w:rsidP="008D7EB7">
      <w:pPr>
        <w:spacing w:before="120" w:after="240"/>
        <w:jc w:val="both"/>
        <w:textAlignment w:val="baseline"/>
        <w:rPr>
          <w:rFonts w:asciiTheme="minorHAnsi" w:hAnsiTheme="minorHAnsi" w:cs="Calibri Light"/>
          <w:spacing w:val="-2"/>
        </w:rPr>
      </w:pPr>
      <w:bookmarkStart w:id="6598" w:name="_Hlk39393829"/>
      <w:r w:rsidRPr="0014374B">
        <w:rPr>
          <w:rFonts w:asciiTheme="minorHAnsi" w:hAnsiTheme="minorHAnsi" w:cs="Calibri Light"/>
          <w:spacing w:val="-2"/>
        </w:rPr>
        <w:t>La taxe s’applique aussi aux logements offerts en Airbnb ou service similaire.</w:t>
      </w:r>
    </w:p>
    <w:p w14:paraId="3469767B" w14:textId="77777777" w:rsidR="009D393B" w:rsidRPr="00DA6BD2" w:rsidRDefault="00C82157" w:rsidP="00256E9F">
      <w:pPr>
        <w:pStyle w:val="Sam3"/>
      </w:pPr>
      <w:bookmarkStart w:id="6599" w:name="_Toc74557783"/>
      <w:bookmarkEnd w:id="6598"/>
      <w:r>
        <w:t>040/364-27 : T</w:t>
      </w:r>
      <w:r w:rsidR="009D393B">
        <w:t>errains de camping</w:t>
      </w:r>
      <w:bookmarkEnd w:id="6599"/>
      <w:r w:rsidR="009D393B">
        <w:t xml:space="preserve"> </w:t>
      </w:r>
    </w:p>
    <w:p w14:paraId="4CF3125E" w14:textId="77777777" w:rsidR="0084076C" w:rsidRDefault="0084076C" w:rsidP="00E063FD">
      <w:pPr>
        <w:rPr>
          <w:rFonts w:cs="Calibri Light"/>
        </w:rPr>
      </w:pPr>
      <w:r>
        <w:rPr>
          <w:rFonts w:cs="Calibri Light"/>
        </w:rPr>
        <w:t>Taxe directe – Modèle disponible.</w:t>
      </w:r>
    </w:p>
    <w:p w14:paraId="24147724" w14:textId="0A207C01"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réglementation relative à l'exploitation des campings touristiques, des terrains de caravanage et des campings à la ferme</w:t>
      </w:r>
      <w:r w:rsidR="00B26750" w:rsidRPr="00DA6BD2">
        <w:rPr>
          <w:rFonts w:asciiTheme="minorHAnsi" w:hAnsiTheme="minorHAnsi" w:cs="Calibri Light"/>
        </w:rPr>
        <w:t xml:space="preserve"> </w:t>
      </w:r>
      <w:r w:rsidR="00B26750" w:rsidRPr="00A310A8">
        <w:rPr>
          <w:rFonts w:asciiTheme="minorHAnsi" w:hAnsiTheme="minorHAnsi" w:cs="Calibri Light"/>
        </w:rPr>
        <w:t>(art 249 du Code wallon du Tourisme)</w:t>
      </w:r>
      <w:r w:rsidR="00B26750">
        <w:rPr>
          <w:rFonts w:asciiTheme="minorHAnsi" w:hAnsiTheme="minorHAnsi" w:cs="Calibri Light"/>
        </w:rPr>
        <w:t xml:space="preserve"> </w:t>
      </w:r>
      <w:r w:rsidRPr="00DA6BD2">
        <w:rPr>
          <w:rFonts w:asciiTheme="minorHAnsi" w:hAnsiTheme="minorHAnsi" w:cs="Calibri Light"/>
        </w:rPr>
        <w:t>distingue deux types d'emplacements en fonction des abris qu'ils accueillent :</w:t>
      </w:r>
    </w:p>
    <w:p w14:paraId="6A099795" w14:textId="4CFCF0F3" w:rsidR="007A10F4" w:rsidRPr="00E063FD" w:rsidRDefault="007A10F4" w:rsidP="007A10F4">
      <w:pPr>
        <w:spacing w:before="120"/>
        <w:jc w:val="both"/>
        <w:textAlignment w:val="baseline"/>
        <w:rPr>
          <w:rFonts w:asciiTheme="minorHAnsi" w:hAnsiTheme="minorHAnsi" w:cs="Calibri Light"/>
        </w:rPr>
      </w:pPr>
      <w:r w:rsidRPr="00DA6BD2">
        <w:rPr>
          <w:rFonts w:asciiTheme="minorHAnsi" w:hAnsiTheme="minorHAnsi" w:cs="Calibri Light"/>
        </w:rPr>
        <w:t xml:space="preserve">1° les abris mobiles, terrasses, auvents et avancées en toile compris, ont une superficie d’occupation au sol d’un tiers maximum de la superficie de l’emplacement. La superficie minimale d’un emplacement </w:t>
      </w:r>
      <w:r w:rsidRPr="00C24D2E">
        <w:rPr>
          <w:rFonts w:asciiTheme="minorHAnsi" w:hAnsiTheme="minorHAnsi" w:cs="Calibri Light"/>
        </w:rPr>
        <w:t>réservé aux abris mobiles est de cinquante m²</w:t>
      </w:r>
      <w:r>
        <w:rPr>
          <w:rFonts w:asciiTheme="minorHAnsi" w:hAnsiTheme="minorHAnsi" w:cs="Calibri Light"/>
        </w:rPr>
        <w:t> :</w:t>
      </w:r>
      <w:r w:rsidRPr="00C24D2E">
        <w:rPr>
          <w:rFonts w:asciiTheme="minorHAnsi" w:hAnsiTheme="minorHAnsi" w:cs="Calibri Light"/>
        </w:rPr>
        <w:t xml:space="preserve"> </w:t>
      </w:r>
      <w:r w:rsidRPr="00A310A8">
        <w:rPr>
          <w:rFonts w:asciiTheme="minorHAnsi" w:hAnsiTheme="minorHAnsi" w:cs="Calibri Light"/>
        </w:rPr>
        <w:t>Taux maximum recommandé</w:t>
      </w:r>
      <w:r w:rsidR="00A310A8">
        <w:rPr>
          <w:rFonts w:asciiTheme="minorHAnsi" w:hAnsiTheme="minorHAnsi" w:cs="Calibri Light"/>
        </w:rPr>
        <w:t> </w:t>
      </w:r>
      <w:r w:rsidR="00A310A8" w:rsidRPr="00A14A63">
        <w:rPr>
          <w:rFonts w:asciiTheme="minorHAnsi" w:hAnsiTheme="minorHAnsi" w:cs="Calibri Light"/>
        </w:rPr>
        <w:t>:</w:t>
      </w:r>
      <w:r w:rsidRPr="00A14A63">
        <w:rPr>
          <w:rFonts w:asciiTheme="minorHAnsi" w:hAnsiTheme="minorHAnsi" w:cs="Calibri Light"/>
        </w:rPr>
        <w:t xml:space="preserve"> </w:t>
      </w:r>
      <w:r w:rsidR="009964D3" w:rsidRPr="00A14A63">
        <w:rPr>
          <w:rFonts w:asciiTheme="minorHAnsi" w:hAnsiTheme="minorHAnsi" w:cs="Calibri Light"/>
        </w:rPr>
        <w:t>85</w:t>
      </w:r>
      <w:r w:rsidR="00A14A63" w:rsidRPr="008D7EB7">
        <w:rPr>
          <w:rFonts w:asciiTheme="minorHAnsi" w:hAnsiTheme="minorHAnsi" w:cs="Calibri Light"/>
        </w:rPr>
        <w:t>,00</w:t>
      </w:r>
      <w:r w:rsidR="009964D3" w:rsidRPr="00A14A63">
        <w:rPr>
          <w:rFonts w:asciiTheme="minorHAnsi" w:hAnsiTheme="minorHAnsi" w:cs="Calibri Light"/>
        </w:rPr>
        <w:t xml:space="preserve"> euros</w:t>
      </w:r>
      <w:r w:rsidR="000D1361" w:rsidRPr="00A14A63">
        <w:rPr>
          <w:rFonts w:asciiTheme="minorHAnsi" w:hAnsiTheme="minorHAnsi" w:cs="Calibri Light"/>
        </w:rPr>
        <w:t> ;</w:t>
      </w:r>
    </w:p>
    <w:p w14:paraId="0D091050" w14:textId="2E3D9663" w:rsidR="007A10F4" w:rsidRDefault="007A10F4" w:rsidP="007A10F4">
      <w:pPr>
        <w:spacing w:before="120"/>
        <w:jc w:val="both"/>
        <w:textAlignment w:val="baseline"/>
        <w:rPr>
          <w:rFonts w:asciiTheme="minorHAnsi" w:hAnsiTheme="minorHAnsi" w:cs="Calibri Light"/>
        </w:rPr>
      </w:pPr>
      <w:r w:rsidRPr="00E063FD">
        <w:rPr>
          <w:rFonts w:asciiTheme="minorHAnsi" w:hAnsiTheme="minorHAnsi" w:cs="Calibri Light"/>
        </w:rPr>
        <w:t>2° les abris fixes, terrasses, auvents et avancées en toile compris, ont une superficie d’occupation au sol d’un tiers maximum de la superficie de l’emplacement</w:t>
      </w:r>
      <w:r>
        <w:rPr>
          <w:rFonts w:asciiTheme="minorHAnsi" w:hAnsiTheme="minorHAnsi" w:cs="Calibri Light"/>
        </w:rPr>
        <w:t> :</w:t>
      </w:r>
      <w:r w:rsidRPr="00E063FD">
        <w:rPr>
          <w:rFonts w:asciiTheme="minorHAnsi" w:hAnsiTheme="minorHAnsi" w:cs="Calibri Light"/>
        </w:rPr>
        <w:t xml:space="preserve"> </w:t>
      </w:r>
      <w:r w:rsidRPr="00A310A8">
        <w:rPr>
          <w:rFonts w:asciiTheme="minorHAnsi" w:hAnsiTheme="minorHAnsi" w:cs="Calibri Light"/>
        </w:rPr>
        <w:t>Taux maximum recommandé </w:t>
      </w:r>
      <w:r w:rsidR="009964D3" w:rsidRPr="00A14A63">
        <w:rPr>
          <w:rFonts w:asciiTheme="minorHAnsi" w:hAnsiTheme="minorHAnsi" w:cs="Calibri Light"/>
        </w:rPr>
        <w:t>135</w:t>
      </w:r>
      <w:r w:rsidR="00A14A63" w:rsidRPr="008D7EB7">
        <w:rPr>
          <w:rFonts w:asciiTheme="minorHAnsi" w:hAnsiTheme="minorHAnsi" w:cs="Calibri Light"/>
        </w:rPr>
        <w:t>,00</w:t>
      </w:r>
      <w:r w:rsidR="009964D3" w:rsidRPr="00A14A63">
        <w:rPr>
          <w:rFonts w:asciiTheme="minorHAnsi" w:hAnsiTheme="minorHAnsi" w:cs="Calibri Light"/>
        </w:rPr>
        <w:t xml:space="preserve"> euros</w:t>
      </w:r>
      <w:r w:rsidR="000D1361" w:rsidRPr="00A14A63">
        <w:rPr>
          <w:rFonts w:asciiTheme="minorHAnsi" w:hAnsiTheme="minorHAnsi" w:cs="Calibri Light"/>
        </w:rPr>
        <w:t>.</w:t>
      </w:r>
    </w:p>
    <w:p w14:paraId="50D9A8F4" w14:textId="77777777" w:rsidR="000D1361" w:rsidRPr="000D1361" w:rsidRDefault="000D1361" w:rsidP="000D1361">
      <w:pPr>
        <w:spacing w:before="120"/>
        <w:jc w:val="both"/>
        <w:textAlignment w:val="baseline"/>
        <w:rPr>
          <w:rFonts w:asciiTheme="minorHAnsi" w:hAnsiTheme="minorHAnsi" w:cs="Calibri Light"/>
        </w:rPr>
      </w:pPr>
      <w:r w:rsidRPr="000D1361">
        <w:rPr>
          <w:rFonts w:asciiTheme="minorHAnsi" w:hAnsiTheme="minorHAnsi" w:cs="Calibri Light"/>
        </w:rPr>
        <w:t>L’article 1er D du Code wallon du Tourisme prévoit que ces abris se définissent de la manière suivante :</w:t>
      </w:r>
    </w:p>
    <w:p w14:paraId="4933812A" w14:textId="602BEABC" w:rsidR="000D1361" w:rsidRPr="000D1361" w:rsidRDefault="000D1361" w:rsidP="000D1361">
      <w:pPr>
        <w:spacing w:before="120"/>
        <w:jc w:val="both"/>
        <w:textAlignment w:val="baseline"/>
        <w:rPr>
          <w:rFonts w:asciiTheme="minorHAnsi" w:hAnsiTheme="minorHAnsi" w:cs="Calibri Light"/>
        </w:rPr>
      </w:pPr>
      <w:r w:rsidRPr="000D1361">
        <w:rPr>
          <w:rFonts w:asciiTheme="minorHAnsi" w:hAnsiTheme="minorHAnsi" w:cs="Calibri Light"/>
        </w:rPr>
        <w:t>1° abri fixe</w:t>
      </w:r>
      <w:r w:rsidR="00A14A63">
        <w:rPr>
          <w:rFonts w:asciiTheme="minorHAnsi" w:hAnsiTheme="minorHAnsi" w:cs="Calibri Light"/>
        </w:rPr>
        <w:t xml:space="preserve"> </w:t>
      </w:r>
      <w:r w:rsidRPr="000D1361">
        <w:rPr>
          <w:rFonts w:asciiTheme="minorHAnsi" w:hAnsiTheme="minorHAnsi" w:cs="Calibri Light"/>
        </w:rPr>
        <w:t xml:space="preserve">: la structure destinée à l'hébergement touristique pour les campeurs de passage, non transportable, non démontable et ancrée au </w:t>
      </w:r>
      <w:r w:rsidR="001D6A79" w:rsidRPr="000D1361">
        <w:rPr>
          <w:rFonts w:asciiTheme="minorHAnsi" w:hAnsiTheme="minorHAnsi" w:cs="Calibri Light"/>
        </w:rPr>
        <w:t>sol ;</w:t>
      </w:r>
    </w:p>
    <w:p w14:paraId="57EF1102" w14:textId="44369C98" w:rsidR="000D1361" w:rsidRPr="000D1361" w:rsidRDefault="000D1361" w:rsidP="000D1361">
      <w:pPr>
        <w:spacing w:before="120"/>
        <w:jc w:val="both"/>
        <w:textAlignment w:val="baseline"/>
        <w:rPr>
          <w:rFonts w:asciiTheme="minorHAnsi" w:hAnsiTheme="minorHAnsi" w:cs="Calibri Light"/>
        </w:rPr>
      </w:pPr>
      <w:r w:rsidRPr="000D1361">
        <w:rPr>
          <w:rFonts w:asciiTheme="minorHAnsi" w:hAnsiTheme="minorHAnsi" w:cs="Calibri Light"/>
        </w:rPr>
        <w:t>2° abri mobile</w:t>
      </w:r>
      <w:r w:rsidR="00A14A63">
        <w:rPr>
          <w:rFonts w:asciiTheme="minorHAnsi" w:hAnsiTheme="minorHAnsi" w:cs="Calibri Light"/>
        </w:rPr>
        <w:t xml:space="preserve"> </w:t>
      </w:r>
      <w:r w:rsidRPr="000D1361">
        <w:rPr>
          <w:rFonts w:asciiTheme="minorHAnsi" w:hAnsiTheme="minorHAnsi" w:cs="Calibri Light"/>
        </w:rPr>
        <w:t>: la structure destinée à l'hébergement touristique pour une occupation temporaire ou saisonnière, conçue pour être démontée aisément ou transportable</w:t>
      </w:r>
      <w:r>
        <w:rPr>
          <w:rFonts w:asciiTheme="minorHAnsi" w:hAnsiTheme="minorHAnsi" w:cs="Calibri Light"/>
        </w:rPr>
        <w:t>.</w:t>
      </w:r>
    </w:p>
    <w:p w14:paraId="74145DD5" w14:textId="77777777" w:rsidR="009B153C" w:rsidRPr="00DA6BD2" w:rsidRDefault="009B153C" w:rsidP="00E063FD">
      <w:pPr>
        <w:spacing w:before="120"/>
        <w:jc w:val="both"/>
        <w:textAlignment w:val="baseline"/>
        <w:rPr>
          <w:rFonts w:asciiTheme="minorHAnsi" w:hAnsiTheme="minorHAnsi" w:cs="Calibri Light"/>
          <w:spacing w:val="-1"/>
        </w:rPr>
      </w:pPr>
      <w:r w:rsidRPr="00C24D2E">
        <w:rPr>
          <w:rFonts w:asciiTheme="minorHAnsi" w:hAnsiTheme="minorHAnsi" w:cs="Calibri Light"/>
          <w:spacing w:val="-1"/>
        </w:rPr>
        <w:t>La taxe sera modulée en fonction du nombre</w:t>
      </w:r>
      <w:r w:rsidRPr="00DA6BD2">
        <w:rPr>
          <w:rFonts w:asciiTheme="minorHAnsi" w:hAnsiTheme="minorHAnsi" w:cs="Calibri Light"/>
          <w:spacing w:val="-1"/>
        </w:rPr>
        <w:t xml:space="preserve"> d'emplacements de chaque type.</w:t>
      </w:r>
    </w:p>
    <w:p w14:paraId="4C60B93A" w14:textId="1B41FB32"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Sauf dans les cas d'exception prévus à l'article 2 alinéa 3 du décret</w:t>
      </w:r>
      <w:r w:rsidR="001939CE" w:rsidRPr="001939CE">
        <w:rPr>
          <w:rFonts w:asciiTheme="minorHAnsi" w:hAnsiTheme="minorHAnsi" w:cs="Calibri Light"/>
        </w:rPr>
        <w:t xml:space="preserve"> </w:t>
      </w:r>
      <w:r w:rsidR="001939CE" w:rsidRPr="00DA6BD2">
        <w:rPr>
          <w:rFonts w:asciiTheme="minorHAnsi" w:hAnsiTheme="minorHAnsi" w:cs="Calibri Light"/>
        </w:rPr>
        <w:t>du Conseil de la Communauté française du 4 mars 1991 relatif aux conditions d'exploitation des terrains de caravanage</w:t>
      </w:r>
      <w:r w:rsidR="001939CE">
        <w:rPr>
          <w:rFonts w:asciiTheme="minorHAnsi" w:hAnsiTheme="minorHAnsi" w:cs="Calibri Light"/>
        </w:rPr>
        <w:t xml:space="preserve"> et </w:t>
      </w:r>
      <w:r w:rsidRPr="00DA6BD2">
        <w:rPr>
          <w:rFonts w:asciiTheme="minorHAnsi" w:hAnsiTheme="minorHAnsi" w:cs="Calibri Light"/>
        </w:rPr>
        <w:t xml:space="preserve">à l'article 43 alinéa 3 de l'arrêté </w:t>
      </w:r>
      <w:r w:rsidR="00257583" w:rsidRPr="00DA6BD2">
        <w:rPr>
          <w:rFonts w:asciiTheme="minorHAnsi" w:hAnsiTheme="minorHAnsi" w:cs="Calibri Light"/>
          <w:spacing w:val="-1"/>
        </w:rPr>
        <w:t xml:space="preserve">de l'Exécutif de la Communauté française du 4 septembre 1991 </w:t>
      </w:r>
      <w:r w:rsidRPr="00DA6BD2">
        <w:rPr>
          <w:rFonts w:asciiTheme="minorHAnsi" w:hAnsiTheme="minorHAnsi" w:cs="Calibri Light"/>
        </w:rPr>
        <w:t>relatif au caravanage, les communes sont autorisées à taxer</w:t>
      </w:r>
      <w:r w:rsidR="001939CE">
        <w:rPr>
          <w:rFonts w:asciiTheme="minorHAnsi" w:hAnsiTheme="minorHAnsi" w:cs="Calibri Light"/>
        </w:rPr>
        <w:t xml:space="preserve"> (au taux le plus élevé selon les abris dénombrés)</w:t>
      </w:r>
      <w:r w:rsidRPr="00DA6BD2">
        <w:rPr>
          <w:rFonts w:asciiTheme="minorHAnsi" w:hAnsiTheme="minorHAnsi" w:cs="Calibri Light"/>
        </w:rPr>
        <w:t xml:space="preserve"> les personnes qui exploitent un terrain de camping sans le permis légal.</w:t>
      </w:r>
      <w:r w:rsidR="001939CE">
        <w:rPr>
          <w:rFonts w:asciiTheme="minorHAnsi" w:hAnsiTheme="minorHAnsi" w:cs="Calibri Light"/>
        </w:rPr>
        <w:t xml:space="preserve"> </w:t>
      </w:r>
      <w:r w:rsidRPr="00DA6BD2">
        <w:rPr>
          <w:rFonts w:asciiTheme="minorHAnsi" w:hAnsiTheme="minorHAnsi" w:cs="Calibri Light"/>
        </w:rPr>
        <w:t>La perception de la taxe communale n'exonère pas le contrevenant aux dispositions légales des sanctions pénales ou autres prévues par les lois et règlements.</w:t>
      </w:r>
    </w:p>
    <w:p w14:paraId="35AEC1DC" w14:textId="0856B3B2" w:rsidR="009B153C" w:rsidRDefault="009B153C" w:rsidP="008D7EB7">
      <w:pPr>
        <w:spacing w:before="120" w:after="240"/>
        <w:jc w:val="both"/>
        <w:textAlignment w:val="baseline"/>
        <w:rPr>
          <w:rFonts w:asciiTheme="minorHAnsi" w:hAnsiTheme="minorHAnsi" w:cs="Calibri Light"/>
          <w:spacing w:val="-1"/>
        </w:rPr>
      </w:pPr>
      <w:r w:rsidRPr="00DA6BD2">
        <w:rPr>
          <w:rFonts w:asciiTheme="minorHAnsi" w:hAnsiTheme="minorHAnsi" w:cs="Calibri Light"/>
          <w:spacing w:val="-1"/>
        </w:rPr>
        <w:t xml:space="preserve">Les </w:t>
      </w:r>
      <w:r w:rsidR="00326957">
        <w:rPr>
          <w:rFonts w:asciiTheme="minorHAnsi" w:hAnsiTheme="minorHAnsi" w:cs="Calibri Light"/>
          <w:spacing w:val="-1"/>
        </w:rPr>
        <w:t xml:space="preserve">structures d’hébergement placées sur les </w:t>
      </w:r>
      <w:r w:rsidRPr="00DA6BD2">
        <w:rPr>
          <w:rFonts w:asciiTheme="minorHAnsi" w:hAnsiTheme="minorHAnsi" w:cs="Calibri Light"/>
          <w:spacing w:val="-1"/>
        </w:rPr>
        <w:t xml:space="preserve">emplacements réservés au camping résidentiel pourront </w:t>
      </w:r>
      <w:r w:rsidR="00326957">
        <w:rPr>
          <w:rFonts w:asciiTheme="minorHAnsi" w:hAnsiTheme="minorHAnsi" w:cs="Calibri Light"/>
          <w:spacing w:val="-1"/>
        </w:rPr>
        <w:t xml:space="preserve">également </w:t>
      </w:r>
      <w:r w:rsidRPr="00DA6BD2">
        <w:rPr>
          <w:rFonts w:asciiTheme="minorHAnsi" w:hAnsiTheme="minorHAnsi" w:cs="Calibri Light"/>
          <w:spacing w:val="-1"/>
        </w:rPr>
        <w:t>être taxés comme secondes résidences.</w:t>
      </w:r>
    </w:p>
    <w:p w14:paraId="013877DA" w14:textId="77777777" w:rsidR="00954869" w:rsidRDefault="00954869" w:rsidP="008D7EB7">
      <w:pPr>
        <w:spacing w:before="120" w:after="240"/>
        <w:jc w:val="both"/>
        <w:textAlignment w:val="baseline"/>
        <w:rPr>
          <w:rFonts w:asciiTheme="minorHAnsi" w:hAnsiTheme="minorHAnsi" w:cs="Calibri Light"/>
          <w:spacing w:val="-1"/>
        </w:rPr>
      </w:pPr>
    </w:p>
    <w:p w14:paraId="0C4FDBF5" w14:textId="565DD059" w:rsidR="009D393B" w:rsidRPr="00DA6BD2" w:rsidRDefault="00C82157" w:rsidP="00256E9F">
      <w:pPr>
        <w:pStyle w:val="Sam3"/>
      </w:pPr>
      <w:bookmarkStart w:id="6600" w:name="_Toc74557784"/>
      <w:r>
        <w:lastRenderedPageBreak/>
        <w:t>040/364-29 : D</w:t>
      </w:r>
      <w:r w:rsidR="009D393B">
        <w:t>épôts de mitraille</w:t>
      </w:r>
      <w:r w:rsidR="00453DE5" w:rsidRPr="00BF267F">
        <w:t>s</w:t>
      </w:r>
      <w:r w:rsidR="009D393B">
        <w:t xml:space="preserve"> et de véhicules usagés</w:t>
      </w:r>
      <w:r w:rsidR="003A3E72">
        <w:t xml:space="preserve"> et véhicules isolés abandonnés</w:t>
      </w:r>
      <w:bookmarkEnd w:id="6600"/>
      <w:r w:rsidR="009D393B">
        <w:t xml:space="preserve"> </w:t>
      </w:r>
    </w:p>
    <w:p w14:paraId="6EB600F8" w14:textId="77777777" w:rsidR="00705A12" w:rsidRDefault="00705A12" w:rsidP="00E063FD">
      <w:pPr>
        <w:rPr>
          <w:rFonts w:cs="Calibri Light"/>
          <w:spacing w:val="-3"/>
        </w:rPr>
      </w:pPr>
      <w:r>
        <w:rPr>
          <w:rFonts w:cs="Calibri Light"/>
          <w:spacing w:val="-3"/>
        </w:rPr>
        <w:t>Taxe directe – Modèle disponible.</w:t>
      </w:r>
    </w:p>
    <w:p w14:paraId="5750286C" w14:textId="5E7CBF97"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spacing w:val="-3"/>
        </w:rPr>
        <w:t xml:space="preserve">Je vous invite à adopter des règlements distincts en ce qui concerne la taxe sur les dépôts de mitrailles et de véhicules usagés </w:t>
      </w:r>
      <w:r w:rsidR="00B26750" w:rsidRPr="00A310A8">
        <w:rPr>
          <w:rFonts w:asciiTheme="minorHAnsi" w:hAnsiTheme="minorHAnsi" w:cs="Calibri Light"/>
          <w:spacing w:val="-3"/>
        </w:rPr>
        <w:t>(04001/364-29)</w:t>
      </w:r>
      <w:r w:rsidR="00B26750">
        <w:rPr>
          <w:rFonts w:asciiTheme="minorHAnsi" w:hAnsiTheme="minorHAnsi" w:cs="Calibri Light"/>
          <w:color w:val="0000FF"/>
          <w:spacing w:val="-3"/>
        </w:rPr>
        <w:t xml:space="preserve"> </w:t>
      </w:r>
      <w:r w:rsidRPr="00DA6BD2">
        <w:rPr>
          <w:rFonts w:asciiTheme="minorHAnsi" w:hAnsiTheme="minorHAnsi" w:cs="Calibri Light"/>
          <w:spacing w:val="-3"/>
        </w:rPr>
        <w:t>et la taxe sur les véhicules isolés abandonnés</w:t>
      </w:r>
      <w:r w:rsidR="00B26750">
        <w:rPr>
          <w:rFonts w:asciiTheme="minorHAnsi" w:hAnsiTheme="minorHAnsi" w:cs="Calibri Light"/>
          <w:spacing w:val="-3"/>
        </w:rPr>
        <w:t xml:space="preserve"> </w:t>
      </w:r>
      <w:r w:rsidR="00B26750" w:rsidRPr="008D7EB7">
        <w:rPr>
          <w:rFonts w:asciiTheme="minorHAnsi" w:hAnsiTheme="minorHAnsi" w:cs="Calibri Light"/>
          <w:spacing w:val="-3"/>
        </w:rPr>
        <w:t>(</w:t>
      </w:r>
      <w:r w:rsidR="00B26750" w:rsidRPr="00BF267F">
        <w:rPr>
          <w:rFonts w:asciiTheme="minorHAnsi" w:hAnsiTheme="minorHAnsi" w:cs="Calibri Light"/>
          <w:spacing w:val="-3"/>
        </w:rPr>
        <w:t>0</w:t>
      </w:r>
      <w:r w:rsidR="00B26750" w:rsidRPr="00A310A8">
        <w:rPr>
          <w:rFonts w:asciiTheme="minorHAnsi" w:hAnsiTheme="minorHAnsi" w:cs="Calibri Light"/>
          <w:spacing w:val="-3"/>
        </w:rPr>
        <w:t>4002/364-29)</w:t>
      </w:r>
      <w:r w:rsidRPr="00DA6BD2">
        <w:rPr>
          <w:rFonts w:asciiTheme="minorHAnsi" w:hAnsiTheme="minorHAnsi" w:cs="Calibri Light"/>
          <w:spacing w:val="-3"/>
        </w:rPr>
        <w:t xml:space="preserve">. En effet, la taxe sur le dépôt de </w:t>
      </w:r>
      <w:r w:rsidRPr="00DA6BD2">
        <w:rPr>
          <w:rFonts w:asciiTheme="minorHAnsi" w:hAnsiTheme="minorHAnsi" w:cs="Calibri Light"/>
        </w:rPr>
        <w:t>mitrailles et de véhicules usagés vise exclusivement une exploitation commerciale alors que la taxe sur les véhicules isolés abandonnés vise un particulier.</w:t>
      </w:r>
    </w:p>
    <w:p w14:paraId="21FD7A23" w14:textId="2D71C511" w:rsidR="00EF3BE8" w:rsidRPr="008D7EB7" w:rsidRDefault="00337119" w:rsidP="003A3E72">
      <w:pPr>
        <w:spacing w:before="120"/>
        <w:jc w:val="both"/>
        <w:textAlignment w:val="baseline"/>
        <w:rPr>
          <w:rFonts w:asciiTheme="minorHAnsi" w:hAnsiTheme="minorHAnsi" w:cs="Calibri Light"/>
        </w:rPr>
      </w:pPr>
      <w:bookmarkStart w:id="6601" w:name="_Hlk34938360"/>
      <w:r>
        <w:rPr>
          <w:rFonts w:asciiTheme="minorHAnsi" w:hAnsiTheme="minorHAnsi" w:cs="Calibri Light"/>
        </w:rPr>
        <w:t>Par véhicule abandonné, on entend t</w:t>
      </w:r>
      <w:r w:rsidR="00EF3BE8" w:rsidRPr="00EF3BE8">
        <w:rPr>
          <w:rFonts w:asciiTheme="minorHAnsi" w:hAnsiTheme="minorHAnsi" w:cs="Calibri Light"/>
        </w:rPr>
        <w:t xml:space="preserve">out véhicule destiné au transport de personnes et ou de biens qui n'est plus en état d'être déplacé par sa propre force motrice ou qui ne dispose pas d’un certificat de contrôle technique en cours de validité lui permettant de circuler, qu'il soit </w:t>
      </w:r>
      <w:r w:rsidR="008157B5" w:rsidRPr="00EF3BE8">
        <w:rPr>
          <w:rFonts w:asciiTheme="minorHAnsi" w:hAnsiTheme="minorHAnsi" w:cs="Calibri Light"/>
        </w:rPr>
        <w:t xml:space="preserve">visible ou non de la voie publique </w:t>
      </w:r>
      <w:r w:rsidR="008157B5">
        <w:rPr>
          <w:rFonts w:asciiTheme="minorHAnsi" w:hAnsiTheme="minorHAnsi" w:cs="Calibri Light"/>
        </w:rPr>
        <w:t xml:space="preserve">et </w:t>
      </w:r>
      <w:r w:rsidR="00EF3BE8" w:rsidRPr="00EF3BE8">
        <w:rPr>
          <w:rFonts w:asciiTheme="minorHAnsi" w:hAnsiTheme="minorHAnsi" w:cs="Calibri Light"/>
        </w:rPr>
        <w:t>recouvert ou non d'une bâche ou de tout autre moyen similaire de couverture.</w:t>
      </w:r>
    </w:p>
    <w:p w14:paraId="061887D2" w14:textId="07EC6165" w:rsidR="00DC04FE" w:rsidRPr="00DC04FE" w:rsidRDefault="00DC04FE" w:rsidP="003A3E72">
      <w:pPr>
        <w:spacing w:before="120"/>
        <w:jc w:val="both"/>
        <w:textAlignment w:val="baseline"/>
        <w:rPr>
          <w:rFonts w:asciiTheme="minorHAnsi" w:hAnsiTheme="minorHAnsi" w:cs="Calibri Light"/>
        </w:rPr>
      </w:pPr>
      <w:bookmarkStart w:id="6602" w:name="_Hlk39393852"/>
      <w:r w:rsidRPr="008D7EB7">
        <w:rPr>
          <w:rFonts w:asciiTheme="minorHAnsi" w:hAnsiTheme="minorHAnsi" w:cs="Calibri Light"/>
        </w:rPr>
        <w:t>Il ressort de cette définition que la taxe sur les véhicules isolé</w:t>
      </w:r>
      <w:r w:rsidR="00BF4C17">
        <w:rPr>
          <w:rFonts w:asciiTheme="minorHAnsi" w:hAnsiTheme="minorHAnsi" w:cs="Calibri Light"/>
        </w:rPr>
        <w:t>s</w:t>
      </w:r>
      <w:r w:rsidRPr="008D7EB7">
        <w:rPr>
          <w:rFonts w:asciiTheme="minorHAnsi" w:hAnsiTheme="minorHAnsi" w:cs="Calibri Light"/>
        </w:rPr>
        <w:t xml:space="preserve"> abandonn</w:t>
      </w:r>
      <w:r w:rsidR="00BF4C17">
        <w:rPr>
          <w:rFonts w:asciiTheme="minorHAnsi" w:hAnsiTheme="minorHAnsi" w:cs="Calibri Light"/>
        </w:rPr>
        <w:t>é</w:t>
      </w:r>
      <w:r w:rsidRPr="008D7EB7">
        <w:rPr>
          <w:rFonts w:asciiTheme="minorHAnsi" w:hAnsiTheme="minorHAnsi" w:cs="Calibri Light"/>
        </w:rPr>
        <w:t>s ne concerne que les véhicules sur les terrains privés.</w:t>
      </w:r>
    </w:p>
    <w:bookmarkEnd w:id="6601"/>
    <w:bookmarkEnd w:id="6602"/>
    <w:p w14:paraId="392B9AAA"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Taux maxima recommandés :</w:t>
      </w:r>
    </w:p>
    <w:p w14:paraId="58D94705" w14:textId="70DBD5B1" w:rsidR="009B153C" w:rsidRPr="008D7EB7" w:rsidRDefault="009964D3" w:rsidP="007C013F">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 xml:space="preserve">10,50 </w:t>
      </w:r>
      <w:r w:rsidR="009B153C" w:rsidRPr="008D7EB7">
        <w:rPr>
          <w:rFonts w:asciiTheme="minorHAnsi" w:hAnsiTheme="minorHAnsi" w:cs="Calibri Light"/>
        </w:rPr>
        <w:t>euros</w:t>
      </w:r>
      <w:r w:rsidR="000D1361" w:rsidRPr="008D7EB7">
        <w:rPr>
          <w:rFonts w:asciiTheme="minorHAnsi" w:hAnsiTheme="minorHAnsi" w:cs="Calibri Light"/>
        </w:rPr>
        <w:t xml:space="preserve"> </w:t>
      </w:r>
      <w:r w:rsidR="009B153C" w:rsidRPr="008D7EB7">
        <w:rPr>
          <w:rFonts w:asciiTheme="minorHAnsi" w:hAnsiTheme="minorHAnsi" w:cs="Calibri Light"/>
        </w:rPr>
        <w:t xml:space="preserve">/m2 </w:t>
      </w:r>
      <w:r w:rsidR="00E330C0">
        <w:rPr>
          <w:rFonts w:asciiTheme="minorHAnsi" w:hAnsiTheme="minorHAnsi" w:cs="Calibri Light"/>
        </w:rPr>
        <w:t>avec un montant maximum de</w:t>
      </w:r>
      <w:r w:rsidR="00E330C0" w:rsidRPr="008D7EB7">
        <w:rPr>
          <w:rFonts w:asciiTheme="minorHAnsi" w:hAnsiTheme="minorHAnsi" w:cs="Calibri Light"/>
        </w:rPr>
        <w:t xml:space="preserve"> </w:t>
      </w:r>
      <w:r w:rsidRPr="008D7EB7">
        <w:rPr>
          <w:rFonts w:asciiTheme="minorHAnsi" w:hAnsiTheme="minorHAnsi" w:cs="Calibri Light"/>
        </w:rPr>
        <w:t>5.500</w:t>
      </w:r>
      <w:r w:rsidR="00BF267F"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euros/an par installation.</w:t>
      </w:r>
    </w:p>
    <w:p w14:paraId="22866DCC" w14:textId="56D051E4" w:rsidR="009D393B" w:rsidRPr="008D7EB7" w:rsidRDefault="009964D3" w:rsidP="007C013F">
      <w:pPr>
        <w:pStyle w:val="Paragraphedeliste"/>
        <w:numPr>
          <w:ilvl w:val="0"/>
          <w:numId w:val="162"/>
        </w:numPr>
        <w:tabs>
          <w:tab w:val="left" w:pos="144"/>
        </w:tabs>
        <w:ind w:left="499" w:hanging="357"/>
        <w:jc w:val="both"/>
        <w:textAlignment w:val="baseline"/>
        <w:rPr>
          <w:rFonts w:asciiTheme="minorHAnsi" w:hAnsiTheme="minorHAnsi" w:cs="Calibri Light"/>
        </w:rPr>
      </w:pPr>
      <w:r w:rsidRPr="008D7EB7">
        <w:rPr>
          <w:rFonts w:asciiTheme="minorHAnsi" w:hAnsiTheme="minorHAnsi" w:cs="Calibri Light"/>
        </w:rPr>
        <w:t>850</w:t>
      </w:r>
      <w:r w:rsidR="00BF267F"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euros par véhicule isolé abandonné</w:t>
      </w:r>
    </w:p>
    <w:p w14:paraId="08F39C87" w14:textId="77777777" w:rsidR="00BF267F" w:rsidRPr="00493337" w:rsidRDefault="00BF267F" w:rsidP="00256E9F">
      <w:pPr>
        <w:pStyle w:val="Sam3"/>
      </w:pPr>
    </w:p>
    <w:p w14:paraId="18901372" w14:textId="76B230ED" w:rsidR="009D393B" w:rsidRPr="009D393B" w:rsidRDefault="00C82157" w:rsidP="00256E9F">
      <w:pPr>
        <w:pStyle w:val="Sam3"/>
      </w:pPr>
      <w:bookmarkStart w:id="6603" w:name="_Toc6997807"/>
      <w:bookmarkStart w:id="6604" w:name="_Toc7016583"/>
      <w:bookmarkStart w:id="6605" w:name="_Toc7020751"/>
      <w:bookmarkStart w:id="6606" w:name="_Toc7094823"/>
      <w:bookmarkStart w:id="6607" w:name="_Toc8121858"/>
      <w:bookmarkStart w:id="6608" w:name="_Toc8129799"/>
      <w:bookmarkStart w:id="6609" w:name="_Toc74557785"/>
      <w:bookmarkEnd w:id="6603"/>
      <w:bookmarkEnd w:id="6604"/>
      <w:bookmarkEnd w:id="6605"/>
      <w:bookmarkEnd w:id="6606"/>
      <w:bookmarkEnd w:id="6607"/>
      <w:bookmarkEnd w:id="6608"/>
      <w:r>
        <w:t xml:space="preserve">040/364-30 : </w:t>
      </w:r>
      <w:r w:rsidR="001D6A79">
        <w:t>Établissements</w:t>
      </w:r>
      <w:r w:rsidR="009D393B">
        <w:t xml:space="preserve"> dangereux, insalubres et incommodes ainsi que ceux visés par le permis d’environnement</w:t>
      </w:r>
      <w:bookmarkEnd w:id="6609"/>
    </w:p>
    <w:p w14:paraId="6A46AB9E" w14:textId="77777777" w:rsidR="00705A12" w:rsidRDefault="00705A12" w:rsidP="00E063FD">
      <w:pPr>
        <w:rPr>
          <w:rFonts w:cs="Calibri Light"/>
        </w:rPr>
      </w:pPr>
      <w:r>
        <w:rPr>
          <w:rFonts w:cs="Calibri Light"/>
        </w:rPr>
        <w:t>Taxe directe – Modèle disponible.</w:t>
      </w:r>
    </w:p>
    <w:p w14:paraId="3432B6DF"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Cette taxe vise communément l'établissement dont la nomenclature fait l'objet du titre premier, chapitre II, du règlement général pour la protection du travail, et l'établissement classé en vertu de l'arrêté du Gouvernement wallon du 4 juillet 2002 arrêtant la liste des projets soumis à étude d'incidences et des installations et activités classées.</w:t>
      </w:r>
    </w:p>
    <w:p w14:paraId="189E6720"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Taux maxima recommandés :</w:t>
      </w:r>
    </w:p>
    <w:p w14:paraId="0FE6EF80" w14:textId="72EDA481" w:rsidR="009B153C" w:rsidRPr="002530CB"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1</w:t>
      </w:r>
      <w:r w:rsidRPr="008D7EB7">
        <w:rPr>
          <w:rFonts w:asciiTheme="minorHAnsi" w:hAnsiTheme="minorHAnsi" w:cs="Calibri Light"/>
          <w:vertAlign w:val="superscript"/>
        </w:rPr>
        <w:t>ère</w:t>
      </w:r>
      <w:r>
        <w:rPr>
          <w:rFonts w:asciiTheme="minorHAnsi" w:hAnsiTheme="minorHAnsi" w:cs="Calibri Light"/>
        </w:rPr>
        <w:t xml:space="preserve"> </w:t>
      </w:r>
      <w:r w:rsidR="009B153C" w:rsidRPr="002530CB">
        <w:rPr>
          <w:rFonts w:asciiTheme="minorHAnsi" w:hAnsiTheme="minorHAnsi" w:cs="Calibri Light"/>
        </w:rPr>
        <w:t xml:space="preserve">classe : </w:t>
      </w:r>
      <w:r w:rsidR="009964D3" w:rsidRPr="00BF267F">
        <w:rPr>
          <w:rFonts w:asciiTheme="minorHAnsi" w:hAnsiTheme="minorHAnsi" w:cs="Calibri Light"/>
        </w:rPr>
        <w:t>220</w:t>
      </w:r>
      <w:r w:rsidR="00BF267F">
        <w:rPr>
          <w:rFonts w:asciiTheme="minorHAnsi" w:hAnsiTheme="minorHAnsi" w:cs="Calibri Light"/>
        </w:rPr>
        <w:t>,00</w:t>
      </w:r>
      <w:r w:rsidR="009964D3" w:rsidRPr="00BF267F">
        <w:rPr>
          <w:rFonts w:asciiTheme="minorHAnsi" w:hAnsiTheme="minorHAnsi" w:cs="Calibri Light"/>
        </w:rPr>
        <w:t xml:space="preserve"> </w:t>
      </w:r>
      <w:r w:rsidR="009B153C" w:rsidRPr="00BF267F">
        <w:rPr>
          <w:rFonts w:asciiTheme="minorHAnsi" w:hAnsiTheme="minorHAnsi" w:cs="Calibri Light"/>
        </w:rPr>
        <w:t>euros</w:t>
      </w:r>
      <w:r w:rsidR="00BF267F" w:rsidRPr="008D7EB7">
        <w:rPr>
          <w:rFonts w:asciiTheme="minorHAnsi" w:hAnsiTheme="minorHAnsi" w:cs="Calibri Light"/>
        </w:rPr>
        <w:t> ;</w:t>
      </w:r>
    </w:p>
    <w:p w14:paraId="297EAFCF" w14:textId="47D7C368" w:rsidR="009B153C" w:rsidRPr="008D7EB7"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2</w:t>
      </w:r>
      <w:r w:rsidRPr="008D7EB7">
        <w:rPr>
          <w:rFonts w:asciiTheme="minorHAnsi" w:hAnsiTheme="minorHAnsi" w:cs="Calibri Light"/>
          <w:vertAlign w:val="superscript"/>
        </w:rPr>
        <w:t>ème</w:t>
      </w:r>
      <w:r>
        <w:rPr>
          <w:rFonts w:asciiTheme="minorHAnsi" w:hAnsiTheme="minorHAnsi" w:cs="Calibri Light"/>
        </w:rPr>
        <w:t xml:space="preserve"> </w:t>
      </w:r>
      <w:r w:rsidR="009B153C" w:rsidRPr="008D7EB7">
        <w:rPr>
          <w:rFonts w:asciiTheme="minorHAnsi" w:hAnsiTheme="minorHAnsi" w:cs="Calibri Light"/>
        </w:rPr>
        <w:t xml:space="preserve">classe : </w:t>
      </w:r>
      <w:r w:rsidR="009964D3" w:rsidRPr="008D7EB7">
        <w:rPr>
          <w:rFonts w:asciiTheme="minorHAnsi" w:hAnsiTheme="minorHAnsi" w:cs="Calibri Light"/>
        </w:rPr>
        <w:t>110</w:t>
      </w:r>
      <w:r w:rsidR="00BF267F">
        <w:rPr>
          <w:rFonts w:asciiTheme="minorHAnsi" w:hAnsiTheme="minorHAnsi" w:cs="Calibri Light"/>
        </w:rPr>
        <w:t>,00</w:t>
      </w:r>
      <w:r w:rsidR="009964D3" w:rsidRPr="008D7EB7">
        <w:rPr>
          <w:rFonts w:asciiTheme="minorHAnsi" w:hAnsiTheme="minorHAnsi" w:cs="Calibri Light"/>
        </w:rPr>
        <w:t xml:space="preserve"> </w:t>
      </w:r>
      <w:r w:rsidR="009B153C" w:rsidRPr="008D7EB7">
        <w:rPr>
          <w:rFonts w:asciiTheme="minorHAnsi" w:hAnsiTheme="minorHAnsi" w:cs="Calibri Light"/>
        </w:rPr>
        <w:t>euros</w:t>
      </w:r>
      <w:r w:rsidR="00BF267F" w:rsidRPr="008D7EB7">
        <w:rPr>
          <w:rFonts w:asciiTheme="minorHAnsi" w:hAnsiTheme="minorHAnsi" w:cs="Calibri Light"/>
        </w:rPr>
        <w:t> ;</w:t>
      </w:r>
    </w:p>
    <w:p w14:paraId="7C2B556A" w14:textId="03BF55F4" w:rsidR="009B153C" w:rsidRPr="008D7EB7" w:rsidRDefault="009B153C"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3</w:t>
      </w:r>
      <w:r w:rsidR="006C7578" w:rsidRPr="008D7EB7">
        <w:rPr>
          <w:rFonts w:asciiTheme="minorHAnsi" w:hAnsiTheme="minorHAnsi" w:cs="Calibri Light"/>
          <w:vertAlign w:val="superscript"/>
        </w:rPr>
        <w:t>ème</w:t>
      </w:r>
      <w:r w:rsidR="006C7578">
        <w:rPr>
          <w:rFonts w:asciiTheme="minorHAnsi" w:hAnsiTheme="minorHAnsi" w:cs="Calibri Light"/>
        </w:rPr>
        <w:t xml:space="preserve"> </w:t>
      </w:r>
      <w:r w:rsidRPr="008D7EB7">
        <w:rPr>
          <w:rFonts w:asciiTheme="minorHAnsi" w:hAnsiTheme="minorHAnsi" w:cs="Calibri Light"/>
        </w:rPr>
        <w:t xml:space="preserve">classe : </w:t>
      </w:r>
      <w:r w:rsidR="009964D3" w:rsidRPr="008D7EB7">
        <w:rPr>
          <w:rFonts w:asciiTheme="minorHAnsi" w:hAnsiTheme="minorHAnsi" w:cs="Calibri Light"/>
        </w:rPr>
        <w:t>50</w:t>
      </w:r>
      <w:r w:rsidR="00BF267F">
        <w:rPr>
          <w:rFonts w:asciiTheme="minorHAnsi" w:hAnsiTheme="minorHAnsi" w:cs="Calibri Light"/>
        </w:rPr>
        <w:t>,00</w:t>
      </w:r>
      <w:r w:rsidR="009964D3" w:rsidRPr="008D7EB7">
        <w:rPr>
          <w:rFonts w:asciiTheme="minorHAnsi" w:hAnsiTheme="minorHAnsi" w:cs="Calibri Light"/>
        </w:rPr>
        <w:t xml:space="preserve"> </w:t>
      </w:r>
      <w:r w:rsidRPr="008D7EB7">
        <w:rPr>
          <w:rFonts w:asciiTheme="minorHAnsi" w:hAnsiTheme="minorHAnsi" w:cs="Calibri Light"/>
        </w:rPr>
        <w:t>euros</w:t>
      </w:r>
      <w:r w:rsidR="00BF267F" w:rsidRPr="008D7EB7">
        <w:rPr>
          <w:rFonts w:asciiTheme="minorHAnsi" w:hAnsiTheme="minorHAnsi" w:cs="Calibri Light"/>
        </w:rPr>
        <w:t>.</w:t>
      </w:r>
      <w:r w:rsidR="000D1361" w:rsidRPr="008D7EB7">
        <w:rPr>
          <w:rFonts w:asciiTheme="minorHAnsi" w:hAnsiTheme="minorHAnsi" w:cs="Calibri Light"/>
        </w:rPr>
        <w:t xml:space="preserve"> </w:t>
      </w:r>
    </w:p>
    <w:p w14:paraId="2578ACB6"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Cette taxe s'applique tant aux établissements relevant de l'ancienne (RGPT) que de la nouvelle classification (permis d'environnement).</w:t>
      </w:r>
    </w:p>
    <w:p w14:paraId="3E7C9857" w14:textId="6771BF71" w:rsidR="009B153C" w:rsidRPr="00DA6BD2" w:rsidRDefault="000D1361" w:rsidP="00E063FD">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a taxe vise l'établissement</w:t>
      </w:r>
      <w:r w:rsidR="001939CE">
        <w:rPr>
          <w:rFonts w:asciiTheme="minorHAnsi" w:hAnsiTheme="minorHAnsi" w:cs="Calibri Light"/>
        </w:rPr>
        <w:t xml:space="preserve">, </w:t>
      </w:r>
      <w:r w:rsidR="009B153C" w:rsidRPr="00DA6BD2">
        <w:rPr>
          <w:rFonts w:asciiTheme="minorHAnsi" w:hAnsiTheme="minorHAnsi" w:cs="Calibri Light"/>
        </w:rPr>
        <w:t>et non les activités ou installations</w:t>
      </w:r>
      <w:r w:rsidR="001939CE">
        <w:rPr>
          <w:rFonts w:asciiTheme="minorHAnsi" w:hAnsiTheme="minorHAnsi" w:cs="Calibri Light"/>
        </w:rPr>
        <w:t>,</w:t>
      </w:r>
      <w:r w:rsidR="009B153C" w:rsidRPr="00DA6BD2">
        <w:rPr>
          <w:rFonts w:asciiTheme="minorHAnsi" w:hAnsiTheme="minorHAnsi" w:cs="Calibri Light"/>
        </w:rPr>
        <w:t xml:space="preserve"> et que la classe de l'établissement est déterminée par l'installation ou l'activité qu'il contient qui a le plus d'impact sur l'</w:t>
      </w:r>
      <w:r w:rsidR="003A3E72">
        <w:rPr>
          <w:rFonts w:asciiTheme="minorHAnsi" w:hAnsiTheme="minorHAnsi" w:cs="Calibri Light"/>
        </w:rPr>
        <w:t>H</w:t>
      </w:r>
      <w:r w:rsidR="009B153C" w:rsidRPr="00DA6BD2">
        <w:rPr>
          <w:rFonts w:asciiTheme="minorHAnsi" w:hAnsiTheme="minorHAnsi" w:cs="Calibri Light"/>
        </w:rPr>
        <w:t xml:space="preserve">omme ou </w:t>
      </w:r>
      <w:r w:rsidR="009B153C" w:rsidRPr="00E063FD">
        <w:rPr>
          <w:rFonts w:asciiTheme="minorHAnsi" w:hAnsiTheme="minorHAnsi" w:cs="Calibri Light"/>
        </w:rPr>
        <w:t>l'environnement</w:t>
      </w:r>
      <w:r w:rsidR="001939CE">
        <w:rPr>
          <w:rStyle w:val="Appelnotedebasdep"/>
          <w:rFonts w:asciiTheme="minorHAnsi" w:hAnsiTheme="minorHAnsi" w:cs="Calibri Light"/>
        </w:rPr>
        <w:footnoteReference w:id="164"/>
      </w:r>
      <w:r w:rsidR="009B153C" w:rsidRPr="00E063FD">
        <w:rPr>
          <w:rFonts w:asciiTheme="minorHAnsi" w:hAnsiTheme="minorHAnsi" w:cs="Calibri Light"/>
        </w:rPr>
        <w:t>.</w:t>
      </w:r>
    </w:p>
    <w:p w14:paraId="4CED0FE8"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Afin de ne pas pénaliser l'acte citoyen participant à la protection de l'environnement, il est possible de prévoir une exonération :</w:t>
      </w:r>
    </w:p>
    <w:p w14:paraId="3D880A01" w14:textId="11CA4AB0" w:rsidR="009B153C" w:rsidRDefault="006C7578" w:rsidP="007C013F">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Pr>
          <w:rFonts w:asciiTheme="minorHAnsi" w:hAnsiTheme="minorHAnsi" w:cs="Calibri Light"/>
        </w:rPr>
        <w:t>p</w:t>
      </w:r>
      <w:r w:rsidR="009B153C" w:rsidRPr="002530CB">
        <w:rPr>
          <w:rFonts w:asciiTheme="minorHAnsi" w:hAnsiTheme="minorHAnsi" w:cs="Calibri Light"/>
        </w:rPr>
        <w:t>our</w:t>
      </w:r>
      <w:proofErr w:type="gramEnd"/>
      <w:r w:rsidR="009B153C" w:rsidRPr="002530CB">
        <w:rPr>
          <w:rFonts w:asciiTheme="minorHAnsi" w:hAnsiTheme="minorHAnsi" w:cs="Calibri Light"/>
        </w:rPr>
        <w:t xml:space="preserve"> les stations d'épuration individuelle dont la capacité de traitement est inférie</w:t>
      </w:r>
      <w:r w:rsidR="009B153C">
        <w:rPr>
          <w:rFonts w:asciiTheme="minorHAnsi" w:hAnsiTheme="minorHAnsi" w:cs="Calibri Light"/>
        </w:rPr>
        <w:t>ure à 100 équivalents-habitants ;</w:t>
      </w:r>
    </w:p>
    <w:p w14:paraId="26F49039" w14:textId="18A0065A" w:rsidR="009B153C" w:rsidRPr="002530CB" w:rsidRDefault="006C7578" w:rsidP="007C013F">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Pr>
          <w:rFonts w:asciiTheme="minorHAnsi" w:hAnsiTheme="minorHAnsi" w:cs="Calibri Light"/>
        </w:rPr>
        <w:t>p</w:t>
      </w:r>
      <w:r w:rsidR="009B153C" w:rsidRPr="008D7EB7">
        <w:rPr>
          <w:rFonts w:asciiTheme="minorHAnsi" w:hAnsiTheme="minorHAnsi" w:cs="Calibri Light"/>
        </w:rPr>
        <w:t>our</w:t>
      </w:r>
      <w:proofErr w:type="gramEnd"/>
      <w:r w:rsidR="009B153C" w:rsidRPr="008D7EB7">
        <w:rPr>
          <w:rFonts w:asciiTheme="minorHAnsi" w:hAnsiTheme="minorHAnsi" w:cs="Calibri Light"/>
        </w:rPr>
        <w:t xml:space="preserve"> les pompes à chaleur.</w:t>
      </w:r>
    </w:p>
    <w:p w14:paraId="017F0C78" w14:textId="7F01480E" w:rsidR="003F47DF"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J'invite les autorités locales à exonérer les ruchers.</w:t>
      </w:r>
    </w:p>
    <w:p w14:paraId="2E7105F2" w14:textId="15338562" w:rsidR="00705A12" w:rsidRDefault="009D393B" w:rsidP="00256E9F">
      <w:pPr>
        <w:pStyle w:val="Sam3"/>
      </w:pPr>
      <w:bookmarkStart w:id="6610" w:name="_Toc74557786"/>
      <w:r>
        <w:lastRenderedPageBreak/>
        <w:t>040/364-32 :</w:t>
      </w:r>
      <w:r w:rsidR="00C82157">
        <w:t xml:space="preserve"> A</w:t>
      </w:r>
      <w:r>
        <w:t>gences bancaires</w:t>
      </w:r>
      <w:bookmarkEnd w:id="6610"/>
      <w:r>
        <w:t xml:space="preserve"> </w:t>
      </w:r>
    </w:p>
    <w:p w14:paraId="40FDD5F4" w14:textId="77777777" w:rsidR="009D393B" w:rsidRPr="006126A1" w:rsidRDefault="00705A12" w:rsidP="00E063FD">
      <w:r w:rsidRPr="00E063FD">
        <w:t>T</w:t>
      </w:r>
      <w:r w:rsidR="009D393B" w:rsidRPr="00E063FD">
        <w:t>axe directe</w:t>
      </w:r>
      <w:r w:rsidRPr="00E063FD">
        <w:t xml:space="preserve"> – Modèle disponible.</w:t>
      </w:r>
    </w:p>
    <w:p w14:paraId="6505BE97" w14:textId="77777777" w:rsidR="009B153C" w:rsidRPr="00DA6BD2" w:rsidRDefault="009B153C" w:rsidP="00E063FD">
      <w:pPr>
        <w:spacing w:before="120"/>
        <w:jc w:val="both"/>
        <w:textAlignment w:val="baseline"/>
        <w:rPr>
          <w:rFonts w:asciiTheme="minorHAnsi" w:hAnsiTheme="minorHAnsi" w:cs="Calibri Light"/>
          <w:b/>
        </w:rPr>
      </w:pPr>
      <w:r w:rsidRPr="00DA6BD2">
        <w:rPr>
          <w:rFonts w:asciiTheme="minorHAnsi" w:hAnsiTheme="minorHAnsi" w:cs="Calibri Light"/>
        </w:rPr>
        <w:t>Sont visées les entreprises dont l'activité consiste :</w:t>
      </w:r>
    </w:p>
    <w:p w14:paraId="19143F62" w14:textId="2F7EC1CA" w:rsidR="008353A6" w:rsidRDefault="006C7578" w:rsidP="008353A6">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à</w:t>
      </w:r>
      <w:proofErr w:type="gramEnd"/>
      <w:r w:rsidRPr="008D7EB7">
        <w:rPr>
          <w:rFonts w:asciiTheme="minorHAnsi" w:hAnsiTheme="minorHAnsi" w:cs="Calibri Light"/>
        </w:rPr>
        <w:t xml:space="preserve"> </w:t>
      </w:r>
      <w:r w:rsidR="009B153C" w:rsidRPr="008D7EB7">
        <w:rPr>
          <w:rFonts w:asciiTheme="minorHAnsi" w:hAnsiTheme="minorHAnsi" w:cs="Calibri Light"/>
        </w:rPr>
        <w:t>recevoir du public des dépôts ou d'autres fonds remboursables</w:t>
      </w:r>
      <w:r w:rsidR="008353A6">
        <w:rPr>
          <w:rFonts w:asciiTheme="minorHAnsi" w:hAnsiTheme="minorHAnsi" w:cs="Calibri Light"/>
        </w:rPr>
        <w:t>,</w:t>
      </w:r>
      <w:r w:rsidR="009B153C" w:rsidRPr="008D7EB7">
        <w:rPr>
          <w:rFonts w:asciiTheme="minorHAnsi" w:hAnsiTheme="minorHAnsi" w:cs="Calibri Light"/>
        </w:rPr>
        <w:t xml:space="preserve"> </w:t>
      </w:r>
    </w:p>
    <w:p w14:paraId="4E5A6DC6" w14:textId="7BD798F7" w:rsidR="008353A6" w:rsidRPr="00256E9F" w:rsidRDefault="008353A6" w:rsidP="008353A6">
      <w:pPr>
        <w:tabs>
          <w:tab w:val="left" w:pos="144"/>
        </w:tabs>
        <w:spacing w:before="120"/>
        <w:ind w:left="144"/>
        <w:jc w:val="both"/>
        <w:textAlignment w:val="baseline"/>
        <w:rPr>
          <w:rFonts w:asciiTheme="minorHAnsi" w:hAnsiTheme="minorHAnsi" w:cs="Calibri Light"/>
        </w:rPr>
      </w:pPr>
      <w:proofErr w:type="gramStart"/>
      <w:r w:rsidRPr="00256E9F">
        <w:rPr>
          <w:rFonts w:asciiTheme="minorHAnsi" w:hAnsiTheme="minorHAnsi" w:cs="Calibri Light"/>
        </w:rPr>
        <w:t>OU</w:t>
      </w:r>
      <w:proofErr w:type="gramEnd"/>
    </w:p>
    <w:p w14:paraId="0F10FA42" w14:textId="70C4A47E" w:rsidR="009B153C" w:rsidRPr="00DA6BD2"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à</w:t>
      </w:r>
      <w:proofErr w:type="gramEnd"/>
      <w:r w:rsidRPr="00DA6BD2">
        <w:rPr>
          <w:rFonts w:asciiTheme="minorHAnsi" w:hAnsiTheme="minorHAnsi" w:cs="Calibri Light"/>
        </w:rPr>
        <w:t xml:space="preserve"> </w:t>
      </w:r>
      <w:r w:rsidR="009B153C" w:rsidRPr="00DA6BD2">
        <w:rPr>
          <w:rFonts w:asciiTheme="minorHAnsi" w:hAnsiTheme="minorHAnsi" w:cs="Calibri Light"/>
        </w:rPr>
        <w:t>octroyer des crédits pour son propre compte ou pour le compte d'un organisme avec lequel elle a conclu un contrat d'agence ou de représentation, ou pour le compte duquel elle exerce une activité d'intermédiaire de crédit,</w:t>
      </w:r>
    </w:p>
    <w:p w14:paraId="195D6A21" w14:textId="77777777" w:rsidR="009B153C" w:rsidRPr="00DA6BD2" w:rsidRDefault="009B153C" w:rsidP="00E063FD">
      <w:pPr>
        <w:spacing w:before="120"/>
        <w:jc w:val="both"/>
        <w:textAlignment w:val="baseline"/>
        <w:rPr>
          <w:rFonts w:asciiTheme="minorHAnsi" w:hAnsiTheme="minorHAnsi" w:cs="Calibri Light"/>
          <w:spacing w:val="-3"/>
        </w:rPr>
      </w:pPr>
      <w:r w:rsidRPr="00DA6BD2">
        <w:rPr>
          <w:rFonts w:asciiTheme="minorHAnsi" w:hAnsiTheme="minorHAnsi" w:cs="Calibri Light"/>
          <w:spacing w:val="-3"/>
        </w:rPr>
        <w:t>OU LES DEUX.</w:t>
      </w:r>
    </w:p>
    <w:p w14:paraId="2FBD37A6" w14:textId="0EDEBA9B"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w:t>
      </w:r>
      <w:r w:rsidRPr="006C7578">
        <w:rPr>
          <w:rFonts w:asciiTheme="minorHAnsi" w:hAnsiTheme="minorHAnsi" w:cs="Calibri Light"/>
          <w:spacing w:val="-1"/>
        </w:rPr>
        <w:t xml:space="preserve">: </w:t>
      </w:r>
      <w:r w:rsidR="009964D3" w:rsidRPr="006C7578">
        <w:rPr>
          <w:rFonts w:asciiTheme="minorHAnsi" w:hAnsiTheme="minorHAnsi" w:cs="Calibri Light"/>
          <w:spacing w:val="-1"/>
        </w:rPr>
        <w:t>500</w:t>
      </w:r>
      <w:r w:rsidR="006C7578" w:rsidRPr="008D7EB7">
        <w:rPr>
          <w:rFonts w:asciiTheme="minorHAnsi" w:hAnsiTheme="minorHAnsi" w:cs="Calibri Light"/>
          <w:spacing w:val="-1"/>
        </w:rPr>
        <w:t>,00</w:t>
      </w:r>
      <w:r w:rsidR="009964D3" w:rsidRPr="006C7578">
        <w:rPr>
          <w:rFonts w:asciiTheme="minorHAnsi" w:hAnsiTheme="minorHAnsi" w:cs="Calibri Light"/>
          <w:spacing w:val="-1"/>
        </w:rPr>
        <w:t xml:space="preserve"> </w:t>
      </w:r>
      <w:r w:rsidRPr="006C7578">
        <w:rPr>
          <w:rFonts w:asciiTheme="minorHAnsi" w:hAnsiTheme="minorHAnsi" w:cs="Calibri Light"/>
          <w:spacing w:val="-1"/>
        </w:rPr>
        <w:t>euros par</w:t>
      </w:r>
      <w:r w:rsidRPr="00DA6BD2">
        <w:rPr>
          <w:rFonts w:asciiTheme="minorHAnsi" w:hAnsiTheme="minorHAnsi" w:cs="Calibri Light"/>
          <w:spacing w:val="-1"/>
        </w:rPr>
        <w:t xml:space="preserve"> poste de réception.</w:t>
      </w:r>
    </w:p>
    <w:p w14:paraId="090CB5F9" w14:textId="77777777" w:rsidR="009B153C" w:rsidRPr="00DA6BD2" w:rsidRDefault="009B153C" w:rsidP="00E063FD">
      <w:pPr>
        <w:tabs>
          <w:tab w:val="left" w:pos="7560"/>
        </w:tabs>
        <w:spacing w:before="120"/>
        <w:jc w:val="both"/>
        <w:textAlignment w:val="baseline"/>
        <w:rPr>
          <w:rFonts w:asciiTheme="minorHAnsi" w:hAnsiTheme="minorHAnsi" w:cs="Calibri Light"/>
          <w:spacing w:val="-1"/>
        </w:rPr>
      </w:pPr>
      <w:r w:rsidRPr="00DA6BD2">
        <w:rPr>
          <w:rFonts w:asciiTheme="minorHAnsi" w:hAnsiTheme="minorHAnsi" w:cs="Calibri Light"/>
          <w:spacing w:val="-1"/>
        </w:rPr>
        <w:t>Par poste de réception, il faut entendre tout endroit (local, bureau, guichet, …) où un préposé de l'agence peut accomplir n'importe quelle opération bancaire au profit d'un client.</w:t>
      </w:r>
    </w:p>
    <w:p w14:paraId="47ADBCB1"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L'utilisation au profit d'une personne physique ou morale d'une publicité annonçant l'octroi de prêt peut être une présomption réfragable de sa qualité d'intermédiaire de crédit.</w:t>
      </w:r>
    </w:p>
    <w:p w14:paraId="6F2CA4B8" w14:textId="541E496C"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L'agence bancaire ne pourra être taxée par référence au nombre des distributeurs automatiques de billets et autres guichets automatisés dont ses clients peuvent faire usage.</w:t>
      </w:r>
    </w:p>
    <w:p w14:paraId="20D27B61" w14:textId="77777777" w:rsidR="000D1361" w:rsidRPr="00DA6BD2" w:rsidRDefault="000D1361" w:rsidP="00FB05AF">
      <w:pPr>
        <w:spacing w:after="200" w:line="276" w:lineRule="auto"/>
        <w:rPr>
          <w:rFonts w:asciiTheme="minorHAnsi" w:hAnsiTheme="minorHAnsi" w:cs="Calibri Light"/>
        </w:rPr>
      </w:pPr>
    </w:p>
    <w:p w14:paraId="1EB81F8E" w14:textId="77777777" w:rsidR="00705A12" w:rsidRDefault="009B153C" w:rsidP="00256E9F">
      <w:pPr>
        <w:pStyle w:val="Sam3"/>
      </w:pPr>
      <w:bookmarkStart w:id="6611" w:name="_Toc74557787"/>
      <w:bookmarkStart w:id="6612" w:name="_Toc512525516"/>
      <w:bookmarkStart w:id="6613" w:name="_Toc515896830"/>
      <w:r w:rsidRPr="00DA6BD2">
        <w:t>040/364-33 : Centres d'enfouissement technique</w:t>
      </w:r>
      <w:bookmarkEnd w:id="6611"/>
      <w:r w:rsidRPr="00DA6BD2">
        <w:t xml:space="preserve"> </w:t>
      </w:r>
    </w:p>
    <w:p w14:paraId="189F560B" w14:textId="48BF5E36" w:rsidR="009B153C" w:rsidRPr="00E9189F" w:rsidRDefault="00705A12" w:rsidP="00E063FD">
      <w:r w:rsidRPr="00A03E6A">
        <w:t>T</w:t>
      </w:r>
      <w:r w:rsidR="009B153C" w:rsidRPr="003F0B7B">
        <w:t>axe indirecte</w:t>
      </w:r>
      <w:r w:rsidRPr="00E9189F">
        <w:t>.</w:t>
      </w:r>
      <w:bookmarkEnd w:id="6612"/>
      <w:bookmarkEnd w:id="6613"/>
    </w:p>
    <w:p w14:paraId="33B4941A"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rPr>
        <w:t>La mise en centre d'enfouissement technique des déchets, à l'exception des matières enlevées du lit et</w:t>
      </w:r>
      <w:r>
        <w:rPr>
          <w:rFonts w:asciiTheme="minorHAnsi" w:hAnsiTheme="minorHAnsi" w:cs="Calibri Light"/>
        </w:rPr>
        <w:t xml:space="preserve"> </w:t>
      </w:r>
      <w:r w:rsidRPr="00DA6BD2">
        <w:rPr>
          <w:rFonts w:asciiTheme="minorHAnsi" w:hAnsiTheme="minorHAnsi" w:cs="Calibri Light"/>
        </w:rPr>
        <w:t>des berges des voies hydrauliques régionales du fait de dragage et de curage, peut être taxée selon les</w:t>
      </w:r>
      <w:r>
        <w:rPr>
          <w:rFonts w:asciiTheme="minorHAnsi" w:hAnsiTheme="minorHAnsi" w:cs="Calibri Light"/>
        </w:rPr>
        <w:t xml:space="preserve"> </w:t>
      </w:r>
      <w:r w:rsidRPr="00DA6BD2">
        <w:rPr>
          <w:rFonts w:asciiTheme="minorHAnsi" w:hAnsiTheme="minorHAnsi" w:cs="Calibri Light"/>
          <w:spacing w:val="-1"/>
        </w:rPr>
        <w:t>taux maxima recommandés suivants :</w:t>
      </w:r>
    </w:p>
    <w:p w14:paraId="31A27473" w14:textId="22253B17" w:rsidR="009B153C" w:rsidRPr="006C7578"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c</w:t>
      </w:r>
      <w:r w:rsidR="009B153C" w:rsidRPr="002530CB">
        <w:rPr>
          <w:rFonts w:asciiTheme="minorHAnsi" w:hAnsiTheme="minorHAnsi" w:cs="Calibri Light"/>
        </w:rPr>
        <w:t>entre</w:t>
      </w:r>
      <w:proofErr w:type="gramEnd"/>
      <w:r w:rsidR="009B153C" w:rsidRPr="002530CB">
        <w:rPr>
          <w:rFonts w:asciiTheme="minorHAnsi" w:hAnsiTheme="minorHAnsi" w:cs="Calibri Light"/>
        </w:rPr>
        <w:t xml:space="preserve"> d'enfouissement technique de classe 1 </w:t>
      </w:r>
      <w:r w:rsidR="009B153C" w:rsidRPr="008D7EB7">
        <w:rPr>
          <w:rFonts w:asciiTheme="minorHAnsi" w:hAnsiTheme="minorHAnsi" w:cs="Calibri Light"/>
        </w:rPr>
        <w:t xml:space="preserve">: </w:t>
      </w:r>
      <w:r w:rsidR="009B153C" w:rsidRPr="002530CB">
        <w:rPr>
          <w:rFonts w:asciiTheme="minorHAnsi" w:hAnsiTheme="minorHAnsi" w:cs="Calibri Light"/>
        </w:rPr>
        <w:t xml:space="preserve">de </w:t>
      </w:r>
      <w:r w:rsidR="009964D3" w:rsidRPr="006C7578">
        <w:rPr>
          <w:rFonts w:asciiTheme="minorHAnsi" w:hAnsiTheme="minorHAnsi" w:cs="Calibri Light"/>
        </w:rPr>
        <w:t xml:space="preserve">3,50 </w:t>
      </w:r>
      <w:r w:rsidR="009B153C" w:rsidRPr="006C7578">
        <w:rPr>
          <w:rFonts w:asciiTheme="minorHAnsi" w:hAnsiTheme="minorHAnsi" w:cs="Calibri Light"/>
        </w:rPr>
        <w:t>euros</w:t>
      </w:r>
      <w:r w:rsidRPr="008D7EB7">
        <w:rPr>
          <w:rFonts w:asciiTheme="minorHAnsi" w:hAnsiTheme="minorHAnsi" w:cs="Calibri Light"/>
        </w:rPr>
        <w:t xml:space="preserve"> à</w:t>
      </w:r>
      <w:r w:rsidR="009B153C" w:rsidRPr="006C7578">
        <w:rPr>
          <w:rFonts w:asciiTheme="minorHAnsi" w:hAnsiTheme="minorHAnsi" w:cs="Calibri Light"/>
        </w:rPr>
        <w:t xml:space="preserve"> </w:t>
      </w:r>
      <w:r w:rsidR="009964D3" w:rsidRPr="006C7578">
        <w:rPr>
          <w:rFonts w:asciiTheme="minorHAnsi" w:hAnsiTheme="minorHAnsi" w:cs="Calibri Light"/>
        </w:rPr>
        <w:t xml:space="preserve">5,25 </w:t>
      </w:r>
      <w:r w:rsidR="009B153C" w:rsidRPr="006C7578">
        <w:rPr>
          <w:rFonts w:asciiTheme="minorHAnsi" w:hAnsiTheme="minorHAnsi" w:cs="Calibri Light"/>
        </w:rPr>
        <w:t>euros la tonne ;</w:t>
      </w:r>
    </w:p>
    <w:p w14:paraId="405A32CC" w14:textId="36E5F50A" w:rsidR="009B153C" w:rsidRPr="006C7578"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c</w:t>
      </w:r>
      <w:r w:rsidR="009B153C" w:rsidRPr="006C7578">
        <w:rPr>
          <w:rFonts w:asciiTheme="minorHAnsi" w:hAnsiTheme="minorHAnsi" w:cs="Calibri Light"/>
        </w:rPr>
        <w:t>entre</w:t>
      </w:r>
      <w:proofErr w:type="gramEnd"/>
      <w:r w:rsidR="009B153C" w:rsidRPr="006C7578">
        <w:rPr>
          <w:rFonts w:asciiTheme="minorHAnsi" w:hAnsiTheme="minorHAnsi" w:cs="Calibri Light"/>
        </w:rPr>
        <w:t xml:space="preserve"> d'enfouissement technique de classe 2 : de </w:t>
      </w:r>
      <w:r w:rsidR="009964D3" w:rsidRPr="006C7578">
        <w:rPr>
          <w:rFonts w:asciiTheme="minorHAnsi" w:hAnsiTheme="minorHAnsi" w:cs="Calibri Light"/>
        </w:rPr>
        <w:t xml:space="preserve">1,75 </w:t>
      </w:r>
      <w:r w:rsidR="004F40BF" w:rsidRPr="006C7578">
        <w:rPr>
          <w:rFonts w:asciiTheme="minorHAnsi" w:hAnsiTheme="minorHAnsi" w:cs="Calibri Light"/>
        </w:rPr>
        <w:t xml:space="preserve">euros </w:t>
      </w:r>
      <w:r w:rsidR="009B153C" w:rsidRPr="006C7578">
        <w:rPr>
          <w:rFonts w:asciiTheme="minorHAnsi" w:hAnsiTheme="minorHAnsi" w:cs="Calibri Light"/>
        </w:rPr>
        <w:t>à</w:t>
      </w:r>
      <w:r w:rsidRPr="008D7EB7">
        <w:rPr>
          <w:rFonts w:asciiTheme="minorHAnsi" w:hAnsiTheme="minorHAnsi" w:cs="Calibri Light"/>
        </w:rPr>
        <w:t xml:space="preserve"> </w:t>
      </w:r>
      <w:r w:rsidR="009964D3" w:rsidRPr="006C7578">
        <w:rPr>
          <w:rFonts w:asciiTheme="minorHAnsi" w:hAnsiTheme="minorHAnsi" w:cs="Calibri Light"/>
        </w:rPr>
        <w:t xml:space="preserve">3,50 </w:t>
      </w:r>
      <w:r w:rsidR="009B153C" w:rsidRPr="006C7578">
        <w:rPr>
          <w:rFonts w:asciiTheme="minorHAnsi" w:hAnsiTheme="minorHAnsi" w:cs="Calibri Light"/>
        </w:rPr>
        <w:t>euros</w:t>
      </w:r>
      <w:r w:rsidR="004F40BF" w:rsidRPr="006C7578">
        <w:rPr>
          <w:rFonts w:asciiTheme="minorHAnsi" w:hAnsiTheme="minorHAnsi" w:cs="Calibri Light"/>
        </w:rPr>
        <w:t xml:space="preserve"> </w:t>
      </w:r>
      <w:r w:rsidR="009B153C" w:rsidRPr="006C7578">
        <w:rPr>
          <w:rFonts w:asciiTheme="minorHAnsi" w:hAnsiTheme="minorHAnsi" w:cs="Calibri Light"/>
        </w:rPr>
        <w:t>la tonne ;</w:t>
      </w:r>
    </w:p>
    <w:p w14:paraId="5F5B9FD6" w14:textId="38BEA1BB" w:rsidR="009B153C" w:rsidRPr="006C7578"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c</w:t>
      </w:r>
      <w:r w:rsidR="009B153C" w:rsidRPr="006C7578">
        <w:rPr>
          <w:rFonts w:asciiTheme="minorHAnsi" w:hAnsiTheme="minorHAnsi" w:cs="Calibri Light"/>
        </w:rPr>
        <w:t>entre</w:t>
      </w:r>
      <w:proofErr w:type="gramEnd"/>
      <w:r w:rsidR="009B153C" w:rsidRPr="006C7578">
        <w:rPr>
          <w:rFonts w:asciiTheme="minorHAnsi" w:hAnsiTheme="minorHAnsi" w:cs="Calibri Light"/>
        </w:rPr>
        <w:t xml:space="preserve"> d'enfouissement technique de classe 3 : de </w:t>
      </w:r>
      <w:r w:rsidR="009964D3" w:rsidRPr="006C7578">
        <w:rPr>
          <w:rFonts w:asciiTheme="minorHAnsi" w:hAnsiTheme="minorHAnsi" w:cs="Calibri Light"/>
        </w:rPr>
        <w:t xml:space="preserve">0,65 </w:t>
      </w:r>
      <w:r w:rsidR="004F40BF" w:rsidRPr="006C7578">
        <w:rPr>
          <w:rFonts w:asciiTheme="minorHAnsi" w:hAnsiTheme="minorHAnsi" w:cs="Calibri Light"/>
        </w:rPr>
        <w:t xml:space="preserve">euro </w:t>
      </w:r>
      <w:r w:rsidR="009B153C" w:rsidRPr="006C7578">
        <w:rPr>
          <w:rFonts w:asciiTheme="minorHAnsi" w:hAnsiTheme="minorHAnsi" w:cs="Calibri Light"/>
        </w:rPr>
        <w:t>à</w:t>
      </w:r>
      <w:r w:rsidRPr="008D7EB7">
        <w:rPr>
          <w:rFonts w:asciiTheme="minorHAnsi" w:hAnsiTheme="minorHAnsi" w:cs="Calibri Light"/>
        </w:rPr>
        <w:t xml:space="preserve"> </w:t>
      </w:r>
      <w:r w:rsidR="009964D3" w:rsidRPr="006C7578">
        <w:rPr>
          <w:rFonts w:asciiTheme="minorHAnsi" w:hAnsiTheme="minorHAnsi" w:cs="Calibri Light"/>
        </w:rPr>
        <w:t xml:space="preserve">1,75 </w:t>
      </w:r>
      <w:r w:rsidR="009B153C" w:rsidRPr="006C7578">
        <w:rPr>
          <w:rFonts w:asciiTheme="minorHAnsi" w:hAnsiTheme="minorHAnsi" w:cs="Calibri Light"/>
        </w:rPr>
        <w:t>euros</w:t>
      </w:r>
      <w:r w:rsidR="004F40BF" w:rsidRPr="006C7578">
        <w:rPr>
          <w:rFonts w:asciiTheme="minorHAnsi" w:hAnsiTheme="minorHAnsi" w:cs="Calibri Light"/>
        </w:rPr>
        <w:t xml:space="preserve"> </w:t>
      </w:r>
      <w:r w:rsidR="009B153C" w:rsidRPr="006C7578">
        <w:rPr>
          <w:rFonts w:asciiTheme="minorHAnsi" w:hAnsiTheme="minorHAnsi" w:cs="Calibri Light"/>
        </w:rPr>
        <w:t>la tonne.</w:t>
      </w:r>
    </w:p>
    <w:p w14:paraId="590FCBE1" w14:textId="2915E8CC" w:rsidR="009B153C" w:rsidRDefault="009B153C" w:rsidP="008D7EB7">
      <w:pPr>
        <w:spacing w:before="120" w:after="240"/>
        <w:jc w:val="both"/>
        <w:textAlignment w:val="baseline"/>
        <w:rPr>
          <w:rFonts w:asciiTheme="minorHAnsi" w:hAnsiTheme="minorHAnsi" w:cs="Calibri Light"/>
        </w:rPr>
      </w:pPr>
      <w:r w:rsidRPr="00DA6BD2">
        <w:rPr>
          <w:rFonts w:asciiTheme="minorHAnsi" w:hAnsiTheme="minorHAnsi" w:cs="Calibri Light"/>
        </w:rPr>
        <w:t>Les centres d'enfouissement technique de classe 5 ne peuvent faire l'objet d'une taxation vu qu'ils sont uniquement destinés à l'usage exclusif d'un producteur de déchets.</w:t>
      </w:r>
    </w:p>
    <w:p w14:paraId="4E0D493C" w14:textId="77777777" w:rsidR="00705A12" w:rsidRDefault="009B153C" w:rsidP="00256E9F">
      <w:pPr>
        <w:pStyle w:val="Sam3"/>
      </w:pPr>
      <w:bookmarkStart w:id="6614" w:name="_Toc74557788"/>
      <w:bookmarkStart w:id="6615" w:name="_Toc512525517"/>
      <w:bookmarkStart w:id="6616" w:name="_Toc515896831"/>
      <w:r w:rsidRPr="00DA6BD2">
        <w:t>040/364-34 : Logements loués meublés</w:t>
      </w:r>
      <w:bookmarkEnd w:id="6614"/>
      <w:r w:rsidRPr="00DA6BD2">
        <w:t xml:space="preserve"> </w:t>
      </w:r>
    </w:p>
    <w:p w14:paraId="6EBF5C1C" w14:textId="3FEAD6C7" w:rsidR="009B153C" w:rsidRPr="00E9189F" w:rsidRDefault="00705A12" w:rsidP="00E063FD">
      <w:r w:rsidRPr="00A03E6A">
        <w:t>T</w:t>
      </w:r>
      <w:r w:rsidR="009B153C" w:rsidRPr="003F0B7B">
        <w:t>axe directe</w:t>
      </w:r>
      <w:r w:rsidRPr="00E9189F">
        <w:t>.</w:t>
      </w:r>
      <w:bookmarkEnd w:id="6615"/>
      <w:bookmarkEnd w:id="6616"/>
      <w:r w:rsidR="009B153C" w:rsidRPr="00E9189F">
        <w:t xml:space="preserve"> </w:t>
      </w:r>
    </w:p>
    <w:p w14:paraId="3E3D8BCB" w14:textId="77777777" w:rsidR="009B153C" w:rsidRPr="00DA6BD2" w:rsidRDefault="009B153C" w:rsidP="00E063FD">
      <w:pPr>
        <w:spacing w:before="120"/>
        <w:jc w:val="both"/>
        <w:textAlignment w:val="baseline"/>
        <w:rPr>
          <w:rFonts w:asciiTheme="minorHAnsi" w:hAnsiTheme="minorHAnsi" w:cs="Calibri Light"/>
          <w:b/>
          <w:spacing w:val="-2"/>
        </w:rPr>
      </w:pPr>
      <w:r w:rsidRPr="00DA6BD2">
        <w:rPr>
          <w:rFonts w:asciiTheme="minorHAnsi" w:hAnsiTheme="minorHAnsi" w:cs="Calibri Light"/>
          <w:spacing w:val="-2"/>
        </w:rPr>
        <w:t>Cette taxe vise com</w:t>
      </w:r>
      <w:r>
        <w:rPr>
          <w:rFonts w:asciiTheme="minorHAnsi" w:hAnsiTheme="minorHAnsi" w:cs="Calibri Light"/>
          <w:spacing w:val="-2"/>
        </w:rPr>
        <w:t>munément le logement individuel :</w:t>
      </w:r>
    </w:p>
    <w:p w14:paraId="5A28BAB1" w14:textId="0681C243" w:rsidR="009B153C" w:rsidRPr="00DA6BD2" w:rsidRDefault="008A59E1" w:rsidP="00E063FD">
      <w:pPr>
        <w:numPr>
          <w:ilvl w:val="0"/>
          <w:numId w:val="38"/>
        </w:numPr>
        <w:tabs>
          <w:tab w:val="clear" w:pos="360"/>
          <w:tab w:val="left" w:pos="504"/>
        </w:tabs>
        <w:spacing w:before="120"/>
        <w:ind w:left="504" w:hanging="504"/>
        <w:jc w:val="both"/>
        <w:textAlignment w:val="baseline"/>
        <w:rPr>
          <w:rFonts w:asciiTheme="minorHAnsi" w:hAnsiTheme="minorHAnsi" w:cs="Calibri Light"/>
        </w:rPr>
      </w:pPr>
      <w:proofErr w:type="gramStart"/>
      <w:r>
        <w:rPr>
          <w:rFonts w:asciiTheme="minorHAnsi" w:hAnsiTheme="minorHAnsi" w:cs="Calibri Light"/>
        </w:rPr>
        <w:t>g</w:t>
      </w:r>
      <w:r w:rsidR="009B153C" w:rsidRPr="00DA6BD2">
        <w:rPr>
          <w:rFonts w:asciiTheme="minorHAnsi" w:hAnsiTheme="minorHAnsi" w:cs="Calibri Light"/>
        </w:rPr>
        <w:t>arni</w:t>
      </w:r>
      <w:proofErr w:type="gramEnd"/>
      <w:r w:rsidR="009B153C" w:rsidRPr="00DA6BD2">
        <w:rPr>
          <w:rFonts w:asciiTheme="minorHAnsi" w:hAnsiTheme="minorHAnsi" w:cs="Calibri Light"/>
        </w:rPr>
        <w:t xml:space="preserve"> d'un ou plusieurs meubles par un tiers (à savoir toute personne autre que le locataire, même différente du propriétaire ou du locataire principal du bien immeuble), même si une partie des meubles est la propriété du locataire</w:t>
      </w:r>
      <w:r w:rsidR="009B153C">
        <w:rPr>
          <w:rFonts w:asciiTheme="minorHAnsi" w:hAnsiTheme="minorHAnsi" w:cs="Calibri Light"/>
        </w:rPr>
        <w:t>,</w:t>
      </w:r>
      <w:r w:rsidR="009B153C" w:rsidRPr="00DA6BD2">
        <w:rPr>
          <w:rFonts w:asciiTheme="minorHAnsi" w:hAnsiTheme="minorHAnsi" w:cs="Calibri Light"/>
        </w:rPr>
        <w:t xml:space="preserve"> </w:t>
      </w:r>
      <w:r w:rsidR="009B153C" w:rsidRPr="00347E95">
        <w:rPr>
          <w:rFonts w:asciiTheme="minorHAnsi" w:hAnsiTheme="minorHAnsi" w:cs="Calibri Light"/>
          <w:u w:val="single"/>
        </w:rPr>
        <w:t>o</w:t>
      </w:r>
      <w:r w:rsidR="00BF4C17">
        <w:rPr>
          <w:rFonts w:asciiTheme="minorHAnsi" w:hAnsiTheme="minorHAnsi" w:cs="Calibri Light"/>
          <w:u w:val="single"/>
        </w:rPr>
        <w:t>ù</w:t>
      </w:r>
      <w:r w:rsidR="009B153C" w:rsidRPr="008D7EB7">
        <w:rPr>
          <w:rFonts w:asciiTheme="minorHAnsi" w:hAnsiTheme="minorHAnsi" w:cs="Calibri Light"/>
        </w:rPr>
        <w:t> :</w:t>
      </w:r>
    </w:p>
    <w:p w14:paraId="678F113C" w14:textId="3B064946" w:rsidR="009B153C" w:rsidRPr="00DA6BD2" w:rsidRDefault="008A59E1" w:rsidP="00E063FD">
      <w:pPr>
        <w:numPr>
          <w:ilvl w:val="0"/>
          <w:numId w:val="38"/>
        </w:numPr>
        <w:tabs>
          <w:tab w:val="clear" w:pos="360"/>
          <w:tab w:val="left" w:pos="504"/>
        </w:tabs>
        <w:spacing w:before="120"/>
        <w:ind w:left="504" w:hanging="504"/>
        <w:jc w:val="both"/>
        <w:textAlignment w:val="baseline"/>
        <w:rPr>
          <w:rFonts w:asciiTheme="minorHAnsi" w:hAnsiTheme="minorHAnsi" w:cs="Calibri Light"/>
        </w:rPr>
      </w:pPr>
      <w:proofErr w:type="gramStart"/>
      <w:r>
        <w:rPr>
          <w:rFonts w:asciiTheme="minorHAnsi" w:hAnsiTheme="minorHAnsi" w:cs="Calibri Light"/>
        </w:rPr>
        <w:t>p</w:t>
      </w:r>
      <w:r w:rsidR="009B153C" w:rsidRPr="00DA6BD2">
        <w:rPr>
          <w:rFonts w:asciiTheme="minorHAnsi" w:hAnsiTheme="minorHAnsi" w:cs="Calibri Light"/>
        </w:rPr>
        <w:t>our</w:t>
      </w:r>
      <w:proofErr w:type="gramEnd"/>
      <w:r w:rsidR="009B153C" w:rsidRPr="00DA6BD2">
        <w:rPr>
          <w:rFonts w:asciiTheme="minorHAnsi" w:hAnsiTheme="minorHAnsi" w:cs="Calibri Light"/>
        </w:rPr>
        <w:t xml:space="preserve"> lequel le locataire a la possibilité de bénéficier de l'utilisation de locaux ou pièces communs meublés.</w:t>
      </w:r>
    </w:p>
    <w:p w14:paraId="31C0ED85" w14:textId="55C8D679" w:rsidR="00D24E78" w:rsidRDefault="00D24E78" w:rsidP="00E063FD">
      <w:pPr>
        <w:spacing w:before="120"/>
        <w:jc w:val="both"/>
        <w:textAlignment w:val="baseline"/>
        <w:rPr>
          <w:rFonts w:asciiTheme="minorHAnsi" w:hAnsiTheme="minorHAnsi" w:cs="Calibri Light"/>
          <w:spacing w:val="-2"/>
        </w:rPr>
      </w:pPr>
      <w:r w:rsidRPr="008D7EB7">
        <w:rPr>
          <w:rFonts w:asciiTheme="minorHAnsi" w:hAnsiTheme="minorHAnsi" w:cs="Calibri Light"/>
          <w:spacing w:val="-2"/>
          <w:u w:val="single"/>
        </w:rPr>
        <w:t>Rem</w:t>
      </w:r>
      <w:r w:rsidR="006C7578" w:rsidRPr="008D7EB7">
        <w:rPr>
          <w:rFonts w:asciiTheme="minorHAnsi" w:hAnsiTheme="minorHAnsi" w:cs="Calibri Light"/>
          <w:spacing w:val="-2"/>
          <w:u w:val="single"/>
        </w:rPr>
        <w:t>arque</w:t>
      </w:r>
      <w:r>
        <w:rPr>
          <w:rFonts w:asciiTheme="minorHAnsi" w:hAnsiTheme="minorHAnsi" w:cs="Calibri Light"/>
          <w:spacing w:val="-2"/>
        </w:rPr>
        <w:t xml:space="preserve"> : sont </w:t>
      </w:r>
      <w:r w:rsidR="00671518" w:rsidRPr="006C7578">
        <w:rPr>
          <w:rFonts w:asciiTheme="minorHAnsi" w:hAnsiTheme="minorHAnsi" w:cs="Calibri Light"/>
          <w:spacing w:val="-2"/>
        </w:rPr>
        <w:t>concernées</w:t>
      </w:r>
      <w:r w:rsidR="00671518">
        <w:rPr>
          <w:rFonts w:asciiTheme="minorHAnsi" w:hAnsiTheme="minorHAnsi" w:cs="Calibri Light"/>
          <w:spacing w:val="-2"/>
        </w:rPr>
        <w:t xml:space="preserve"> </w:t>
      </w:r>
      <w:r>
        <w:rPr>
          <w:rFonts w:asciiTheme="minorHAnsi" w:hAnsiTheme="minorHAnsi" w:cs="Calibri Light"/>
          <w:spacing w:val="-2"/>
        </w:rPr>
        <w:t xml:space="preserve">également par cette taxe les locations de vacances tel </w:t>
      </w:r>
      <w:r w:rsidR="001044C0">
        <w:rPr>
          <w:rFonts w:asciiTheme="minorHAnsi" w:hAnsiTheme="minorHAnsi" w:cs="Calibri Light"/>
          <w:spacing w:val="-2"/>
        </w:rPr>
        <w:t>Airbnb, …</w:t>
      </w:r>
    </w:p>
    <w:p w14:paraId="76950B14" w14:textId="163D48CF" w:rsidR="009B153C" w:rsidRPr="006C7578"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 xml:space="preserve">Taux maximum </w:t>
      </w:r>
      <w:r w:rsidRPr="006C7578">
        <w:rPr>
          <w:rFonts w:asciiTheme="minorHAnsi" w:hAnsiTheme="minorHAnsi" w:cs="Calibri Light"/>
          <w:spacing w:val="-2"/>
        </w:rPr>
        <w:t xml:space="preserve">recommandé : </w:t>
      </w:r>
      <w:r w:rsidR="00312C1B" w:rsidRPr="006C7578">
        <w:rPr>
          <w:rFonts w:asciiTheme="minorHAnsi" w:hAnsiTheme="minorHAnsi" w:cs="Calibri Light"/>
          <w:spacing w:val="-2"/>
        </w:rPr>
        <w:t>220</w:t>
      </w:r>
      <w:r w:rsidR="006C7578" w:rsidRPr="008D7EB7">
        <w:rPr>
          <w:rFonts w:asciiTheme="minorHAnsi" w:hAnsiTheme="minorHAnsi" w:cs="Calibri Light"/>
          <w:spacing w:val="-2"/>
        </w:rPr>
        <w:t>,00</w:t>
      </w:r>
      <w:r w:rsidR="00312C1B" w:rsidRPr="006C7578">
        <w:rPr>
          <w:rFonts w:asciiTheme="minorHAnsi" w:hAnsiTheme="minorHAnsi" w:cs="Calibri Light"/>
          <w:spacing w:val="-2"/>
        </w:rPr>
        <w:t xml:space="preserve"> </w:t>
      </w:r>
      <w:r w:rsidRPr="006C7578">
        <w:rPr>
          <w:rFonts w:asciiTheme="minorHAnsi" w:hAnsiTheme="minorHAnsi" w:cs="Calibri Light"/>
          <w:spacing w:val="-2"/>
        </w:rPr>
        <w:t>euros.</w:t>
      </w:r>
    </w:p>
    <w:p w14:paraId="4ED6E7C4" w14:textId="6506667B" w:rsidR="009B153C" w:rsidRPr="00DA6BD2" w:rsidRDefault="009B153C" w:rsidP="00E063FD">
      <w:pPr>
        <w:spacing w:before="120"/>
        <w:jc w:val="both"/>
        <w:textAlignment w:val="baseline"/>
        <w:rPr>
          <w:rFonts w:asciiTheme="minorHAnsi" w:hAnsiTheme="minorHAnsi" w:cs="Calibri Light"/>
        </w:rPr>
      </w:pPr>
      <w:bookmarkStart w:id="6617" w:name="_Hlk38972167"/>
      <w:r w:rsidRPr="006C7578">
        <w:rPr>
          <w:rFonts w:asciiTheme="minorHAnsi" w:hAnsiTheme="minorHAnsi" w:cs="Calibri Light"/>
        </w:rPr>
        <w:lastRenderedPageBreak/>
        <w:t xml:space="preserve">Lorsque cette taxe vise les logements soumis à la législation relative au permis de location (superficie réduite ou comportant une ou plusieurs pièces collectives), j’invite les communes à </w:t>
      </w:r>
      <w:r w:rsidR="00F956D1" w:rsidRPr="008D7EB7">
        <w:rPr>
          <w:rFonts w:asciiTheme="minorHAnsi" w:hAnsiTheme="minorHAnsi" w:cs="Calibri Light"/>
        </w:rPr>
        <w:t>adopter un</w:t>
      </w:r>
      <w:r w:rsidR="00F956D1" w:rsidRPr="006C7578">
        <w:rPr>
          <w:rFonts w:asciiTheme="minorHAnsi" w:hAnsiTheme="minorHAnsi" w:cs="Calibri Light"/>
        </w:rPr>
        <w:t xml:space="preserve"> taux </w:t>
      </w:r>
      <w:r w:rsidR="00F956D1" w:rsidRPr="008D7EB7">
        <w:rPr>
          <w:rFonts w:asciiTheme="minorHAnsi" w:hAnsiTheme="minorHAnsi" w:cs="Calibri Light"/>
        </w:rPr>
        <w:t>différent pou</w:t>
      </w:r>
      <w:r w:rsidR="00485422" w:rsidRPr="008D7EB7">
        <w:rPr>
          <w:rFonts w:asciiTheme="minorHAnsi" w:hAnsiTheme="minorHAnsi" w:cs="Calibri Light"/>
        </w:rPr>
        <w:t>r</w:t>
      </w:r>
      <w:r w:rsidR="00F956D1" w:rsidRPr="008D7EB7">
        <w:rPr>
          <w:rFonts w:asciiTheme="minorHAnsi" w:hAnsiTheme="minorHAnsi" w:cs="Calibri Light"/>
        </w:rPr>
        <w:t xml:space="preserve"> tenir compte de ce</w:t>
      </w:r>
      <w:r w:rsidR="00485422" w:rsidRPr="008D7EB7">
        <w:rPr>
          <w:rFonts w:asciiTheme="minorHAnsi" w:hAnsiTheme="minorHAnsi" w:cs="Calibri Light"/>
        </w:rPr>
        <w:t xml:space="preserve"> </w:t>
      </w:r>
      <w:r w:rsidR="00F956D1" w:rsidRPr="008D7EB7">
        <w:rPr>
          <w:rFonts w:asciiTheme="minorHAnsi" w:hAnsiTheme="minorHAnsi" w:cs="Calibri Light"/>
        </w:rPr>
        <w:t>type de logement</w:t>
      </w:r>
      <w:r w:rsidR="006C7578" w:rsidRPr="008D7EB7">
        <w:rPr>
          <w:rFonts w:asciiTheme="minorHAnsi" w:hAnsiTheme="minorHAnsi" w:cs="Calibri Light"/>
        </w:rPr>
        <w:t>.</w:t>
      </w:r>
      <w:r w:rsidR="00F956D1" w:rsidRPr="008D7EB7">
        <w:rPr>
          <w:rFonts w:asciiTheme="minorHAnsi" w:hAnsiTheme="minorHAnsi" w:cs="Calibri Light"/>
        </w:rPr>
        <w:t xml:space="preserve"> </w:t>
      </w:r>
    </w:p>
    <w:bookmarkEnd w:id="6617"/>
    <w:p w14:paraId="25861A74" w14:textId="77777777" w:rsidR="009B153C" w:rsidRPr="00DA6BD2" w:rsidRDefault="00421E0F" w:rsidP="00E063FD">
      <w:pPr>
        <w:spacing w:before="120"/>
        <w:jc w:val="both"/>
        <w:textAlignment w:val="baseline"/>
        <w:rPr>
          <w:rFonts w:asciiTheme="minorHAnsi" w:hAnsiTheme="minorHAnsi" w:cs="Calibri Light"/>
        </w:rPr>
      </w:pPr>
      <w:r>
        <w:rPr>
          <w:rFonts w:asciiTheme="minorHAnsi" w:hAnsiTheme="minorHAnsi" w:cs="Calibri Light"/>
        </w:rPr>
        <w:t>Les</w:t>
      </w:r>
      <w:r w:rsidR="009B153C" w:rsidRPr="00DA6BD2">
        <w:rPr>
          <w:rFonts w:asciiTheme="minorHAnsi" w:hAnsiTheme="minorHAnsi" w:cs="Calibri Light"/>
        </w:rPr>
        <w:t xml:space="preserve"> kots d'étudiant sont soumis au permis de location</w:t>
      </w:r>
      <w:r>
        <w:rPr>
          <w:rStyle w:val="Appelnotedebasdep"/>
          <w:rFonts w:asciiTheme="minorHAnsi" w:hAnsiTheme="minorHAnsi" w:cs="Calibri Light"/>
        </w:rPr>
        <w:footnoteReference w:id="165"/>
      </w:r>
      <w:r w:rsidR="009B153C" w:rsidRPr="00DA6BD2">
        <w:rPr>
          <w:rFonts w:asciiTheme="minorHAnsi" w:hAnsiTheme="minorHAnsi" w:cs="Calibri Light"/>
        </w:rPr>
        <w:t>.</w:t>
      </w:r>
    </w:p>
    <w:p w14:paraId="24B19C39" w14:textId="33DBD523" w:rsidR="009B153C" w:rsidRDefault="009B153C" w:rsidP="008D7EB7">
      <w:pPr>
        <w:spacing w:before="120" w:after="240"/>
        <w:jc w:val="both"/>
        <w:textAlignment w:val="baseline"/>
        <w:rPr>
          <w:rFonts w:asciiTheme="minorHAnsi" w:hAnsiTheme="minorHAnsi" w:cs="Calibri Light"/>
        </w:rPr>
      </w:pPr>
      <w:r w:rsidRPr="00E063FD">
        <w:rPr>
          <w:rFonts w:asciiTheme="minorHAnsi" w:hAnsiTheme="minorHAnsi" w:cs="Calibri Light"/>
          <w:b/>
        </w:rPr>
        <w:t>Le 14 mars 2018, le Parlement wallon a réformé le bail d’habitation en étendant cette notion à la colocation et au bail d’étudiant. Cette législation e</w:t>
      </w:r>
      <w:r w:rsidR="003A3E72">
        <w:rPr>
          <w:rFonts w:asciiTheme="minorHAnsi" w:hAnsiTheme="minorHAnsi" w:cs="Calibri Light"/>
          <w:b/>
        </w:rPr>
        <w:t>st entré</w:t>
      </w:r>
      <w:r w:rsidR="00DA6694">
        <w:rPr>
          <w:rFonts w:asciiTheme="minorHAnsi" w:hAnsiTheme="minorHAnsi" w:cs="Calibri Light"/>
          <w:b/>
        </w:rPr>
        <w:t>e</w:t>
      </w:r>
      <w:r w:rsidRPr="00E063FD">
        <w:rPr>
          <w:rFonts w:asciiTheme="minorHAnsi" w:hAnsiTheme="minorHAnsi" w:cs="Calibri Light"/>
          <w:b/>
        </w:rPr>
        <w:t xml:space="preserve"> en vigueur le 1</w:t>
      </w:r>
      <w:r w:rsidRPr="00E063FD">
        <w:rPr>
          <w:rFonts w:asciiTheme="minorHAnsi" w:hAnsiTheme="minorHAnsi" w:cs="Calibri Light"/>
          <w:b/>
          <w:vertAlign w:val="superscript"/>
        </w:rPr>
        <w:t>er</w:t>
      </w:r>
      <w:r w:rsidRPr="00E063FD">
        <w:rPr>
          <w:rFonts w:asciiTheme="minorHAnsi" w:hAnsiTheme="minorHAnsi" w:cs="Calibri Light"/>
          <w:b/>
        </w:rPr>
        <w:t xml:space="preserve"> septembre 2018</w:t>
      </w:r>
      <w:r w:rsidRPr="00E063FD">
        <w:rPr>
          <w:rFonts w:asciiTheme="minorHAnsi" w:hAnsiTheme="minorHAnsi" w:cs="Calibri Light"/>
        </w:rPr>
        <w:t>.</w:t>
      </w:r>
    </w:p>
    <w:p w14:paraId="4CC30681" w14:textId="5A1BF006" w:rsidR="009B153C" w:rsidRDefault="009B153C" w:rsidP="00256E9F">
      <w:pPr>
        <w:pStyle w:val="Sam3"/>
      </w:pPr>
      <w:bookmarkStart w:id="6618" w:name="_Toc512525518"/>
      <w:bookmarkStart w:id="6619" w:name="_Toc515896832"/>
      <w:bookmarkStart w:id="6620" w:name="_Toc74557789"/>
      <w:r w:rsidRPr="00DA6BD2">
        <w:t>04001/364-48 : Taxe industrielle compensatoire</w:t>
      </w:r>
      <w:bookmarkEnd w:id="6618"/>
      <w:bookmarkEnd w:id="6619"/>
      <w:bookmarkEnd w:id="6620"/>
    </w:p>
    <w:p w14:paraId="32B3DF63" w14:textId="16EDAFAC" w:rsidR="00061F33" w:rsidRDefault="00061F33" w:rsidP="00061F33">
      <w:pPr>
        <w:spacing w:before="120"/>
        <w:jc w:val="both"/>
        <w:textAlignment w:val="baseline"/>
        <w:rPr>
          <w:rFonts w:asciiTheme="minorHAnsi" w:hAnsiTheme="minorHAnsi" w:cs="Calibri Light"/>
        </w:rPr>
      </w:pPr>
      <w:r>
        <w:rPr>
          <w:rFonts w:asciiTheme="minorHAnsi" w:hAnsiTheme="minorHAnsi" w:cs="Calibri Light"/>
        </w:rPr>
        <w:t xml:space="preserve">Comme déjà rappelé, </w:t>
      </w:r>
      <w:r w:rsidRPr="002A6C9F">
        <w:rPr>
          <w:rFonts w:asciiTheme="minorHAnsi" w:hAnsiTheme="minorHAnsi" w:cs="Calibri Light"/>
        </w:rPr>
        <w:t>compte tenu notamment des récents jugements intervenus dans le cadre des mesures fiscales liées au Plan Marshal</w:t>
      </w:r>
      <w:r>
        <w:rPr>
          <w:rFonts w:asciiTheme="minorHAnsi" w:hAnsiTheme="minorHAnsi" w:cs="Calibri Light"/>
        </w:rPr>
        <w:t xml:space="preserve">, </w:t>
      </w:r>
      <w:r w:rsidRPr="0000347E">
        <w:rPr>
          <w:rFonts w:asciiTheme="minorHAnsi" w:hAnsiTheme="minorHAnsi" w:cs="Calibri Light"/>
        </w:rPr>
        <w:t>le Gouvernement réfléchit aux modalités permettant de faire évoluer les dispositifs actuels et de trouver un point d’équilibre entre les intérêts de chacune des parties.</w:t>
      </w:r>
    </w:p>
    <w:p w14:paraId="398DACCF" w14:textId="77777777" w:rsidR="00061F33" w:rsidRPr="00256E9F" w:rsidRDefault="00061F33" w:rsidP="00061F33">
      <w:pPr>
        <w:spacing w:before="120"/>
        <w:jc w:val="both"/>
        <w:textAlignment w:val="baseline"/>
        <w:rPr>
          <w:rFonts w:asciiTheme="minorHAnsi" w:hAnsiTheme="minorHAnsi" w:cs="Calibri Light"/>
        </w:rPr>
      </w:pPr>
      <w:r w:rsidRPr="00256E9F">
        <w:rPr>
          <w:rFonts w:asciiTheme="minorHAnsi" w:hAnsiTheme="minorHAnsi" w:cs="Calibri Light"/>
        </w:rPr>
        <w:t>Dès lors qu’une décision aura été prise concernant celle-ci, une information spécifique vous sera transmise.</w:t>
      </w:r>
    </w:p>
    <w:p w14:paraId="7CD3EC58" w14:textId="3C3FEE77" w:rsidR="003959B9" w:rsidRDefault="003959B9" w:rsidP="00256E9F">
      <w:pPr>
        <w:pStyle w:val="Sam3"/>
      </w:pPr>
    </w:p>
    <w:p w14:paraId="70DD6DDC" w14:textId="737F7773" w:rsidR="00705A12" w:rsidRDefault="00A91B91" w:rsidP="00256E9F">
      <w:pPr>
        <w:pStyle w:val="Sam3"/>
      </w:pPr>
      <w:bookmarkStart w:id="6621" w:name="_Toc74557790"/>
      <w:bookmarkStart w:id="6622" w:name="_Hlk38972371"/>
      <w:r>
        <w:t>04002</w:t>
      </w:r>
      <w:r w:rsidR="00C82157">
        <w:t>/364-48 : C</w:t>
      </w:r>
      <w:r w:rsidR="00CD234B">
        <w:t xml:space="preserve">ommerce de </w:t>
      </w:r>
      <w:r w:rsidR="00CD234B" w:rsidRPr="00977964">
        <w:t>frites</w:t>
      </w:r>
      <w:r w:rsidR="008F46A7" w:rsidRPr="00977964">
        <w:t xml:space="preserve"> (hot-dogs, beignets, etc.) </w:t>
      </w:r>
      <w:r w:rsidR="00CD234B" w:rsidRPr="00977964">
        <w:t>à emporter</w:t>
      </w:r>
      <w:bookmarkEnd w:id="6621"/>
      <w:r w:rsidR="00CD234B">
        <w:t xml:space="preserve"> </w:t>
      </w:r>
    </w:p>
    <w:bookmarkEnd w:id="6622"/>
    <w:p w14:paraId="79CC7972" w14:textId="77777777" w:rsidR="00CD234B" w:rsidRPr="00E063FD" w:rsidRDefault="00705A12" w:rsidP="00E063FD">
      <w:pPr>
        <w:rPr>
          <w:lang w:val="fr-BE"/>
        </w:rPr>
      </w:pPr>
      <w:r w:rsidRPr="00E063FD">
        <w:rPr>
          <w:lang w:val="fr-BE"/>
        </w:rPr>
        <w:t>T</w:t>
      </w:r>
      <w:r w:rsidR="00CD234B" w:rsidRPr="00E063FD">
        <w:rPr>
          <w:lang w:val="fr-BE"/>
        </w:rPr>
        <w:t>axe directe</w:t>
      </w:r>
      <w:r w:rsidRPr="00705A12">
        <w:t xml:space="preserve"> </w:t>
      </w:r>
      <w:r>
        <w:t>–</w:t>
      </w:r>
      <w:r w:rsidRPr="00705A12">
        <w:t xml:space="preserve"> Modèle </w:t>
      </w:r>
      <w:r>
        <w:t>disponible.</w:t>
      </w:r>
    </w:p>
    <w:p w14:paraId="345BF33D" w14:textId="588A8773"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est fixé à : </w:t>
      </w:r>
      <w:r w:rsidR="00312C1B" w:rsidRPr="00996208">
        <w:rPr>
          <w:rFonts w:asciiTheme="minorHAnsi" w:hAnsiTheme="minorHAnsi" w:cs="Calibri Light"/>
          <w:spacing w:val="-1"/>
        </w:rPr>
        <w:t>1.150</w:t>
      </w:r>
      <w:r w:rsidR="00996208" w:rsidRPr="008D7EB7">
        <w:rPr>
          <w:rFonts w:asciiTheme="minorHAnsi" w:hAnsiTheme="minorHAnsi" w:cs="Calibri Light"/>
          <w:spacing w:val="-1"/>
        </w:rPr>
        <w:t>,00</w:t>
      </w:r>
      <w:r w:rsidR="00312C1B" w:rsidRPr="00996208">
        <w:rPr>
          <w:rFonts w:asciiTheme="minorHAnsi" w:hAnsiTheme="minorHAnsi" w:cs="Calibri Light"/>
          <w:spacing w:val="-1"/>
        </w:rPr>
        <w:t xml:space="preserve"> </w:t>
      </w:r>
      <w:r w:rsidRPr="00996208">
        <w:rPr>
          <w:rFonts w:asciiTheme="minorHAnsi" w:hAnsiTheme="minorHAnsi" w:cs="Calibri Light"/>
          <w:spacing w:val="-1"/>
        </w:rPr>
        <w:t>euros/an.</w:t>
      </w:r>
    </w:p>
    <w:p w14:paraId="0893475C" w14:textId="77777777" w:rsidR="006A5DF0"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Il n'est pas conforme au principe d'égalité devant l'impôt de soumettre les commerces installés sur le domaine public à un taux de taxation différent de celui frappant ceux établis sur le domaine privé. </w:t>
      </w:r>
    </w:p>
    <w:p w14:paraId="468F497F" w14:textId="72510008" w:rsidR="009B153C" w:rsidRPr="00DA6BD2" w:rsidRDefault="006A5DF0" w:rsidP="00E063FD">
      <w:pPr>
        <w:spacing w:before="120"/>
        <w:jc w:val="both"/>
        <w:textAlignment w:val="baseline"/>
        <w:rPr>
          <w:rFonts w:asciiTheme="minorHAnsi" w:hAnsiTheme="minorHAnsi" w:cs="Calibri Light"/>
        </w:rPr>
      </w:pPr>
      <w:r>
        <w:rPr>
          <w:rFonts w:asciiTheme="minorHAnsi" w:hAnsiTheme="minorHAnsi" w:cs="Calibri Light"/>
        </w:rPr>
        <w:t xml:space="preserve">Cette taxe n’est pas incompatible avec </w:t>
      </w:r>
      <w:r w:rsidR="009B153C" w:rsidRPr="00DA6BD2">
        <w:rPr>
          <w:rFonts w:asciiTheme="minorHAnsi" w:hAnsiTheme="minorHAnsi" w:cs="Calibri Light"/>
        </w:rPr>
        <w:t>une redevance d'occupation lorsque le commerce est installé sur le domaine public communal.</w:t>
      </w:r>
    </w:p>
    <w:p w14:paraId="1459ADEC" w14:textId="77777777" w:rsidR="0090429A" w:rsidRDefault="009B153C" w:rsidP="008D7EB7">
      <w:pPr>
        <w:spacing w:before="120" w:after="240"/>
        <w:jc w:val="both"/>
        <w:textAlignment w:val="baseline"/>
        <w:rPr>
          <w:rFonts w:asciiTheme="minorHAnsi" w:hAnsiTheme="minorHAnsi" w:cs="Calibri Light"/>
        </w:rPr>
      </w:pPr>
      <w:r>
        <w:rPr>
          <w:rFonts w:asciiTheme="minorHAnsi" w:hAnsiTheme="minorHAnsi" w:cs="Calibri Light"/>
        </w:rPr>
        <w:t>Par commerce de frites (hot-</w:t>
      </w:r>
      <w:r w:rsidRPr="00DA6BD2">
        <w:rPr>
          <w:rFonts w:asciiTheme="minorHAnsi" w:hAnsiTheme="minorHAnsi" w:cs="Calibri Light"/>
        </w:rPr>
        <w:t>dogs, beignets, etc.) à emporter</w:t>
      </w:r>
      <w:r w:rsidR="00283913">
        <w:rPr>
          <w:rFonts w:asciiTheme="minorHAnsi" w:hAnsiTheme="minorHAnsi" w:cs="Calibri Light"/>
        </w:rPr>
        <w:t>,</w:t>
      </w:r>
      <w:r w:rsidRPr="00DA6BD2">
        <w:rPr>
          <w:rFonts w:asciiTheme="minorHAnsi" w:hAnsiTheme="minorHAnsi" w:cs="Calibri Light"/>
        </w:rPr>
        <w:t xml:space="preserve"> on entend les établissements dont l'activité consiste, exclusivement ou non, à vendre des produits de petite restauration communément destinés à être consommés avant de refroidir et dont les acheteurs sont amenés à se défaire de leurs emballages dans les récipients prévus à cet effet sur la voie publique.</w:t>
      </w:r>
    </w:p>
    <w:p w14:paraId="1039DCA2" w14:textId="4D013369" w:rsidR="00954869" w:rsidRDefault="0090429A" w:rsidP="008D7EB7">
      <w:pPr>
        <w:spacing w:before="120" w:after="240"/>
        <w:jc w:val="both"/>
        <w:textAlignment w:val="baseline"/>
        <w:rPr>
          <w:rFonts w:asciiTheme="minorHAnsi" w:hAnsiTheme="minorHAnsi" w:cs="Calibri Light"/>
        </w:rPr>
      </w:pPr>
      <w:r w:rsidRPr="0090429A">
        <w:t xml:space="preserve"> </w:t>
      </w:r>
      <w:r w:rsidRPr="0090429A">
        <w:rPr>
          <w:rFonts w:asciiTheme="minorHAnsi" w:hAnsiTheme="minorHAnsi" w:cs="Calibri Light"/>
        </w:rPr>
        <w:t>La taxation au m² semble un bon critère depuis que</w:t>
      </w:r>
      <w:r w:rsidR="00061F33">
        <w:rPr>
          <w:rFonts w:asciiTheme="minorHAnsi" w:hAnsiTheme="minorHAnsi" w:cs="Calibri Light"/>
        </w:rPr>
        <w:t>,</w:t>
      </w:r>
      <w:r w:rsidRPr="0090429A">
        <w:rPr>
          <w:rFonts w:asciiTheme="minorHAnsi" w:hAnsiTheme="minorHAnsi" w:cs="Calibri Light"/>
        </w:rPr>
        <w:t xml:space="preserve"> dans son arrêt du 19 avril 2021</w:t>
      </w:r>
      <w:r w:rsidR="00061F33">
        <w:rPr>
          <w:rFonts w:asciiTheme="minorHAnsi" w:hAnsiTheme="minorHAnsi" w:cs="Calibri Light"/>
        </w:rPr>
        <w:t>,</w:t>
      </w:r>
      <w:r w:rsidRPr="0090429A">
        <w:rPr>
          <w:rFonts w:asciiTheme="minorHAnsi" w:hAnsiTheme="minorHAnsi" w:cs="Calibri Light"/>
        </w:rPr>
        <w:t xml:space="preserve"> 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p>
    <w:p w14:paraId="10D0CFE9" w14:textId="33D62A80" w:rsidR="00954869" w:rsidRDefault="00954869" w:rsidP="00954869">
      <w:pPr>
        <w:spacing w:before="120" w:after="480"/>
        <w:jc w:val="both"/>
        <w:textAlignment w:val="baseline"/>
        <w:rPr>
          <w:rFonts w:asciiTheme="minorHAnsi" w:hAnsiTheme="minorHAnsi" w:cs="Calibri Light"/>
        </w:rPr>
      </w:pPr>
    </w:p>
    <w:p w14:paraId="3A293D14" w14:textId="77777777" w:rsidR="00954869" w:rsidRDefault="00954869" w:rsidP="008D7EB7">
      <w:pPr>
        <w:spacing w:before="120" w:after="240"/>
        <w:jc w:val="both"/>
        <w:textAlignment w:val="baseline"/>
        <w:rPr>
          <w:rFonts w:asciiTheme="minorHAnsi" w:hAnsiTheme="minorHAnsi" w:cs="Calibri Light"/>
        </w:rPr>
      </w:pPr>
    </w:p>
    <w:p w14:paraId="55C38B50" w14:textId="77777777" w:rsidR="00705A12" w:rsidRDefault="009B153C" w:rsidP="00256E9F">
      <w:pPr>
        <w:pStyle w:val="Sam3"/>
      </w:pPr>
      <w:bookmarkStart w:id="6623" w:name="_Toc74557791"/>
      <w:bookmarkStart w:id="6624" w:name="_Toc512525520"/>
      <w:bookmarkStart w:id="6625" w:name="_Toc515896834"/>
      <w:r w:rsidRPr="00DA6BD2">
        <w:lastRenderedPageBreak/>
        <w:t>04003/364-48 : Loges foraines et loges mobiles</w:t>
      </w:r>
      <w:bookmarkEnd w:id="6623"/>
      <w:r w:rsidRPr="00DA6BD2">
        <w:t xml:space="preserve"> </w:t>
      </w:r>
    </w:p>
    <w:p w14:paraId="49C460C5" w14:textId="5EBA0FAF" w:rsidR="009B153C" w:rsidRPr="00E9189F" w:rsidRDefault="00705A12" w:rsidP="00E063FD">
      <w:r w:rsidRPr="00A03E6A">
        <w:t>T</w:t>
      </w:r>
      <w:r w:rsidR="009B153C" w:rsidRPr="003F0B7B">
        <w:t>axe indirecte</w:t>
      </w:r>
      <w:r w:rsidRPr="00E9189F">
        <w:t>.</w:t>
      </w:r>
      <w:bookmarkEnd w:id="6624"/>
      <w:bookmarkEnd w:id="6625"/>
    </w:p>
    <w:p w14:paraId="0DC134D8" w14:textId="0AB3BB6C" w:rsidR="009B153C" w:rsidRPr="00DA6BD2"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 xml:space="preserve">Taux </w:t>
      </w:r>
      <w:r w:rsidRPr="00A65F14">
        <w:rPr>
          <w:rFonts w:asciiTheme="minorHAnsi" w:hAnsiTheme="minorHAnsi" w:cs="Calibri Light"/>
          <w:b/>
          <w:bCs/>
          <w:spacing w:val="-2"/>
        </w:rPr>
        <w:t>maximum</w:t>
      </w:r>
      <w:r w:rsidRPr="00DA6BD2">
        <w:rPr>
          <w:rFonts w:asciiTheme="minorHAnsi" w:hAnsiTheme="minorHAnsi" w:cs="Calibri Light"/>
          <w:spacing w:val="-2"/>
        </w:rPr>
        <w:t xml:space="preserve"> recommandé est fixé à </w:t>
      </w:r>
      <w:r w:rsidRPr="00996208">
        <w:rPr>
          <w:rFonts w:asciiTheme="minorHAnsi" w:hAnsiTheme="minorHAnsi" w:cs="Calibri Light"/>
          <w:spacing w:val="-2"/>
        </w:rPr>
        <w:t xml:space="preserve">: </w:t>
      </w:r>
      <w:r w:rsidR="009E24F4" w:rsidRPr="00996208">
        <w:rPr>
          <w:rFonts w:asciiTheme="minorHAnsi" w:hAnsiTheme="minorHAnsi" w:cs="Calibri Light"/>
          <w:spacing w:val="-2"/>
        </w:rPr>
        <w:t xml:space="preserve">4,50 </w:t>
      </w:r>
      <w:r w:rsidRPr="00996208">
        <w:rPr>
          <w:rFonts w:asciiTheme="minorHAnsi" w:hAnsiTheme="minorHAnsi" w:cs="Calibri Light"/>
          <w:color w:val="0D0D0D"/>
          <w:spacing w:val="-2"/>
        </w:rPr>
        <w:t>euros/m</w:t>
      </w:r>
      <w:r w:rsidRPr="00996208">
        <w:rPr>
          <w:rFonts w:asciiTheme="minorHAnsi" w:hAnsiTheme="minorHAnsi" w:cs="Calibri Light"/>
          <w:color w:val="0D0D0D"/>
          <w:spacing w:val="-2"/>
          <w:vertAlign w:val="superscript"/>
        </w:rPr>
        <w:t>2</w:t>
      </w:r>
      <w:r w:rsidRPr="00DA6BD2">
        <w:rPr>
          <w:rFonts w:asciiTheme="minorHAnsi" w:hAnsiTheme="minorHAnsi" w:cs="Calibri Light"/>
          <w:color w:val="0D0D0D"/>
          <w:spacing w:val="-2"/>
        </w:rPr>
        <w:t>/jour</w:t>
      </w:r>
      <w:r w:rsidR="008F2BB0">
        <w:rPr>
          <w:rFonts w:asciiTheme="minorHAnsi" w:hAnsiTheme="minorHAnsi" w:cs="Calibri Light"/>
          <w:color w:val="0D0D0D"/>
          <w:spacing w:val="-2"/>
        </w:rPr>
        <w:t xml:space="preserve">, </w:t>
      </w:r>
      <w:r w:rsidR="008F2BB0" w:rsidRPr="00A65F14">
        <w:rPr>
          <w:rFonts w:asciiTheme="minorHAnsi" w:hAnsiTheme="minorHAnsi" w:cs="Calibri Light"/>
          <w:b/>
          <w:bCs/>
          <w:color w:val="0D0D0D"/>
          <w:spacing w:val="-2"/>
        </w:rPr>
        <w:t>tenant compte des spécificités ci-après</w:t>
      </w:r>
      <w:r w:rsidRPr="00DA6BD2">
        <w:rPr>
          <w:rFonts w:asciiTheme="minorHAnsi" w:hAnsiTheme="minorHAnsi" w:cs="Calibri Light"/>
          <w:color w:val="0D0D0D"/>
          <w:spacing w:val="-2"/>
        </w:rPr>
        <w:t>.</w:t>
      </w:r>
    </w:p>
    <w:p w14:paraId="7E5B89FD" w14:textId="046D0B96" w:rsidR="00A46A30" w:rsidRDefault="00061F33" w:rsidP="006A5DF0">
      <w:pPr>
        <w:spacing w:before="120"/>
        <w:jc w:val="both"/>
        <w:textAlignment w:val="baseline"/>
        <w:rPr>
          <w:rFonts w:asciiTheme="minorHAnsi" w:hAnsiTheme="minorHAnsi" w:cs="Calibri Light"/>
          <w:b/>
          <w:bCs/>
        </w:rPr>
      </w:pPr>
      <w:r>
        <w:rPr>
          <w:rFonts w:asciiTheme="minorHAnsi" w:hAnsiTheme="minorHAnsi" w:cs="Calibri Light"/>
          <w:b/>
          <w:bCs/>
        </w:rPr>
        <w:t xml:space="preserve">Toutefois, </w:t>
      </w:r>
      <w:r w:rsidR="008F2BB0">
        <w:rPr>
          <w:rFonts w:asciiTheme="minorHAnsi" w:hAnsiTheme="minorHAnsi" w:cs="Calibri Light"/>
          <w:b/>
          <w:bCs/>
        </w:rPr>
        <w:t xml:space="preserve">s’agissant d’une taxe d’exploitation, il importe de </w:t>
      </w:r>
      <w:r w:rsidR="006A5DF0">
        <w:rPr>
          <w:rFonts w:asciiTheme="minorHAnsi" w:hAnsiTheme="minorHAnsi" w:cs="Calibri Light"/>
          <w:b/>
          <w:bCs/>
        </w:rPr>
        <w:t>moduler</w:t>
      </w:r>
      <w:r w:rsidR="006A5DF0" w:rsidRPr="006A5DF0">
        <w:rPr>
          <w:rFonts w:asciiTheme="minorHAnsi" w:hAnsiTheme="minorHAnsi" w:cs="Calibri Light"/>
          <w:b/>
          <w:bCs/>
        </w:rPr>
        <w:t xml:space="preserve"> </w:t>
      </w:r>
      <w:r w:rsidR="008F2BB0">
        <w:rPr>
          <w:rFonts w:asciiTheme="minorHAnsi" w:hAnsiTheme="minorHAnsi" w:cs="Calibri Light"/>
          <w:b/>
          <w:bCs/>
        </w:rPr>
        <w:t xml:space="preserve">cette </w:t>
      </w:r>
      <w:r w:rsidR="006A5DF0" w:rsidRPr="008F2BB0">
        <w:rPr>
          <w:rFonts w:asciiTheme="minorHAnsi" w:hAnsiTheme="minorHAnsi" w:cs="Calibri Light"/>
          <w:b/>
          <w:bCs/>
        </w:rPr>
        <w:t xml:space="preserve">taxe </w:t>
      </w:r>
      <w:r w:rsidR="006A5DF0" w:rsidRPr="00A65F14">
        <w:rPr>
          <w:rFonts w:asciiTheme="minorHAnsi" w:hAnsiTheme="minorHAnsi" w:cs="Calibri Light"/>
          <w:b/>
          <w:bCs/>
          <w:spacing w:val="-2"/>
        </w:rPr>
        <w:t>d’exploitation</w:t>
      </w:r>
      <w:r w:rsidR="006A5DF0" w:rsidRPr="008F2BB0">
        <w:rPr>
          <w:rFonts w:asciiTheme="minorHAnsi" w:hAnsiTheme="minorHAnsi" w:cs="Calibri Light"/>
          <w:b/>
          <w:bCs/>
        </w:rPr>
        <w:t xml:space="preserve"> des</w:t>
      </w:r>
      <w:r w:rsidR="006A5DF0" w:rsidRPr="006A5DF0">
        <w:rPr>
          <w:rFonts w:asciiTheme="minorHAnsi" w:hAnsiTheme="minorHAnsi" w:cs="Calibri Light"/>
          <w:b/>
          <w:bCs/>
        </w:rPr>
        <w:t xml:space="preserve"> loges foraines et loges mobiles</w:t>
      </w:r>
      <w:r w:rsidR="006A5DF0">
        <w:rPr>
          <w:rFonts w:asciiTheme="minorHAnsi" w:hAnsiTheme="minorHAnsi" w:cs="Calibri Light"/>
          <w:b/>
          <w:bCs/>
        </w:rPr>
        <w:t xml:space="preserve"> en fonction de la catégorie des</w:t>
      </w:r>
      <w:r w:rsidR="006A5DF0" w:rsidRPr="006A5DF0">
        <w:rPr>
          <w:rFonts w:asciiTheme="minorHAnsi" w:hAnsiTheme="minorHAnsi" w:cs="Calibri Light"/>
          <w:b/>
          <w:bCs/>
        </w:rPr>
        <w:t xml:space="preserve"> métiers forains</w:t>
      </w:r>
      <w:r w:rsidR="00A46A30">
        <w:rPr>
          <w:rFonts w:asciiTheme="minorHAnsi" w:hAnsiTheme="minorHAnsi" w:cs="Calibri Light"/>
          <w:b/>
          <w:bCs/>
        </w:rPr>
        <w:t>, cette modulation permettant ainsi de prendre en compte les surfaces nécessaires en fonction du type d’activité</w:t>
      </w:r>
      <w:r w:rsidR="006A5DF0">
        <w:rPr>
          <w:rFonts w:asciiTheme="minorHAnsi" w:hAnsiTheme="minorHAnsi" w:cs="Calibri Light"/>
          <w:b/>
          <w:bCs/>
        </w:rPr>
        <w:t>.</w:t>
      </w:r>
    </w:p>
    <w:p w14:paraId="2802EA7C" w14:textId="6ABA88F8" w:rsidR="006A5DF0" w:rsidRDefault="00A46A30" w:rsidP="006A5DF0">
      <w:pPr>
        <w:spacing w:before="120"/>
        <w:jc w:val="both"/>
        <w:textAlignment w:val="baseline"/>
        <w:rPr>
          <w:rFonts w:asciiTheme="minorHAnsi" w:hAnsiTheme="minorHAnsi" w:cs="Calibri Light"/>
          <w:b/>
          <w:bCs/>
        </w:rPr>
      </w:pPr>
      <w:r>
        <w:rPr>
          <w:rFonts w:asciiTheme="minorHAnsi" w:hAnsiTheme="minorHAnsi" w:cs="Calibri Light"/>
          <w:b/>
          <w:bCs/>
        </w:rPr>
        <w:t xml:space="preserve">Cette modulation peut également </w:t>
      </w:r>
      <w:r w:rsidR="007F1890">
        <w:rPr>
          <w:rFonts w:asciiTheme="minorHAnsi" w:hAnsiTheme="minorHAnsi" w:cs="Calibri Light"/>
          <w:b/>
          <w:bCs/>
        </w:rPr>
        <w:t>être établie en fonction des</w:t>
      </w:r>
      <w:r>
        <w:rPr>
          <w:rFonts w:asciiTheme="minorHAnsi" w:hAnsiTheme="minorHAnsi" w:cs="Calibri Light"/>
          <w:b/>
          <w:bCs/>
        </w:rPr>
        <w:t xml:space="preserve"> jours de la semaine afin de prendre en compte la fréquentation présumée.</w:t>
      </w:r>
    </w:p>
    <w:p w14:paraId="721750CB" w14:textId="67A9E55F" w:rsidR="006A5DF0" w:rsidRPr="006A5DF0" w:rsidRDefault="00A46A30" w:rsidP="006A5DF0">
      <w:pPr>
        <w:spacing w:before="120"/>
        <w:jc w:val="both"/>
        <w:textAlignment w:val="baseline"/>
        <w:rPr>
          <w:rFonts w:asciiTheme="minorHAnsi" w:hAnsiTheme="minorHAnsi" w:cs="Calibri Light"/>
        </w:rPr>
      </w:pPr>
      <w:r w:rsidRPr="00256E9F">
        <w:rPr>
          <w:rFonts w:asciiTheme="minorHAnsi" w:hAnsiTheme="minorHAnsi" w:cs="Calibri Light"/>
          <w:b/>
          <w:bCs/>
        </w:rPr>
        <w:t>Enfin, d</w:t>
      </w:r>
      <w:r w:rsidR="006A5DF0" w:rsidRPr="00256E9F">
        <w:rPr>
          <w:rFonts w:asciiTheme="minorHAnsi" w:hAnsiTheme="minorHAnsi" w:cs="Calibri Light"/>
          <w:b/>
          <w:bCs/>
        </w:rPr>
        <w:t>es forfaits peuvent également être prévus</w:t>
      </w:r>
      <w:r w:rsidR="00D5598D">
        <w:rPr>
          <w:rFonts w:asciiTheme="minorHAnsi" w:hAnsiTheme="minorHAnsi" w:cs="Calibri Light"/>
          <w:b/>
          <w:bCs/>
        </w:rPr>
        <w:t xml:space="preserve"> aux fins de prévisibilité</w:t>
      </w:r>
      <w:r w:rsidR="006A5DF0" w:rsidRPr="00256E9F">
        <w:rPr>
          <w:rFonts w:asciiTheme="minorHAnsi" w:hAnsiTheme="minorHAnsi" w:cs="Calibri Light"/>
          <w:b/>
          <w:bCs/>
        </w:rPr>
        <w:t>.</w:t>
      </w:r>
      <w:r w:rsidR="006A5DF0">
        <w:rPr>
          <w:rFonts w:asciiTheme="minorHAnsi" w:hAnsiTheme="minorHAnsi" w:cs="Calibri Light"/>
        </w:rPr>
        <w:t xml:space="preserve"> </w:t>
      </w:r>
      <w:r w:rsidR="006A5DF0" w:rsidRPr="0014374B">
        <w:rPr>
          <w:rFonts w:asciiTheme="minorHAnsi" w:hAnsiTheme="minorHAnsi" w:cs="Calibri Light"/>
        </w:rPr>
        <w:t xml:space="preserve">Mais dans tous les cas, le taux maximum prévu ne pourra excéder l’équivalent de </w:t>
      </w:r>
      <w:r w:rsidR="009E24F4" w:rsidRPr="0014374B">
        <w:rPr>
          <w:rFonts w:asciiTheme="minorHAnsi" w:hAnsiTheme="minorHAnsi" w:cs="Calibri Light"/>
        </w:rPr>
        <w:t xml:space="preserve">4,50 </w:t>
      </w:r>
      <w:r w:rsidR="006A5DF0" w:rsidRPr="0014374B">
        <w:rPr>
          <w:rFonts w:asciiTheme="minorHAnsi" w:hAnsiTheme="minorHAnsi" w:cs="Calibri Light"/>
        </w:rPr>
        <w:t>euros/m²/jour</w:t>
      </w:r>
      <w:r w:rsidR="006A5DF0" w:rsidRPr="00A65F14">
        <w:rPr>
          <w:rFonts w:asciiTheme="minorHAnsi" w:hAnsiTheme="minorHAnsi" w:cs="Calibri Light"/>
          <w:strike/>
        </w:rPr>
        <w:t>.</w:t>
      </w:r>
    </w:p>
    <w:p w14:paraId="18E688DF" w14:textId="779C69F0" w:rsidR="006A5DF0" w:rsidRPr="008D7EB7" w:rsidRDefault="006A5DF0" w:rsidP="006A5DF0">
      <w:pPr>
        <w:spacing w:before="120"/>
        <w:jc w:val="both"/>
        <w:textAlignment w:val="baseline"/>
        <w:rPr>
          <w:rFonts w:asciiTheme="minorHAnsi" w:hAnsiTheme="minorHAnsi" w:cs="Calibri Light"/>
          <w:b/>
          <w:bCs/>
        </w:rPr>
      </w:pPr>
      <w:r w:rsidRPr="008D7EB7">
        <w:rPr>
          <w:rFonts w:asciiTheme="minorHAnsi" w:hAnsiTheme="minorHAnsi" w:cs="Calibri Light"/>
          <w:b/>
          <w:bCs/>
        </w:rPr>
        <w:t xml:space="preserve">Je vous recommande également de prévoir la motivation adéquate dans le préambule.  </w:t>
      </w:r>
    </w:p>
    <w:p w14:paraId="472787C2" w14:textId="77777777" w:rsidR="006A5DF0"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Il n'est pas conforme au principe d'égalité devant l'impôt de soumettre les commerces installés sur le domaine public à un taux de taxation différent de celui frappant ceux établis sur le domaine privé. </w:t>
      </w:r>
    </w:p>
    <w:p w14:paraId="682ECAF2" w14:textId="55AB0A3F" w:rsidR="009B153C" w:rsidRDefault="006A5DF0" w:rsidP="008D7EB7">
      <w:pPr>
        <w:spacing w:before="120" w:after="240"/>
        <w:jc w:val="both"/>
        <w:textAlignment w:val="baseline"/>
        <w:rPr>
          <w:rFonts w:asciiTheme="minorHAnsi" w:hAnsiTheme="minorHAnsi" w:cs="Calibri Light"/>
        </w:rPr>
      </w:pPr>
      <w:r>
        <w:rPr>
          <w:rFonts w:asciiTheme="minorHAnsi" w:hAnsiTheme="minorHAnsi" w:cs="Calibri Light"/>
        </w:rPr>
        <w:t>Cette taxe n’est pas incompatible avec</w:t>
      </w:r>
      <w:r w:rsidR="009B153C" w:rsidRPr="00DA6BD2">
        <w:rPr>
          <w:rFonts w:asciiTheme="minorHAnsi" w:hAnsiTheme="minorHAnsi" w:cs="Calibri Light"/>
        </w:rPr>
        <w:t xml:space="preserve"> une redevance d'occupation lorsque le commerce est installé sur le domaine public communal.</w:t>
      </w:r>
      <w:r w:rsidR="00AE36ED">
        <w:rPr>
          <w:rFonts w:asciiTheme="minorHAnsi" w:hAnsiTheme="minorHAnsi" w:cs="Calibri Light"/>
        </w:rPr>
        <w:t xml:space="preserve"> </w:t>
      </w:r>
      <w:r w:rsidR="009B153C" w:rsidRPr="00DA6BD2">
        <w:rPr>
          <w:rFonts w:asciiTheme="minorHAnsi" w:hAnsiTheme="minorHAnsi" w:cs="Calibri Light"/>
        </w:rPr>
        <w:t>Par loges mobiles, il convient d'entendre les infrastructures permettant l'exploitation d'un métier qui, comme tel, n'est pas reconnu comme forain (et non pas celles qui servent au logement des forains).   Cette précision ressort en fait de l'objet de cette taxe qui est de viser l'exploitation d'un métier présent sur une foire ou kermesse et non la taxation d'un logement.</w:t>
      </w:r>
    </w:p>
    <w:p w14:paraId="662C8C0A" w14:textId="77777777" w:rsidR="00705A12" w:rsidRDefault="009B153C" w:rsidP="00256E9F">
      <w:pPr>
        <w:pStyle w:val="Sam3"/>
      </w:pPr>
      <w:bookmarkStart w:id="6626" w:name="_Toc6997815"/>
      <w:bookmarkStart w:id="6627" w:name="_Toc7016591"/>
      <w:bookmarkStart w:id="6628" w:name="_Toc7020759"/>
      <w:bookmarkStart w:id="6629" w:name="_Toc7094831"/>
      <w:bookmarkStart w:id="6630" w:name="_Toc8121866"/>
      <w:bookmarkStart w:id="6631" w:name="_Toc8129807"/>
      <w:bookmarkStart w:id="6632" w:name="_Toc74557792"/>
      <w:bookmarkStart w:id="6633" w:name="_Hlk39038046"/>
      <w:bookmarkStart w:id="6634" w:name="_Toc512525521"/>
      <w:bookmarkStart w:id="6635" w:name="_Toc515896835"/>
      <w:bookmarkStart w:id="6636" w:name="_Hlk105659827"/>
      <w:bookmarkEnd w:id="6626"/>
      <w:bookmarkEnd w:id="6627"/>
      <w:bookmarkEnd w:id="6628"/>
      <w:bookmarkEnd w:id="6629"/>
      <w:bookmarkEnd w:id="6630"/>
      <w:bookmarkEnd w:id="6631"/>
      <w:r w:rsidRPr="00DA6BD2">
        <w:t>04004/364-48 : Commerces de nuit</w:t>
      </w:r>
      <w:bookmarkEnd w:id="6632"/>
      <w:r w:rsidRPr="00DA6BD2">
        <w:t xml:space="preserve"> </w:t>
      </w:r>
    </w:p>
    <w:bookmarkEnd w:id="6633"/>
    <w:p w14:paraId="56054B93" w14:textId="3C7943B7" w:rsidR="009B153C" w:rsidRPr="00E9189F" w:rsidRDefault="00705A12" w:rsidP="00E063FD">
      <w:r w:rsidRPr="00A03E6A">
        <w:t>T</w:t>
      </w:r>
      <w:r w:rsidR="009B153C" w:rsidRPr="003F0B7B">
        <w:t>axe directe</w:t>
      </w:r>
      <w:r w:rsidRPr="00E9189F">
        <w:t>.</w:t>
      </w:r>
      <w:bookmarkEnd w:id="6634"/>
      <w:bookmarkEnd w:id="6635"/>
    </w:p>
    <w:p w14:paraId="24312E7B" w14:textId="38396D90"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Taux maximum recommandé est fixé </w:t>
      </w:r>
      <w:r w:rsidRPr="008A59E1">
        <w:rPr>
          <w:rFonts w:asciiTheme="minorHAnsi" w:hAnsiTheme="minorHAnsi" w:cs="Calibri Light"/>
        </w:rPr>
        <w:t xml:space="preserve">à </w:t>
      </w:r>
      <w:r w:rsidR="006A000B" w:rsidRPr="008A59E1">
        <w:rPr>
          <w:rFonts w:asciiTheme="minorHAnsi" w:hAnsiTheme="minorHAnsi" w:cs="Calibri Light"/>
        </w:rPr>
        <w:t>25</w:t>
      </w:r>
      <w:r w:rsidR="008A59E1" w:rsidRPr="008D7EB7">
        <w:rPr>
          <w:rFonts w:asciiTheme="minorHAnsi" w:hAnsiTheme="minorHAnsi" w:cs="Calibri Light"/>
        </w:rPr>
        <w:t>,00</w:t>
      </w:r>
      <w:r w:rsidR="006A000B" w:rsidRPr="008A59E1">
        <w:rPr>
          <w:rFonts w:asciiTheme="minorHAnsi" w:hAnsiTheme="minorHAnsi" w:cs="Calibri Light"/>
        </w:rPr>
        <w:t xml:space="preserve"> </w:t>
      </w:r>
      <w:r w:rsidRPr="008A59E1">
        <w:rPr>
          <w:rFonts w:asciiTheme="minorHAnsi" w:hAnsiTheme="minorHAnsi" w:cs="Calibri Light"/>
        </w:rPr>
        <w:t>euros</w:t>
      </w:r>
      <w:r w:rsidR="004F40BF" w:rsidRPr="008A59E1">
        <w:rPr>
          <w:rFonts w:asciiTheme="minorHAnsi" w:hAnsiTheme="minorHAnsi" w:cs="Calibri Light"/>
        </w:rPr>
        <w:t xml:space="preserve"> </w:t>
      </w:r>
      <w:r w:rsidRPr="008A59E1">
        <w:rPr>
          <w:rFonts w:asciiTheme="minorHAnsi" w:hAnsiTheme="minorHAnsi" w:cs="Calibri Light"/>
        </w:rPr>
        <w:t>le m</w:t>
      </w:r>
      <w:r w:rsidRPr="008A59E1">
        <w:rPr>
          <w:rFonts w:asciiTheme="minorHAnsi" w:hAnsiTheme="minorHAnsi" w:cs="Calibri Light"/>
          <w:vertAlign w:val="superscript"/>
        </w:rPr>
        <w:t>2</w:t>
      </w:r>
      <w:r w:rsidRPr="008A59E1">
        <w:rPr>
          <w:rFonts w:asciiTheme="minorHAnsi" w:hAnsiTheme="minorHAnsi" w:cs="Calibri Light"/>
          <w:b/>
        </w:rPr>
        <w:t xml:space="preserve"> de surface commerciale nette </w:t>
      </w:r>
      <w:r w:rsidRPr="008A59E1">
        <w:rPr>
          <w:rFonts w:asciiTheme="minorHAnsi" w:hAnsiTheme="minorHAnsi" w:cs="Calibri Light"/>
        </w:rPr>
        <w:t xml:space="preserve">avec un montant maximum total recommandé de </w:t>
      </w:r>
      <w:r w:rsidR="007C4D2D" w:rsidRPr="008A59E1">
        <w:rPr>
          <w:rFonts w:asciiTheme="minorHAnsi" w:hAnsiTheme="minorHAnsi" w:cs="Calibri Light"/>
        </w:rPr>
        <w:t>3.350</w:t>
      </w:r>
      <w:r w:rsidR="008A59E1" w:rsidRPr="008D7EB7">
        <w:rPr>
          <w:rFonts w:asciiTheme="minorHAnsi" w:hAnsiTheme="minorHAnsi" w:cs="Calibri Light"/>
        </w:rPr>
        <w:t>,00</w:t>
      </w:r>
      <w:r w:rsidR="007C4D2D" w:rsidRPr="008A59E1">
        <w:rPr>
          <w:rFonts w:asciiTheme="minorHAnsi" w:hAnsiTheme="minorHAnsi" w:cs="Calibri Light"/>
        </w:rPr>
        <w:t xml:space="preserve"> </w:t>
      </w:r>
      <w:r w:rsidRPr="008A59E1">
        <w:rPr>
          <w:rFonts w:asciiTheme="minorHAnsi" w:hAnsiTheme="minorHAnsi" w:cs="Calibri Light"/>
        </w:rPr>
        <w:t>euros</w:t>
      </w:r>
      <w:r w:rsidR="004F40BF" w:rsidRPr="008A59E1">
        <w:rPr>
          <w:rFonts w:asciiTheme="minorHAnsi" w:hAnsiTheme="minorHAnsi" w:cs="Calibri Light"/>
        </w:rPr>
        <w:t xml:space="preserve"> </w:t>
      </w:r>
      <w:r w:rsidRPr="008A59E1">
        <w:rPr>
          <w:rFonts w:asciiTheme="minorHAnsi" w:hAnsiTheme="minorHAnsi" w:cs="Calibri Light"/>
        </w:rPr>
        <w:t>par</w:t>
      </w:r>
      <w:r w:rsidRPr="00DA6BD2">
        <w:rPr>
          <w:rFonts w:asciiTheme="minorHAnsi" w:hAnsiTheme="minorHAnsi" w:cs="Calibri Light"/>
        </w:rPr>
        <w:t xml:space="preserve"> établissement.</w:t>
      </w:r>
    </w:p>
    <w:p w14:paraId="0DD0E3A0" w14:textId="27D05AF8"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les surfaces inférieures à 50 m</w:t>
      </w:r>
      <w:r w:rsidRPr="00DA6BD2">
        <w:rPr>
          <w:rFonts w:asciiTheme="minorHAnsi" w:hAnsiTheme="minorHAnsi" w:cs="Calibri Light"/>
          <w:vertAlign w:val="superscript"/>
        </w:rPr>
        <w:t>2</w:t>
      </w:r>
      <w:r w:rsidRPr="00DA6BD2">
        <w:rPr>
          <w:rFonts w:asciiTheme="minorHAnsi" w:hAnsiTheme="minorHAnsi" w:cs="Calibri Light"/>
        </w:rPr>
        <w:t xml:space="preserve">, il est possible de prévoir une taxe forfaitaire. Dans ce cas, le montant maximum recommandé est fixé </w:t>
      </w:r>
      <w:r w:rsidRPr="008A59E1">
        <w:rPr>
          <w:rFonts w:asciiTheme="minorHAnsi" w:hAnsiTheme="minorHAnsi" w:cs="Calibri Light"/>
        </w:rPr>
        <w:t xml:space="preserve">à </w:t>
      </w:r>
      <w:bookmarkStart w:id="6637" w:name="_Hlk39229174"/>
      <w:r w:rsidR="00DC04FE" w:rsidRPr="008D7EB7">
        <w:rPr>
          <w:rFonts w:asciiTheme="minorHAnsi" w:hAnsiTheme="minorHAnsi" w:cs="Calibri Light"/>
        </w:rPr>
        <w:t>1.000</w:t>
      </w:r>
      <w:r w:rsidR="008A59E1" w:rsidRPr="008A59E1">
        <w:rPr>
          <w:rFonts w:asciiTheme="minorHAnsi" w:hAnsiTheme="minorHAnsi" w:cs="Calibri Light"/>
        </w:rPr>
        <w:t>,00</w:t>
      </w:r>
      <w:r w:rsidRPr="008A59E1">
        <w:rPr>
          <w:rFonts w:asciiTheme="minorHAnsi" w:hAnsiTheme="minorHAnsi" w:cs="Calibri Light"/>
        </w:rPr>
        <w:t xml:space="preserve"> euros</w:t>
      </w:r>
      <w:bookmarkEnd w:id="6637"/>
      <w:r w:rsidRPr="00DA6BD2">
        <w:rPr>
          <w:rFonts w:asciiTheme="minorHAnsi" w:hAnsiTheme="minorHAnsi" w:cs="Calibri Light"/>
        </w:rPr>
        <w:t>.</w:t>
      </w:r>
    </w:p>
    <w:p w14:paraId="21B93AC8" w14:textId="77777777" w:rsidR="009B153C" w:rsidRPr="00DA6BD2"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Il faut entendre par :</w:t>
      </w:r>
    </w:p>
    <w:p w14:paraId="5A10D356" w14:textId="3C800D4D" w:rsidR="009B153C" w:rsidRPr="00DA6BD2" w:rsidRDefault="009B153C" w:rsidP="00E063FD">
      <w:pPr>
        <w:spacing w:before="120"/>
        <w:jc w:val="both"/>
        <w:textAlignment w:val="baseline"/>
        <w:rPr>
          <w:rFonts w:asciiTheme="minorHAnsi" w:hAnsiTheme="minorHAnsi" w:cs="Calibri Light"/>
        </w:rPr>
      </w:pPr>
      <w:bookmarkStart w:id="6638" w:name="_Hlk105659810"/>
      <w:r w:rsidRPr="00DA6BD2">
        <w:rPr>
          <w:rFonts w:asciiTheme="minorHAnsi" w:hAnsiTheme="minorHAnsi" w:cs="Calibri Light"/>
        </w:rPr>
        <w:t xml:space="preserve">« </w:t>
      </w:r>
      <w:r w:rsidRPr="00DA6BD2">
        <w:rPr>
          <w:rFonts w:asciiTheme="minorHAnsi" w:hAnsiTheme="minorHAnsi" w:cs="Calibri Light"/>
          <w:b/>
        </w:rPr>
        <w:t xml:space="preserve">Commerce de nuit » : </w:t>
      </w:r>
      <w:r w:rsidRPr="00DA6BD2">
        <w:rPr>
          <w:rFonts w:asciiTheme="minorHAnsi" w:hAnsiTheme="minorHAnsi" w:cs="Calibri Light"/>
        </w:rPr>
        <w:t>tout établissement dont la surface commerciale réelle ne dépasse pas une surface nette de 150 m², dont l’activité consiste en la vente aux détails de produits alimentaires et/ou autres sous quelques formes et conditionnements que ce soit et non destiné à être consommés sur place, qui ouvre et reste ouvert durant une période comprise entre 22h et 5h</w:t>
      </w:r>
      <w:r>
        <w:rPr>
          <w:rFonts w:asciiTheme="minorHAnsi" w:hAnsiTheme="minorHAnsi" w:cs="Calibri Light"/>
        </w:rPr>
        <w:t>,</w:t>
      </w:r>
      <w:r w:rsidRPr="00DA6BD2">
        <w:rPr>
          <w:rFonts w:asciiTheme="minorHAnsi" w:hAnsiTheme="minorHAnsi" w:cs="Calibri Light"/>
        </w:rPr>
        <w:t xml:space="preserve"> quel</w:t>
      </w:r>
      <w:r>
        <w:rPr>
          <w:rFonts w:asciiTheme="minorHAnsi" w:hAnsiTheme="minorHAnsi" w:cs="Calibri Light"/>
        </w:rPr>
        <w:t xml:space="preserve"> </w:t>
      </w:r>
      <w:r w:rsidRPr="00DA6BD2">
        <w:rPr>
          <w:rFonts w:asciiTheme="minorHAnsi" w:hAnsiTheme="minorHAnsi" w:cs="Calibri Light"/>
        </w:rPr>
        <w:t>que soit le jour de la semaine</w:t>
      </w:r>
      <w:r w:rsidR="000F38CA">
        <w:rPr>
          <w:rFonts w:asciiTheme="minorHAnsi" w:hAnsiTheme="minorHAnsi" w:cs="Calibri Light"/>
        </w:rPr>
        <w:t xml:space="preserve"> (</w:t>
      </w:r>
      <w:proofErr w:type="spellStart"/>
      <w:r w:rsidR="000F38CA">
        <w:rPr>
          <w:rFonts w:asciiTheme="minorHAnsi" w:hAnsiTheme="minorHAnsi" w:cs="Calibri Light"/>
        </w:rPr>
        <w:t>cfr</w:t>
      </w:r>
      <w:proofErr w:type="spellEnd"/>
      <w:r w:rsidR="000F38CA">
        <w:rPr>
          <w:rFonts w:asciiTheme="minorHAnsi" w:hAnsiTheme="minorHAnsi" w:cs="Calibri Light"/>
        </w:rPr>
        <w:t xml:space="preserve"> loi du 10.11.2006 relative aux heures d’ouverture dans le commerce)</w:t>
      </w:r>
      <w:r w:rsidRPr="00DA6BD2">
        <w:rPr>
          <w:rFonts w:asciiTheme="minorHAnsi" w:hAnsiTheme="minorHAnsi" w:cs="Calibri Light"/>
        </w:rPr>
        <w:t>.</w:t>
      </w:r>
    </w:p>
    <w:bookmarkEnd w:id="6636"/>
    <w:bookmarkEnd w:id="6638"/>
    <w:p w14:paraId="6937D162" w14:textId="751C3983" w:rsidR="004F40BF" w:rsidRDefault="009B153C" w:rsidP="008D7EB7">
      <w:pPr>
        <w:spacing w:before="120" w:after="240"/>
        <w:jc w:val="both"/>
        <w:textAlignment w:val="baseline"/>
        <w:rPr>
          <w:rFonts w:asciiTheme="minorHAnsi" w:hAnsiTheme="minorHAnsi" w:cs="Calibri Light"/>
        </w:rPr>
      </w:pPr>
      <w:r w:rsidRPr="00DA6BD2">
        <w:rPr>
          <w:rFonts w:asciiTheme="minorHAnsi" w:hAnsiTheme="minorHAnsi" w:cs="Calibri Light"/>
          <w:b/>
        </w:rPr>
        <w:t>« Surface commerciale nette »</w:t>
      </w:r>
      <w:r>
        <w:rPr>
          <w:rFonts w:asciiTheme="minorHAnsi" w:hAnsiTheme="minorHAnsi" w:cs="Calibri Light"/>
          <w:b/>
        </w:rPr>
        <w:t xml:space="preserve"> </w:t>
      </w:r>
      <w:r w:rsidRPr="00DA6BD2">
        <w:rPr>
          <w:rFonts w:asciiTheme="minorHAnsi" w:hAnsiTheme="minorHAnsi" w:cs="Calibri Light"/>
          <w:b/>
        </w:rPr>
        <w:t>:</w:t>
      </w:r>
      <w:r w:rsidRPr="00DA6BD2">
        <w:rPr>
          <w:rFonts w:asciiTheme="minorHAnsi" w:hAnsiTheme="minorHAnsi" w:cs="Calibri Light"/>
        </w:rPr>
        <w:t xml:space="preserve"> la surface destinée à la vente et accessible au public y compris les surfaces non couvertes ; cette surface inclut notamment les zones de caisses, les zones situées à l'arrière des caisses</w:t>
      </w:r>
      <w:r w:rsidR="00FD3340">
        <w:rPr>
          <w:rFonts w:asciiTheme="minorHAnsi" w:hAnsiTheme="minorHAnsi" w:cs="Calibri Light"/>
        </w:rPr>
        <w:t>.</w:t>
      </w:r>
    </w:p>
    <w:p w14:paraId="3A52190A" w14:textId="225098D1" w:rsidR="0058421C" w:rsidRPr="00256E9F" w:rsidRDefault="00D41318" w:rsidP="00F915F6">
      <w:pPr>
        <w:pStyle w:val="Lgende"/>
        <w:spacing w:after="240"/>
        <w:jc w:val="both"/>
      </w:pPr>
      <w:bookmarkStart w:id="6639" w:name="_Hlk68533690"/>
      <w:r w:rsidRPr="00D41318">
        <w:rPr>
          <w:rFonts w:cs="Arial"/>
        </w:rPr>
        <w:t xml:space="preserve"> </w:t>
      </w:r>
      <w:r w:rsidRPr="00256E9F">
        <w:t xml:space="preserve">La taxation au m² semble un bon critère depuis que dans son arrêt du 19 avril 2021 </w:t>
      </w:r>
      <w:r w:rsidRPr="00D41318">
        <w:rPr>
          <w:rStyle w:val="Appelnotedebasdep"/>
          <w:rFonts w:cs="Calibri"/>
          <w:bCs/>
          <w:iCs w:val="0"/>
          <w:color w:val="0000FF"/>
          <w:sz w:val="22"/>
          <w:szCs w:val="22"/>
        </w:rPr>
        <w:footnoteReference w:id="166"/>
      </w:r>
      <w:r w:rsidRPr="00256E9F">
        <w:t xml:space="preserve">la Cour </w:t>
      </w:r>
      <w:r w:rsidRPr="00256E9F">
        <w:lastRenderedPageBreak/>
        <w:t>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p>
    <w:p w14:paraId="6C641CA5" w14:textId="77777777" w:rsidR="00405917" w:rsidRDefault="009B153C" w:rsidP="00256E9F">
      <w:pPr>
        <w:pStyle w:val="Sam3"/>
      </w:pPr>
      <w:bookmarkStart w:id="6640" w:name="_Toc74557793"/>
      <w:bookmarkStart w:id="6641" w:name="_Hlk68533758"/>
      <w:bookmarkStart w:id="6642" w:name="_Toc512525522"/>
      <w:bookmarkStart w:id="6643" w:name="_Toc515896836"/>
      <w:bookmarkEnd w:id="6639"/>
      <w:r w:rsidRPr="00DA6BD2">
        <w:t>04005/364-48 : Phone shops</w:t>
      </w:r>
      <w:bookmarkEnd w:id="6640"/>
    </w:p>
    <w:bookmarkEnd w:id="6641"/>
    <w:p w14:paraId="206E2BA6" w14:textId="69C2D314" w:rsidR="009B153C" w:rsidRPr="00E9189F" w:rsidRDefault="00705A12" w:rsidP="00E063FD">
      <w:r w:rsidRPr="00A03E6A">
        <w:t>T</w:t>
      </w:r>
      <w:r w:rsidR="009B153C" w:rsidRPr="003F0B7B">
        <w:t>axe directe</w:t>
      </w:r>
      <w:r w:rsidRPr="00E9189F">
        <w:t>.</w:t>
      </w:r>
      <w:bookmarkEnd w:id="6642"/>
      <w:bookmarkEnd w:id="6643"/>
    </w:p>
    <w:p w14:paraId="3D8D4BE2" w14:textId="40A48978"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Taux maximum recommandé : </w:t>
      </w:r>
      <w:r w:rsidR="00FD3340" w:rsidRPr="00DA6BD2">
        <w:rPr>
          <w:rFonts w:asciiTheme="minorHAnsi" w:hAnsiTheme="minorHAnsi" w:cs="Calibri Light"/>
        </w:rPr>
        <w:t xml:space="preserve">à </w:t>
      </w:r>
      <w:r w:rsidR="00FD3340" w:rsidRPr="008D7EB7">
        <w:rPr>
          <w:rFonts w:asciiTheme="minorHAnsi" w:hAnsiTheme="minorHAnsi" w:cs="Calibri Light"/>
        </w:rPr>
        <w:t>25</w:t>
      </w:r>
      <w:r w:rsidR="008A59E1" w:rsidRPr="008D7EB7">
        <w:rPr>
          <w:rFonts w:asciiTheme="minorHAnsi" w:hAnsiTheme="minorHAnsi" w:cs="Calibri Light"/>
        </w:rPr>
        <w:t>,00</w:t>
      </w:r>
      <w:r w:rsidR="00FD3340" w:rsidRPr="008D7EB7">
        <w:rPr>
          <w:rFonts w:asciiTheme="minorHAnsi" w:hAnsiTheme="minorHAnsi" w:cs="Calibri Light"/>
        </w:rPr>
        <w:t xml:space="preserve"> euros </w:t>
      </w:r>
      <w:r w:rsidRPr="008A59E1">
        <w:rPr>
          <w:rFonts w:asciiTheme="minorHAnsi" w:hAnsiTheme="minorHAnsi" w:cs="Calibri Light"/>
        </w:rPr>
        <w:t>le m</w:t>
      </w:r>
      <w:r w:rsidRPr="008A59E1">
        <w:rPr>
          <w:rFonts w:asciiTheme="minorHAnsi" w:hAnsiTheme="minorHAnsi" w:cs="Calibri Light"/>
          <w:vertAlign w:val="superscript"/>
        </w:rPr>
        <w:t>2</w:t>
      </w:r>
      <w:r w:rsidRPr="00DA6BD2">
        <w:rPr>
          <w:rFonts w:asciiTheme="minorHAnsi" w:hAnsiTheme="minorHAnsi" w:cs="Calibri Light"/>
        </w:rPr>
        <w:t xml:space="preserve"> avec un montant maximum total recommandé </w:t>
      </w:r>
      <w:r w:rsidRPr="008A59E1">
        <w:rPr>
          <w:rFonts w:asciiTheme="minorHAnsi" w:hAnsiTheme="minorHAnsi" w:cs="Calibri Light"/>
        </w:rPr>
        <w:t xml:space="preserve">de </w:t>
      </w:r>
      <w:r w:rsidR="00FD3340" w:rsidRPr="008D7EB7">
        <w:rPr>
          <w:rFonts w:asciiTheme="minorHAnsi" w:hAnsiTheme="minorHAnsi" w:cs="Calibri Light"/>
        </w:rPr>
        <w:t>3.350</w:t>
      </w:r>
      <w:r w:rsidR="008A59E1" w:rsidRPr="008D7EB7">
        <w:rPr>
          <w:rFonts w:asciiTheme="minorHAnsi" w:hAnsiTheme="minorHAnsi" w:cs="Calibri Light"/>
        </w:rPr>
        <w:t>,00</w:t>
      </w:r>
      <w:r w:rsidR="00FD3340" w:rsidRPr="008D7EB7">
        <w:rPr>
          <w:rFonts w:asciiTheme="minorHAnsi" w:hAnsiTheme="minorHAnsi" w:cs="Calibri Light"/>
        </w:rPr>
        <w:t xml:space="preserve"> euros </w:t>
      </w:r>
      <w:r w:rsidRPr="008A59E1">
        <w:rPr>
          <w:rFonts w:asciiTheme="minorHAnsi" w:hAnsiTheme="minorHAnsi" w:cs="Calibri Light"/>
        </w:rPr>
        <w:t>par</w:t>
      </w:r>
      <w:r w:rsidRPr="00DA6BD2">
        <w:rPr>
          <w:rFonts w:asciiTheme="minorHAnsi" w:hAnsiTheme="minorHAnsi" w:cs="Calibri Light"/>
        </w:rPr>
        <w:t xml:space="preserve"> établissement.</w:t>
      </w:r>
    </w:p>
    <w:p w14:paraId="70A4E900" w14:textId="378ECC1B"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les surfaces inférieures à 50 m</w:t>
      </w:r>
      <w:r w:rsidRPr="00DA6BD2">
        <w:rPr>
          <w:rFonts w:asciiTheme="minorHAnsi" w:hAnsiTheme="minorHAnsi" w:cs="Calibri Light"/>
          <w:vertAlign w:val="superscript"/>
        </w:rPr>
        <w:t>2</w:t>
      </w:r>
      <w:r w:rsidRPr="00DA6BD2">
        <w:rPr>
          <w:rFonts w:asciiTheme="minorHAnsi" w:hAnsiTheme="minorHAnsi" w:cs="Calibri Light"/>
        </w:rPr>
        <w:t xml:space="preserve">, il est possible de prévoir une taxe forfaitaire. Dans ce cas, le montant maximum recommandé est fixé </w:t>
      </w:r>
      <w:r w:rsidRPr="008A59E1">
        <w:rPr>
          <w:rFonts w:asciiTheme="minorHAnsi" w:hAnsiTheme="minorHAnsi" w:cs="Calibri Light"/>
        </w:rPr>
        <w:t xml:space="preserve">à </w:t>
      </w:r>
      <w:r w:rsidR="00FD3340" w:rsidRPr="008D7EB7">
        <w:rPr>
          <w:rFonts w:asciiTheme="minorHAnsi" w:hAnsiTheme="minorHAnsi" w:cs="Calibri Light"/>
        </w:rPr>
        <w:t>1.000</w:t>
      </w:r>
      <w:r w:rsidR="008A59E1" w:rsidRPr="008A59E1">
        <w:rPr>
          <w:rFonts w:asciiTheme="minorHAnsi" w:hAnsiTheme="minorHAnsi" w:cs="Calibri Light"/>
        </w:rPr>
        <w:t>,00</w:t>
      </w:r>
      <w:r w:rsidR="00FD3340" w:rsidRPr="00DA6BD2">
        <w:rPr>
          <w:rFonts w:asciiTheme="minorHAnsi" w:hAnsiTheme="minorHAnsi" w:cs="Calibri Light"/>
        </w:rPr>
        <w:t xml:space="preserve"> euros</w:t>
      </w:r>
      <w:r w:rsidRPr="00DA6BD2">
        <w:rPr>
          <w:rFonts w:asciiTheme="minorHAnsi" w:hAnsiTheme="minorHAnsi" w:cs="Calibri Light"/>
        </w:rPr>
        <w:t>.</w:t>
      </w:r>
    </w:p>
    <w:p w14:paraId="018BA548" w14:textId="2D2C5304" w:rsidR="009B153C" w:rsidRDefault="009B153C" w:rsidP="008D7EB7">
      <w:pPr>
        <w:spacing w:before="120" w:after="240"/>
        <w:jc w:val="both"/>
        <w:textAlignment w:val="baseline"/>
        <w:rPr>
          <w:rFonts w:asciiTheme="minorHAnsi" w:hAnsiTheme="minorHAnsi" w:cs="Calibri Light"/>
        </w:rPr>
      </w:pPr>
      <w:r w:rsidRPr="00DA6BD2">
        <w:rPr>
          <w:rFonts w:asciiTheme="minorHAnsi" w:hAnsiTheme="minorHAnsi" w:cs="Calibri Light"/>
        </w:rPr>
        <w:t>Par phone shop, il faut entendre tout établissement dans lequel des prestations de service d'accès sur place à des outils de télécommunication tels que téléphonie ou internet sont fournis.</w:t>
      </w:r>
    </w:p>
    <w:p w14:paraId="02BA6EA0" w14:textId="37967D2D" w:rsidR="00D41318" w:rsidRDefault="00D41318" w:rsidP="008D7EB7">
      <w:pPr>
        <w:spacing w:before="120" w:after="240"/>
        <w:jc w:val="both"/>
        <w:textAlignment w:val="baseline"/>
        <w:rPr>
          <w:rFonts w:asciiTheme="minorHAnsi" w:hAnsiTheme="minorHAnsi" w:cs="Calibri Light"/>
        </w:rPr>
      </w:pPr>
      <w:r w:rsidRPr="00D41318">
        <w:t xml:space="preserve"> </w:t>
      </w:r>
      <w:r w:rsidRPr="00D41318">
        <w:rPr>
          <w:rFonts w:asciiTheme="minorHAnsi" w:hAnsiTheme="minorHAnsi" w:cs="Calibri Light"/>
        </w:rPr>
        <w:t>La taxation au m² semble un bon critère depuis que</w:t>
      </w:r>
      <w:r w:rsidR="00AB4F0A">
        <w:rPr>
          <w:rFonts w:asciiTheme="minorHAnsi" w:hAnsiTheme="minorHAnsi" w:cs="Calibri Light"/>
        </w:rPr>
        <w:t>,</w:t>
      </w:r>
      <w:r w:rsidRPr="00D41318">
        <w:rPr>
          <w:rFonts w:asciiTheme="minorHAnsi" w:hAnsiTheme="minorHAnsi" w:cs="Calibri Light"/>
        </w:rPr>
        <w:t xml:space="preserve"> dans son arrêt du 19 avril 2021</w:t>
      </w:r>
      <w:r w:rsidR="00AB4F0A">
        <w:rPr>
          <w:rFonts w:asciiTheme="minorHAnsi" w:hAnsiTheme="minorHAnsi" w:cs="Calibri Light"/>
        </w:rPr>
        <w:t>,</w:t>
      </w:r>
      <w:r w:rsidRPr="00D41318">
        <w:rPr>
          <w:rFonts w:asciiTheme="minorHAnsi" w:hAnsiTheme="minorHAnsi" w:cs="Calibri Light"/>
        </w:rPr>
        <w:t xml:space="preserve"> 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p>
    <w:p w14:paraId="65506D6E" w14:textId="5925C6C3" w:rsidR="00705A12" w:rsidRDefault="009B153C" w:rsidP="00256E9F">
      <w:pPr>
        <w:pStyle w:val="Sam3"/>
      </w:pPr>
      <w:bookmarkStart w:id="6644" w:name="_Toc74557794"/>
      <w:bookmarkStart w:id="6645" w:name="_Toc512525523"/>
      <w:bookmarkStart w:id="6646" w:name="_Toc515896837"/>
      <w:r w:rsidRPr="00DA6BD2">
        <w:t>04006/364-48 : Exploitation de parkings</w:t>
      </w:r>
      <w:bookmarkEnd w:id="6644"/>
      <w:r w:rsidRPr="00DA6BD2">
        <w:t xml:space="preserve"> </w:t>
      </w:r>
    </w:p>
    <w:p w14:paraId="59831098" w14:textId="60A8BF84" w:rsidR="009B153C" w:rsidRPr="00E9189F" w:rsidRDefault="00705A12" w:rsidP="00E063FD">
      <w:r w:rsidRPr="00A03E6A">
        <w:t>T</w:t>
      </w:r>
      <w:r w:rsidR="009B153C" w:rsidRPr="003F0B7B">
        <w:t>axe directe</w:t>
      </w:r>
      <w:r w:rsidRPr="00E9189F">
        <w:t>.</w:t>
      </w:r>
      <w:bookmarkEnd w:id="6645"/>
      <w:bookmarkEnd w:id="6646"/>
    </w:p>
    <w:p w14:paraId="14207149" w14:textId="05FB8E00" w:rsidR="009B153C" w:rsidRPr="00DA6BD2" w:rsidRDefault="009B153C">
      <w:pPr>
        <w:spacing w:before="120"/>
        <w:jc w:val="both"/>
        <w:textAlignment w:val="baseline"/>
        <w:rPr>
          <w:rFonts w:asciiTheme="minorHAnsi" w:hAnsiTheme="minorHAnsi" w:cs="Calibri Light"/>
        </w:rPr>
      </w:pPr>
      <w:r w:rsidRPr="00DA6BD2">
        <w:rPr>
          <w:rFonts w:asciiTheme="minorHAnsi" w:hAnsiTheme="minorHAnsi" w:cs="Calibri Light"/>
        </w:rPr>
        <w:t xml:space="preserve">Taux maximum </w:t>
      </w:r>
      <w:r w:rsidRPr="008A59E1">
        <w:rPr>
          <w:rFonts w:asciiTheme="minorHAnsi" w:hAnsiTheme="minorHAnsi" w:cs="Calibri Light"/>
        </w:rPr>
        <w:t xml:space="preserve">recommandé : </w:t>
      </w:r>
      <w:r w:rsidR="00FD3340" w:rsidRPr="00576EF5">
        <w:rPr>
          <w:rFonts w:asciiTheme="minorHAnsi" w:hAnsiTheme="minorHAnsi" w:cs="Calibri Light"/>
        </w:rPr>
        <w:t>1</w:t>
      </w:r>
      <w:r w:rsidR="00E07DEA" w:rsidRPr="00576EF5">
        <w:rPr>
          <w:rFonts w:asciiTheme="minorHAnsi" w:hAnsiTheme="minorHAnsi" w:cs="Calibri Light"/>
        </w:rPr>
        <w:t>12</w:t>
      </w:r>
      <w:r w:rsidR="008A59E1" w:rsidRPr="00576EF5">
        <w:rPr>
          <w:rFonts w:asciiTheme="minorHAnsi" w:hAnsiTheme="minorHAnsi" w:cs="Calibri Light"/>
        </w:rPr>
        <w:t>,00</w:t>
      </w:r>
      <w:r w:rsidR="00FD3340" w:rsidRPr="008A59E1">
        <w:rPr>
          <w:rFonts w:asciiTheme="minorHAnsi" w:hAnsiTheme="minorHAnsi" w:cs="Calibri Light"/>
        </w:rPr>
        <w:t xml:space="preserve"> </w:t>
      </w:r>
      <w:r w:rsidRPr="008A59E1">
        <w:rPr>
          <w:rFonts w:asciiTheme="minorHAnsi" w:hAnsiTheme="minorHAnsi" w:cs="Calibri Light"/>
        </w:rPr>
        <w:t>euros par emplacement</w:t>
      </w:r>
      <w:r w:rsidRPr="00DA6BD2">
        <w:rPr>
          <w:rFonts w:asciiTheme="minorHAnsi" w:hAnsiTheme="minorHAnsi" w:cs="Calibri Light"/>
        </w:rPr>
        <w:t>/an.</w:t>
      </w:r>
    </w:p>
    <w:p w14:paraId="3BA6BDBC" w14:textId="2B089ED8" w:rsidR="009B153C" w:rsidRPr="00DA6BD2" w:rsidRDefault="009B153C" w:rsidP="00E063FD">
      <w:pPr>
        <w:spacing w:before="120"/>
        <w:jc w:val="both"/>
        <w:textAlignment w:val="baseline"/>
        <w:rPr>
          <w:rFonts w:asciiTheme="minorHAnsi" w:hAnsiTheme="minorHAnsi" w:cs="Calibri Light"/>
        </w:rPr>
      </w:pPr>
      <w:bookmarkStart w:id="6647" w:name="_Hlk39038743"/>
      <w:r w:rsidRPr="00DA6BD2">
        <w:rPr>
          <w:rFonts w:asciiTheme="minorHAnsi" w:hAnsiTheme="minorHAnsi" w:cs="Calibri Light"/>
        </w:rPr>
        <w:t>Est visée l'exploitation commerciale de parkings payants ouverts au public.</w:t>
      </w:r>
    </w:p>
    <w:p w14:paraId="06C9A254" w14:textId="3762E3D7"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Par parking, on entend tout lieu réservé au stationnement payant de véhicules automobiles soit sur un terrain du domaine privé à ciel ouvert, soit en ouvrage, en ce compris l'éventuelle plate-forme du dernier niveau.</w:t>
      </w:r>
    </w:p>
    <w:bookmarkEnd w:id="6647"/>
    <w:p w14:paraId="17633373" w14:textId="5CA6940C" w:rsidR="004F40BF" w:rsidRDefault="004F40BF" w:rsidP="008D7EB7">
      <w:pPr>
        <w:spacing w:before="120" w:after="240"/>
        <w:jc w:val="both"/>
        <w:textAlignment w:val="baseline"/>
        <w:rPr>
          <w:rFonts w:asciiTheme="minorHAnsi" w:hAnsiTheme="minorHAnsi" w:cs="Calibri Light"/>
        </w:rPr>
      </w:pPr>
      <w:r>
        <w:rPr>
          <w:rFonts w:asciiTheme="minorHAnsi" w:hAnsiTheme="minorHAnsi" w:cs="Calibri Light"/>
          <w:lang w:val="fr-BE"/>
        </w:rPr>
        <w:t xml:space="preserve">La Déclaration de Politique Régionale prévoit en effet </w:t>
      </w:r>
      <w:r w:rsidR="00671518" w:rsidRPr="008A59E1">
        <w:rPr>
          <w:rFonts w:asciiTheme="minorHAnsi" w:hAnsiTheme="minorHAnsi" w:cs="Calibri Light"/>
          <w:lang w:val="fr-BE"/>
        </w:rPr>
        <w:t>de renforcer</w:t>
      </w:r>
      <w:r w:rsidRPr="008A59E1">
        <w:rPr>
          <w:rFonts w:asciiTheme="minorHAnsi" w:hAnsiTheme="minorHAnsi" w:cs="Calibri Light"/>
          <w:lang w:val="fr-BE"/>
        </w:rPr>
        <w:t xml:space="preserve"> le pouvoir régulateur des villes et communes en matière de fiscalité </w:t>
      </w:r>
      <w:r w:rsidR="00540F33" w:rsidRPr="008A59E1">
        <w:rPr>
          <w:rFonts w:asciiTheme="minorHAnsi" w:hAnsiTheme="minorHAnsi" w:cs="Calibri Light"/>
          <w:lang w:val="fr-BE"/>
        </w:rPr>
        <w:t xml:space="preserve">relative </w:t>
      </w:r>
      <w:r w:rsidRPr="008A59E1">
        <w:rPr>
          <w:rFonts w:asciiTheme="minorHAnsi" w:hAnsiTheme="minorHAnsi" w:cs="Calibri Light"/>
          <w:lang w:val="fr-BE"/>
        </w:rPr>
        <w:t>aux grands centres</w:t>
      </w:r>
      <w:r w:rsidRPr="004F40BF">
        <w:rPr>
          <w:rFonts w:asciiTheme="minorHAnsi" w:hAnsiTheme="minorHAnsi" w:cs="Calibri Light"/>
          <w:lang w:val="fr-BE"/>
        </w:rPr>
        <w:t xml:space="preserve"> commerciaux de périphérie,</w:t>
      </w:r>
      <w:r>
        <w:rPr>
          <w:rFonts w:asciiTheme="minorHAnsi" w:hAnsiTheme="minorHAnsi" w:cs="Calibri Light"/>
          <w:lang w:val="fr-BE"/>
        </w:rPr>
        <w:t xml:space="preserve"> </w:t>
      </w:r>
      <w:r w:rsidRPr="004F40BF">
        <w:rPr>
          <w:rFonts w:asciiTheme="minorHAnsi" w:hAnsiTheme="minorHAnsi" w:cs="Calibri Light"/>
          <w:lang w:val="fr-BE"/>
        </w:rPr>
        <w:t>afin de les faire participer davantage aux politiques de redynamisation urbaine (révision du</w:t>
      </w:r>
      <w:r>
        <w:rPr>
          <w:rFonts w:asciiTheme="minorHAnsi" w:hAnsiTheme="minorHAnsi" w:cs="Calibri Light"/>
          <w:lang w:val="fr-BE"/>
        </w:rPr>
        <w:t xml:space="preserve"> </w:t>
      </w:r>
      <w:r w:rsidRPr="004F40BF">
        <w:rPr>
          <w:rFonts w:asciiTheme="minorHAnsi" w:hAnsiTheme="minorHAnsi" w:cs="Calibri Light"/>
          <w:lang w:val="fr-BE"/>
        </w:rPr>
        <w:t>plafond autorisé pour la taxe sur les parkings) en lien avec le pacte fiscal</w:t>
      </w:r>
      <w:r>
        <w:rPr>
          <w:rFonts w:asciiTheme="minorHAnsi" w:hAnsiTheme="minorHAnsi" w:cs="Calibri Light"/>
          <w:lang w:val="fr-BE"/>
        </w:rPr>
        <w:t>.</w:t>
      </w:r>
    </w:p>
    <w:p w14:paraId="6796AAAB" w14:textId="7A6579A6" w:rsidR="00405917" w:rsidRDefault="00405917" w:rsidP="00256E9F">
      <w:pPr>
        <w:pStyle w:val="Sam3"/>
      </w:pPr>
      <w:bookmarkStart w:id="6648" w:name="_Toc74557795"/>
      <w:bookmarkStart w:id="6649" w:name="_Hlk68533733"/>
      <w:bookmarkStart w:id="6650" w:name="_Hlk36626778"/>
      <w:bookmarkStart w:id="6651" w:name="_Hlk105661339"/>
      <w:r>
        <w:t>04007/364-48 Cannabis shops</w:t>
      </w:r>
      <w:bookmarkEnd w:id="6648"/>
    </w:p>
    <w:bookmarkEnd w:id="6649"/>
    <w:p w14:paraId="63DE2F54" w14:textId="6518A0E2" w:rsidR="00405917" w:rsidRDefault="00405917" w:rsidP="00671240">
      <w:r w:rsidRPr="00A03E6A">
        <w:t>T</w:t>
      </w:r>
      <w:r w:rsidRPr="003F0B7B">
        <w:t>axe directe</w:t>
      </w:r>
      <w:r w:rsidRPr="00E9189F">
        <w:t>.</w:t>
      </w:r>
    </w:p>
    <w:p w14:paraId="5DCA98EF" w14:textId="0CE79048" w:rsidR="00405917" w:rsidRDefault="00405917" w:rsidP="00256E9F">
      <w:pPr>
        <w:spacing w:before="120"/>
        <w:jc w:val="both"/>
        <w:textAlignment w:val="baseline"/>
      </w:pPr>
      <w:bookmarkStart w:id="6652" w:name="_Hlk36627089"/>
      <w:bookmarkEnd w:id="6650"/>
      <w:r w:rsidRPr="00256E9F">
        <w:rPr>
          <w:rFonts w:asciiTheme="minorHAnsi" w:hAnsiTheme="minorHAnsi" w:cs="Calibri Light"/>
        </w:rPr>
        <w:t>Taux</w:t>
      </w:r>
      <w:r w:rsidRPr="00DA6BD2">
        <w:t xml:space="preserve"> </w:t>
      </w:r>
      <w:r w:rsidRPr="008A59E1">
        <w:t xml:space="preserve">maximum recommandé : </w:t>
      </w:r>
      <w:r w:rsidR="00FD3340" w:rsidRPr="008A59E1">
        <w:rPr>
          <w:rFonts w:asciiTheme="minorHAnsi" w:hAnsiTheme="minorHAnsi" w:cs="Calibri Light"/>
        </w:rPr>
        <w:t xml:space="preserve">à </w:t>
      </w:r>
      <w:r w:rsidR="00FD3340" w:rsidRPr="008D7EB7">
        <w:rPr>
          <w:rFonts w:asciiTheme="minorHAnsi" w:hAnsiTheme="minorHAnsi" w:cs="Calibri Light"/>
        </w:rPr>
        <w:t>25</w:t>
      </w:r>
      <w:r w:rsidR="008A59E1" w:rsidRPr="008D7EB7">
        <w:rPr>
          <w:rFonts w:asciiTheme="minorHAnsi" w:hAnsiTheme="minorHAnsi" w:cs="Calibri Light"/>
        </w:rPr>
        <w:t>,00</w:t>
      </w:r>
      <w:r w:rsidR="00FD3340" w:rsidRPr="008D7EB7">
        <w:rPr>
          <w:rFonts w:asciiTheme="minorHAnsi" w:hAnsiTheme="minorHAnsi" w:cs="Calibri Light"/>
        </w:rPr>
        <w:t xml:space="preserve"> euros</w:t>
      </w:r>
      <w:r w:rsidR="00FD3340" w:rsidRPr="008A59E1">
        <w:rPr>
          <w:rFonts w:asciiTheme="minorHAnsi" w:hAnsiTheme="minorHAnsi" w:cs="Calibri Light"/>
        </w:rPr>
        <w:t xml:space="preserve"> </w:t>
      </w:r>
      <w:r w:rsidRPr="008A59E1">
        <w:t xml:space="preserve">de surface commerciale nette avec un montant maximum total recommandé de </w:t>
      </w:r>
      <w:r w:rsidR="00FD3340" w:rsidRPr="008D7EB7">
        <w:rPr>
          <w:rFonts w:asciiTheme="minorHAnsi" w:hAnsiTheme="minorHAnsi" w:cs="Calibri Light"/>
        </w:rPr>
        <w:t>3.350</w:t>
      </w:r>
      <w:r w:rsidR="008A59E1" w:rsidRPr="008D7EB7">
        <w:rPr>
          <w:rFonts w:asciiTheme="minorHAnsi" w:hAnsiTheme="minorHAnsi" w:cs="Calibri Light"/>
        </w:rPr>
        <w:t>,00</w:t>
      </w:r>
      <w:r w:rsidR="00FD3340" w:rsidRPr="008D7EB7">
        <w:rPr>
          <w:rFonts w:asciiTheme="minorHAnsi" w:hAnsiTheme="minorHAnsi" w:cs="Calibri Light"/>
        </w:rPr>
        <w:t xml:space="preserve"> euros </w:t>
      </w:r>
      <w:r w:rsidRPr="008A59E1">
        <w:t>par établissement</w:t>
      </w:r>
      <w:r w:rsidRPr="00DA6BD2">
        <w:t>.</w:t>
      </w:r>
    </w:p>
    <w:p w14:paraId="667437F5" w14:textId="77777777" w:rsidR="00405917" w:rsidRPr="00DA6BD2" w:rsidRDefault="00405917" w:rsidP="00671240"/>
    <w:p w14:paraId="4059E67C" w14:textId="61EAED30" w:rsidR="00405917" w:rsidRDefault="00405917" w:rsidP="00671240">
      <w:r w:rsidRPr="00DA6BD2">
        <w:t>Pour les surfaces inférieures à 50 m</w:t>
      </w:r>
      <w:r w:rsidRPr="00CB48CD">
        <w:rPr>
          <w:vertAlign w:val="superscript"/>
        </w:rPr>
        <w:t>2</w:t>
      </w:r>
      <w:r w:rsidRPr="00DA6BD2">
        <w:t xml:space="preserve">, il est possible de prévoir une taxe forfaitaire. Dans ce cas, le montant maximum recommandé est </w:t>
      </w:r>
      <w:r w:rsidRPr="008A59E1">
        <w:t xml:space="preserve">fixé à </w:t>
      </w:r>
      <w:r w:rsidR="00FD3340" w:rsidRPr="008D7EB7">
        <w:rPr>
          <w:rFonts w:asciiTheme="minorHAnsi" w:hAnsiTheme="minorHAnsi" w:cs="Calibri Light"/>
        </w:rPr>
        <w:t>1.000</w:t>
      </w:r>
      <w:r w:rsidR="008A59E1" w:rsidRPr="008A59E1">
        <w:rPr>
          <w:rFonts w:asciiTheme="minorHAnsi" w:hAnsiTheme="minorHAnsi" w:cs="Calibri Light"/>
        </w:rPr>
        <w:t>,00</w:t>
      </w:r>
      <w:r w:rsidR="00FD3340" w:rsidRPr="008A59E1">
        <w:rPr>
          <w:rFonts w:asciiTheme="minorHAnsi" w:hAnsiTheme="minorHAnsi" w:cs="Calibri Light"/>
        </w:rPr>
        <w:t xml:space="preserve"> euros</w:t>
      </w:r>
      <w:r w:rsidRPr="00DA6BD2">
        <w:t>.</w:t>
      </w:r>
    </w:p>
    <w:p w14:paraId="341984A5" w14:textId="77777777" w:rsidR="00405917" w:rsidRPr="00DA6BD2" w:rsidRDefault="00405917" w:rsidP="00671240"/>
    <w:p w14:paraId="1F9C1EC7" w14:textId="53C396CB" w:rsidR="00405917" w:rsidRDefault="00405917" w:rsidP="00671240">
      <w:pPr>
        <w:jc w:val="both"/>
      </w:pPr>
      <w:r>
        <w:lastRenderedPageBreak/>
        <w:t xml:space="preserve">Par cannabis-shop, il faut entendre </w:t>
      </w:r>
      <w:r w:rsidR="00A377CA" w:rsidRPr="00A377CA">
        <w:t xml:space="preserve">tout établissement dont l’activité principale ou accessoire consiste en la vente aux détails de produits à base de </w:t>
      </w:r>
      <w:proofErr w:type="spellStart"/>
      <w:r w:rsidR="00A377CA" w:rsidRPr="00A377CA">
        <w:t>cannabidiol</w:t>
      </w:r>
      <w:proofErr w:type="spellEnd"/>
      <w:r w:rsidR="00A377CA" w:rsidRPr="00A377CA">
        <w:t xml:space="preserve"> (CBD) sous quelque forme et conditionnement que ce soit et qui ne peut pas attester par tout document probant que</w:t>
      </w:r>
      <w:r w:rsidR="00A377CA">
        <w:t xml:space="preserve"> tous</w:t>
      </w:r>
      <w:r w:rsidR="00A377CA" w:rsidRPr="00A377CA">
        <w:t xml:space="preserve"> les produits susvisés ont fait l’objet d’analyses en Belgique, lesquelles confirment bien qu’ils ne contiennent pas plus de 0,2% de THC</w:t>
      </w:r>
      <w:bookmarkEnd w:id="6651"/>
      <w:r>
        <w:t>.</w:t>
      </w:r>
    </w:p>
    <w:p w14:paraId="747B8E4C" w14:textId="77777777" w:rsidR="00405917" w:rsidRDefault="00405917" w:rsidP="00671240">
      <w:pPr>
        <w:jc w:val="both"/>
      </w:pPr>
    </w:p>
    <w:p w14:paraId="43557343" w14:textId="56A8FC56" w:rsidR="00405917" w:rsidRDefault="00405917" w:rsidP="008D7EB7">
      <w:pPr>
        <w:spacing w:after="240"/>
        <w:jc w:val="both"/>
      </w:pPr>
      <w:r>
        <w:t xml:space="preserve">La surface commerciale nette est la surface destinée </w:t>
      </w:r>
      <w:r w:rsidRPr="00DA6BD2">
        <w:t>à la vente et accessible au public y compris les surfaces non couvertes ; cette surface inclut notamment les zones de caisses, les zones situées à l'arrière des caisses.</w:t>
      </w:r>
    </w:p>
    <w:p w14:paraId="2BE55286" w14:textId="7E90B9FC" w:rsidR="009959FD" w:rsidRDefault="00D41318" w:rsidP="008D7EB7">
      <w:pPr>
        <w:spacing w:after="240"/>
        <w:jc w:val="both"/>
      </w:pPr>
      <w:bookmarkStart w:id="6653" w:name="_Hlk93302692"/>
      <w:r w:rsidRPr="00D41318">
        <w:t xml:space="preserve">La taxation au m² semble un bon critère depuis que dans son arrêt du 19 avril </w:t>
      </w:r>
      <w:r w:rsidRPr="00F915F6">
        <w:t xml:space="preserve">2021 </w:t>
      </w:r>
      <w:r w:rsidRPr="00F915F6">
        <w:rPr>
          <w:rFonts w:cs="Calibri"/>
          <w:bCs/>
          <w:sz w:val="22"/>
          <w:szCs w:val="22"/>
          <w:vertAlign w:val="superscript"/>
          <w:lang w:val="fr-BE"/>
        </w:rPr>
        <w:footnoteReference w:id="167"/>
      </w:r>
      <w:r w:rsidRPr="00F915F6">
        <w:t xml:space="preserve">la </w:t>
      </w:r>
      <w:r w:rsidRPr="00D41318">
        <w:t>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p>
    <w:p w14:paraId="64013979" w14:textId="3E7D80BB" w:rsidR="004A48F5" w:rsidRDefault="004A48F5" w:rsidP="00256E9F">
      <w:pPr>
        <w:pStyle w:val="Sam3"/>
      </w:pPr>
      <w:bookmarkStart w:id="6654" w:name="_Toc74557796"/>
      <w:bookmarkStart w:id="6655" w:name="_Hlk68533704"/>
      <w:bookmarkEnd w:id="6652"/>
      <w:bookmarkEnd w:id="6653"/>
      <w:r w:rsidRPr="00992DED">
        <w:t>0400</w:t>
      </w:r>
      <w:r w:rsidR="00DE5C49" w:rsidRPr="00992DED">
        <w:t>8</w:t>
      </w:r>
      <w:r w:rsidRPr="00992DED">
        <w:t>/</w:t>
      </w:r>
      <w:r>
        <w:t>364-48 Bar à chichas, pipes à eau et assimilés</w:t>
      </w:r>
      <w:bookmarkEnd w:id="6654"/>
    </w:p>
    <w:bookmarkEnd w:id="6655"/>
    <w:p w14:paraId="1E06C734" w14:textId="77777777" w:rsidR="004A48F5" w:rsidRDefault="004A48F5" w:rsidP="008D7EB7">
      <w:pPr>
        <w:spacing w:after="120"/>
      </w:pPr>
      <w:r w:rsidRPr="00A03E6A">
        <w:t>T</w:t>
      </w:r>
      <w:r w:rsidRPr="003F0B7B">
        <w:t>axe directe</w:t>
      </w:r>
      <w:r w:rsidRPr="00E9189F">
        <w:t>.</w:t>
      </w:r>
    </w:p>
    <w:p w14:paraId="76A93D90" w14:textId="308FA37F" w:rsidR="004A48F5" w:rsidRDefault="004A48F5" w:rsidP="008D7EB7">
      <w:pPr>
        <w:spacing w:after="120"/>
      </w:pPr>
      <w:r w:rsidRPr="00DA6BD2">
        <w:t xml:space="preserve">Taux maximum recommandé : </w:t>
      </w:r>
      <w:r w:rsidR="00FD3340" w:rsidRPr="00DA6BD2">
        <w:rPr>
          <w:rFonts w:asciiTheme="minorHAnsi" w:hAnsiTheme="minorHAnsi" w:cs="Calibri Light"/>
        </w:rPr>
        <w:t xml:space="preserve">à </w:t>
      </w:r>
      <w:r w:rsidR="00FD3340" w:rsidRPr="008D7EB7">
        <w:rPr>
          <w:rFonts w:asciiTheme="minorHAnsi" w:hAnsiTheme="minorHAnsi" w:cs="Calibri Light"/>
        </w:rPr>
        <w:t>25</w:t>
      </w:r>
      <w:r w:rsidR="008A59E1" w:rsidRPr="008D7EB7">
        <w:rPr>
          <w:rFonts w:asciiTheme="minorHAnsi" w:hAnsiTheme="minorHAnsi" w:cs="Calibri Light"/>
        </w:rPr>
        <w:t>,00</w:t>
      </w:r>
      <w:r w:rsidR="00FD3340" w:rsidRPr="008D7EB7">
        <w:rPr>
          <w:rFonts w:asciiTheme="minorHAnsi" w:hAnsiTheme="minorHAnsi" w:cs="Calibri Light"/>
        </w:rPr>
        <w:t xml:space="preserve"> euros</w:t>
      </w:r>
      <w:r w:rsidR="00FD3340" w:rsidRPr="008A59E1">
        <w:rPr>
          <w:rFonts w:asciiTheme="minorHAnsi" w:hAnsiTheme="minorHAnsi" w:cs="Calibri Light"/>
        </w:rPr>
        <w:t xml:space="preserve"> </w:t>
      </w:r>
      <w:r w:rsidRPr="008A59E1">
        <w:t>de</w:t>
      </w:r>
      <w:r>
        <w:t xml:space="preserve"> surface commerciale nette </w:t>
      </w:r>
      <w:r w:rsidRPr="00DA6BD2">
        <w:t xml:space="preserve">avec un montant maximum total recommandé </w:t>
      </w:r>
      <w:r w:rsidRPr="008A59E1">
        <w:t xml:space="preserve">de </w:t>
      </w:r>
      <w:r w:rsidR="00FD3340" w:rsidRPr="008D7EB7">
        <w:rPr>
          <w:rFonts w:asciiTheme="minorHAnsi" w:hAnsiTheme="minorHAnsi" w:cs="Calibri Light"/>
        </w:rPr>
        <w:t>3.350</w:t>
      </w:r>
      <w:r w:rsidR="008A59E1" w:rsidRPr="008D7EB7">
        <w:rPr>
          <w:rFonts w:asciiTheme="minorHAnsi" w:hAnsiTheme="minorHAnsi" w:cs="Calibri Light"/>
        </w:rPr>
        <w:t>,00</w:t>
      </w:r>
      <w:r w:rsidR="00FD3340" w:rsidRPr="008D7EB7">
        <w:rPr>
          <w:rFonts w:asciiTheme="minorHAnsi" w:hAnsiTheme="minorHAnsi" w:cs="Calibri Light"/>
        </w:rPr>
        <w:t xml:space="preserve"> euros</w:t>
      </w:r>
      <w:r w:rsidR="00FD3340" w:rsidRPr="008A59E1">
        <w:rPr>
          <w:rFonts w:asciiTheme="minorHAnsi" w:hAnsiTheme="minorHAnsi" w:cs="Calibri Light"/>
        </w:rPr>
        <w:t xml:space="preserve"> </w:t>
      </w:r>
      <w:r w:rsidRPr="00DA6BD2">
        <w:t>par établissement.</w:t>
      </w:r>
    </w:p>
    <w:p w14:paraId="364D9CD3" w14:textId="5DB1C922" w:rsidR="004A48F5" w:rsidRDefault="004A48F5" w:rsidP="008D7EB7">
      <w:pPr>
        <w:spacing w:after="120"/>
      </w:pPr>
      <w:r w:rsidRPr="00DA6BD2">
        <w:t>Pour les surfaces inférieures à 50 m</w:t>
      </w:r>
      <w:r w:rsidRPr="00CB48CD">
        <w:rPr>
          <w:vertAlign w:val="superscript"/>
        </w:rPr>
        <w:t>2</w:t>
      </w:r>
      <w:r w:rsidRPr="00DA6BD2">
        <w:t xml:space="preserve">, il est possible de prévoir une taxe forfaitaire. Dans ce cas, le montant maximum </w:t>
      </w:r>
      <w:r w:rsidRPr="008A59E1">
        <w:t xml:space="preserve">recommandé est fixé à </w:t>
      </w:r>
      <w:r w:rsidR="00FD3340" w:rsidRPr="008D7EB7">
        <w:rPr>
          <w:rFonts w:asciiTheme="minorHAnsi" w:hAnsiTheme="minorHAnsi" w:cs="Calibri Light"/>
        </w:rPr>
        <w:t>1.000</w:t>
      </w:r>
      <w:r w:rsidR="008A59E1" w:rsidRPr="008A59E1">
        <w:rPr>
          <w:rFonts w:asciiTheme="minorHAnsi" w:hAnsiTheme="minorHAnsi" w:cs="Calibri Light"/>
        </w:rPr>
        <w:t>,00</w:t>
      </w:r>
      <w:r w:rsidR="00FD3340">
        <w:rPr>
          <w:rFonts w:asciiTheme="minorHAnsi" w:hAnsiTheme="minorHAnsi" w:cs="Calibri Light"/>
        </w:rPr>
        <w:t xml:space="preserve"> </w:t>
      </w:r>
      <w:r w:rsidR="00FD3340" w:rsidRPr="00DA6BD2">
        <w:rPr>
          <w:rFonts w:asciiTheme="minorHAnsi" w:hAnsiTheme="minorHAnsi" w:cs="Calibri Light"/>
        </w:rPr>
        <w:t>euros</w:t>
      </w:r>
      <w:r w:rsidR="00FD3340">
        <w:rPr>
          <w:rFonts w:asciiTheme="minorHAnsi" w:hAnsiTheme="minorHAnsi" w:cs="Calibri Light"/>
        </w:rPr>
        <w:t>.</w:t>
      </w:r>
    </w:p>
    <w:p w14:paraId="6672301C" w14:textId="087E08A7" w:rsidR="004A48F5" w:rsidRDefault="004A48F5" w:rsidP="008D7EB7">
      <w:pPr>
        <w:spacing w:after="120"/>
        <w:jc w:val="both"/>
      </w:pPr>
      <w:r>
        <w:t xml:space="preserve">Par bar à chichas, il faut entendre tout établissement dont l’activité principale </w:t>
      </w:r>
      <w:r w:rsidR="007334BF">
        <w:t>et permanente</w:t>
      </w:r>
      <w:r>
        <w:t xml:space="preserve"> consiste </w:t>
      </w:r>
      <w:r w:rsidR="007334BF">
        <w:t>à servir non seulement des boissons, y compris des boissons alcoolisées, destinées à être consommées sur place mais également à mettre à disposition tout objet de type narguilé, ou pipe orientale équipée d’un réservoir d’eau parfumée, permettant de fumer grâce à un système d’évaporation d’eau</w:t>
      </w:r>
      <w:r>
        <w:t>.</w:t>
      </w:r>
    </w:p>
    <w:p w14:paraId="062F647B" w14:textId="72164196" w:rsidR="004A48F5" w:rsidRDefault="004A48F5" w:rsidP="008D7EB7">
      <w:pPr>
        <w:spacing w:after="120"/>
        <w:jc w:val="both"/>
      </w:pPr>
      <w:r>
        <w:t xml:space="preserve">La surface commerciale nette est la surface destinée </w:t>
      </w:r>
      <w:r w:rsidRPr="00DA6BD2">
        <w:t>à l</w:t>
      </w:r>
      <w:r w:rsidR="007334BF">
        <w:t>’</w:t>
      </w:r>
      <w:r w:rsidRPr="00DA6BD2">
        <w:t>a</w:t>
      </w:r>
      <w:r w:rsidR="007334BF">
        <w:t>ctivité définie ci-dessus,</w:t>
      </w:r>
      <w:r w:rsidRPr="00DA6BD2">
        <w:t xml:space="preserve"> accessible au public y compris les surfaces non couvertes</w:t>
      </w:r>
      <w:r w:rsidR="007334BF">
        <w:t xml:space="preserve"> et</w:t>
      </w:r>
      <w:r w:rsidRPr="00DA6BD2">
        <w:t xml:space="preserve"> inclu</w:t>
      </w:r>
      <w:r w:rsidR="007334BF">
        <w:t>an</w:t>
      </w:r>
      <w:r w:rsidRPr="00DA6BD2">
        <w:t>t notamment le</w:t>
      </w:r>
      <w:r w:rsidR="007334BF">
        <w:t xml:space="preserve"> comptoir et</w:t>
      </w:r>
      <w:r w:rsidRPr="00DA6BD2">
        <w:t xml:space="preserve"> les zones situées à l'arrière</w:t>
      </w:r>
      <w:r w:rsidR="007334BF">
        <w:t xml:space="preserve"> de celui-ci</w:t>
      </w:r>
      <w:r w:rsidRPr="00DA6BD2">
        <w:t>.</w:t>
      </w:r>
    </w:p>
    <w:p w14:paraId="2EFC1DB0" w14:textId="15E6B72E" w:rsidR="00865CB5" w:rsidRDefault="00D41318" w:rsidP="008D7EB7">
      <w:pPr>
        <w:spacing w:after="120"/>
        <w:jc w:val="both"/>
      </w:pPr>
      <w:r w:rsidRPr="00D41318">
        <w:t xml:space="preserve">. La taxation au m² semble un bon critère depuis que dans son arrêt du 19 avril 2021 </w:t>
      </w:r>
      <w:r w:rsidRPr="00D41318">
        <w:rPr>
          <w:rFonts w:cs="Calibri"/>
          <w:bCs/>
          <w:color w:val="0000FF"/>
          <w:sz w:val="22"/>
          <w:szCs w:val="22"/>
          <w:vertAlign w:val="superscript"/>
          <w:lang w:val="fr-BE"/>
        </w:rPr>
        <w:footnoteReference w:id="168"/>
      </w:r>
      <w:r w:rsidRPr="00D41318">
        <w:t>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r>
        <w:t>.</w:t>
      </w:r>
    </w:p>
    <w:p w14:paraId="7A90615A" w14:textId="75D5EDFF" w:rsidR="00F915F6" w:rsidRDefault="00F915F6" w:rsidP="00865CB5">
      <w:pPr>
        <w:spacing w:after="120"/>
        <w:jc w:val="both"/>
        <w:rPr>
          <w:b/>
          <w:bCs/>
        </w:rPr>
      </w:pPr>
    </w:p>
    <w:p w14:paraId="2B18455A" w14:textId="77777777" w:rsidR="00954869" w:rsidRDefault="00954869" w:rsidP="00865CB5">
      <w:pPr>
        <w:spacing w:after="120"/>
        <w:jc w:val="both"/>
        <w:rPr>
          <w:b/>
          <w:bCs/>
        </w:rPr>
      </w:pPr>
    </w:p>
    <w:p w14:paraId="00651981" w14:textId="77777777" w:rsidR="00996D79" w:rsidRDefault="00996D79" w:rsidP="00581DAD">
      <w:pPr>
        <w:pStyle w:val="Sam2"/>
      </w:pPr>
      <w:bookmarkStart w:id="6656" w:name="_Toc40185593"/>
      <w:bookmarkStart w:id="6657" w:name="_Toc40186328"/>
      <w:bookmarkStart w:id="6658" w:name="_Toc8121871"/>
      <w:bookmarkStart w:id="6659" w:name="_Toc8129812"/>
      <w:bookmarkStart w:id="6660" w:name="_Toc74557797"/>
      <w:bookmarkEnd w:id="6656"/>
      <w:bookmarkEnd w:id="6657"/>
      <w:bookmarkEnd w:id="6658"/>
      <w:bookmarkEnd w:id="6659"/>
      <w:r>
        <w:lastRenderedPageBreak/>
        <w:t>Taxe sur les spectacles et divertissements</w:t>
      </w:r>
      <w:bookmarkEnd w:id="6660"/>
      <w:r>
        <w:t xml:space="preserve"> </w:t>
      </w:r>
    </w:p>
    <w:p w14:paraId="41902B0D" w14:textId="77777777" w:rsidR="00705A12" w:rsidRDefault="009B153C" w:rsidP="00256E9F">
      <w:pPr>
        <w:pStyle w:val="Sam3"/>
      </w:pPr>
      <w:bookmarkStart w:id="6661" w:name="_Toc516229755"/>
      <w:bookmarkStart w:id="6662" w:name="_Toc516230050"/>
      <w:bookmarkStart w:id="6663" w:name="_Toc516230345"/>
      <w:bookmarkStart w:id="6664" w:name="_Toc516230639"/>
      <w:bookmarkStart w:id="6665" w:name="_Toc516230933"/>
      <w:bookmarkStart w:id="6666" w:name="_Toc516231228"/>
      <w:bookmarkStart w:id="6667" w:name="_Toc516231523"/>
      <w:bookmarkStart w:id="6668" w:name="_Toc516231820"/>
      <w:bookmarkStart w:id="6669" w:name="_Toc516242915"/>
      <w:bookmarkStart w:id="6670" w:name="_Toc516243219"/>
      <w:bookmarkStart w:id="6671" w:name="_Toc516245155"/>
      <w:bookmarkStart w:id="6672" w:name="_Toc516473726"/>
      <w:bookmarkStart w:id="6673" w:name="_Toc516474036"/>
      <w:bookmarkStart w:id="6674" w:name="_Toc516474346"/>
      <w:bookmarkStart w:id="6675" w:name="_Toc516474654"/>
      <w:bookmarkStart w:id="6676" w:name="_Toc516474986"/>
      <w:bookmarkStart w:id="6677" w:name="_Toc516479063"/>
      <w:bookmarkStart w:id="6678" w:name="_Toc516479483"/>
      <w:bookmarkStart w:id="6679" w:name="_Toc516479800"/>
      <w:bookmarkStart w:id="6680" w:name="_Toc516480122"/>
      <w:bookmarkStart w:id="6681" w:name="_Toc516480436"/>
      <w:bookmarkStart w:id="6682" w:name="_Toc516480750"/>
      <w:bookmarkStart w:id="6683" w:name="_Toc516481064"/>
      <w:bookmarkStart w:id="6684" w:name="_Toc516481378"/>
      <w:bookmarkStart w:id="6685" w:name="_Toc516481692"/>
      <w:bookmarkStart w:id="6686" w:name="_Toc516482006"/>
      <w:bookmarkStart w:id="6687" w:name="_Toc516482320"/>
      <w:bookmarkStart w:id="6688" w:name="_Toc516482634"/>
      <w:bookmarkStart w:id="6689" w:name="_Toc516739880"/>
      <w:bookmarkStart w:id="6690" w:name="_Toc516751789"/>
      <w:bookmarkStart w:id="6691" w:name="_Toc516825877"/>
      <w:bookmarkStart w:id="6692" w:name="_Toc516826435"/>
      <w:bookmarkStart w:id="6693" w:name="_Toc516837755"/>
      <w:bookmarkStart w:id="6694" w:name="_Toc516838314"/>
      <w:bookmarkStart w:id="6695" w:name="_Toc516838873"/>
      <w:bookmarkStart w:id="6696" w:name="_Toc516839433"/>
      <w:bookmarkStart w:id="6697" w:name="_Toc517173529"/>
      <w:bookmarkStart w:id="6698" w:name="_Toc517175203"/>
      <w:bookmarkStart w:id="6699" w:name="_Toc517175790"/>
      <w:bookmarkStart w:id="6700" w:name="_Toc517176378"/>
      <w:bookmarkStart w:id="6701" w:name="_Toc517337703"/>
      <w:bookmarkStart w:id="6702" w:name="_Toc517360499"/>
      <w:bookmarkStart w:id="6703" w:name="_Toc516245156"/>
      <w:bookmarkStart w:id="6704" w:name="_Toc516473727"/>
      <w:bookmarkStart w:id="6705" w:name="_Toc516474037"/>
      <w:bookmarkStart w:id="6706" w:name="_Toc516474347"/>
      <w:bookmarkStart w:id="6707" w:name="_Toc516474655"/>
      <w:bookmarkStart w:id="6708" w:name="_Toc516474987"/>
      <w:bookmarkStart w:id="6709" w:name="_Toc516479064"/>
      <w:bookmarkStart w:id="6710" w:name="_Toc516479484"/>
      <w:bookmarkStart w:id="6711" w:name="_Toc516479801"/>
      <w:bookmarkStart w:id="6712" w:name="_Toc516480123"/>
      <w:bookmarkStart w:id="6713" w:name="_Toc516480437"/>
      <w:bookmarkStart w:id="6714" w:name="_Toc516480751"/>
      <w:bookmarkStart w:id="6715" w:name="_Toc516481065"/>
      <w:bookmarkStart w:id="6716" w:name="_Toc516481379"/>
      <w:bookmarkStart w:id="6717" w:name="_Toc516481693"/>
      <w:bookmarkStart w:id="6718" w:name="_Toc516482007"/>
      <w:bookmarkStart w:id="6719" w:name="_Toc516482321"/>
      <w:bookmarkStart w:id="6720" w:name="_Toc516482635"/>
      <w:bookmarkStart w:id="6721" w:name="_Toc516739881"/>
      <w:bookmarkStart w:id="6722" w:name="_Toc516751790"/>
      <w:bookmarkStart w:id="6723" w:name="_Toc516825878"/>
      <w:bookmarkStart w:id="6724" w:name="_Toc516826436"/>
      <w:bookmarkStart w:id="6725" w:name="_Toc516837756"/>
      <w:bookmarkStart w:id="6726" w:name="_Toc516838315"/>
      <w:bookmarkStart w:id="6727" w:name="_Toc516838874"/>
      <w:bookmarkStart w:id="6728" w:name="_Toc516839434"/>
      <w:bookmarkStart w:id="6729" w:name="_Toc517173530"/>
      <w:bookmarkStart w:id="6730" w:name="_Toc517175204"/>
      <w:bookmarkStart w:id="6731" w:name="_Toc517175791"/>
      <w:bookmarkStart w:id="6732" w:name="_Toc517176379"/>
      <w:bookmarkStart w:id="6733" w:name="_Toc517337704"/>
      <w:bookmarkStart w:id="6734" w:name="_Toc517360500"/>
      <w:bookmarkStart w:id="6735" w:name="_Toc516245157"/>
      <w:bookmarkStart w:id="6736" w:name="_Toc516473728"/>
      <w:bookmarkStart w:id="6737" w:name="_Toc516474038"/>
      <w:bookmarkStart w:id="6738" w:name="_Toc516474348"/>
      <w:bookmarkStart w:id="6739" w:name="_Toc516474656"/>
      <w:bookmarkStart w:id="6740" w:name="_Toc516474988"/>
      <w:bookmarkStart w:id="6741" w:name="_Toc516479065"/>
      <w:bookmarkStart w:id="6742" w:name="_Toc516479485"/>
      <w:bookmarkStart w:id="6743" w:name="_Toc516479802"/>
      <w:bookmarkStart w:id="6744" w:name="_Toc516480124"/>
      <w:bookmarkStart w:id="6745" w:name="_Toc516480438"/>
      <w:bookmarkStart w:id="6746" w:name="_Toc516480752"/>
      <w:bookmarkStart w:id="6747" w:name="_Toc516481066"/>
      <w:bookmarkStart w:id="6748" w:name="_Toc516481380"/>
      <w:bookmarkStart w:id="6749" w:name="_Toc516481694"/>
      <w:bookmarkStart w:id="6750" w:name="_Toc516482008"/>
      <w:bookmarkStart w:id="6751" w:name="_Toc516482322"/>
      <w:bookmarkStart w:id="6752" w:name="_Toc516482636"/>
      <w:bookmarkStart w:id="6753" w:name="_Toc516739882"/>
      <w:bookmarkStart w:id="6754" w:name="_Toc516751791"/>
      <w:bookmarkStart w:id="6755" w:name="_Toc516825879"/>
      <w:bookmarkStart w:id="6756" w:name="_Toc516826437"/>
      <w:bookmarkStart w:id="6757" w:name="_Toc516837757"/>
      <w:bookmarkStart w:id="6758" w:name="_Toc516838316"/>
      <w:bookmarkStart w:id="6759" w:name="_Toc516838875"/>
      <w:bookmarkStart w:id="6760" w:name="_Toc516839435"/>
      <w:bookmarkStart w:id="6761" w:name="_Toc517173531"/>
      <w:bookmarkStart w:id="6762" w:name="_Toc517175205"/>
      <w:bookmarkStart w:id="6763" w:name="_Toc517175792"/>
      <w:bookmarkStart w:id="6764" w:name="_Toc517176380"/>
      <w:bookmarkStart w:id="6765" w:name="_Toc517337705"/>
      <w:bookmarkStart w:id="6766" w:name="_Toc517360501"/>
      <w:bookmarkStart w:id="6767" w:name="_Toc74557798"/>
      <w:bookmarkStart w:id="6768" w:name="_Toc512525525"/>
      <w:bookmarkStart w:id="6769" w:name="_Toc515896839"/>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r w:rsidRPr="00DA6BD2">
        <w:t>040/365-01 : Spectacles et divertissements</w:t>
      </w:r>
      <w:bookmarkEnd w:id="6767"/>
      <w:r w:rsidRPr="00DA6BD2">
        <w:t xml:space="preserve"> </w:t>
      </w:r>
    </w:p>
    <w:p w14:paraId="52D06C9C" w14:textId="19097D59" w:rsidR="009B153C" w:rsidRPr="00E9189F" w:rsidRDefault="00705A12" w:rsidP="00E063FD">
      <w:r w:rsidRPr="00A03E6A">
        <w:t>T</w:t>
      </w:r>
      <w:r w:rsidR="009B153C" w:rsidRPr="003F0B7B">
        <w:t>axe indirecte</w:t>
      </w:r>
      <w:r w:rsidRPr="00E9189F">
        <w:t>.</w:t>
      </w:r>
      <w:bookmarkEnd w:id="6768"/>
      <w:bookmarkEnd w:id="6769"/>
    </w:p>
    <w:p w14:paraId="20E39190"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nature des divertissements influence fortement les maximas appliqués : ceux-ci s'échelonnent de 10 % à 31 % sur les recettes diverses et de 8,5 à 33,75 % sur le produit des billets d'entrée.</w:t>
      </w:r>
    </w:p>
    <w:p w14:paraId="55540293" w14:textId="77777777" w:rsidR="00AA2694" w:rsidRDefault="00AA2694" w:rsidP="00E063FD">
      <w:pPr>
        <w:spacing w:before="120"/>
        <w:jc w:val="both"/>
        <w:textAlignment w:val="baseline"/>
        <w:rPr>
          <w:rFonts w:asciiTheme="minorHAnsi" w:hAnsiTheme="minorHAnsi" w:cs="Calibri Light"/>
        </w:rPr>
      </w:pPr>
      <w:r w:rsidRPr="00DA6BD2">
        <w:rPr>
          <w:rFonts w:asciiTheme="minorHAnsi" w:hAnsiTheme="minorHAnsi" w:cs="Calibri Light"/>
        </w:rPr>
        <w:t>Il est prudent d’adopter un taux forfaitaire, le cas échéant couplé à un montant maximum fixé à un pourcentage du prix du billet (par exemple, x € par billet avec un taux maximum de x</w:t>
      </w:r>
      <w:r>
        <w:rPr>
          <w:rFonts w:asciiTheme="minorHAnsi" w:hAnsiTheme="minorHAnsi" w:cs="Calibri Light"/>
        </w:rPr>
        <w:t xml:space="preserve"> </w:t>
      </w:r>
      <w:r w:rsidRPr="00DA6BD2">
        <w:rPr>
          <w:rFonts w:asciiTheme="minorHAnsi" w:hAnsiTheme="minorHAnsi" w:cs="Calibri Light"/>
        </w:rPr>
        <w:t>% du prix du billet)</w:t>
      </w:r>
      <w:r>
        <w:rPr>
          <w:rFonts w:asciiTheme="minorHAnsi" w:hAnsiTheme="minorHAnsi" w:cs="Calibri Light"/>
        </w:rPr>
        <w:t>.</w:t>
      </w:r>
    </w:p>
    <w:p w14:paraId="12F3A343" w14:textId="57BFD1AE"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D'autre part, les dispositions de la circulaire ministérielle relative aux taxes communales sur les spectacles cinématographiques restent d'application</w:t>
      </w:r>
      <w:r w:rsidR="00AA2694">
        <w:rPr>
          <w:rStyle w:val="Appelnotedebasdep"/>
          <w:rFonts w:asciiTheme="minorHAnsi" w:hAnsiTheme="minorHAnsi" w:cs="Calibri Light"/>
        </w:rPr>
        <w:footnoteReference w:id="169"/>
      </w:r>
      <w:r w:rsidRPr="00DA6BD2">
        <w:rPr>
          <w:rFonts w:asciiTheme="minorHAnsi" w:hAnsiTheme="minorHAnsi" w:cs="Calibri Light"/>
        </w:rPr>
        <w:t>.</w:t>
      </w:r>
    </w:p>
    <w:p w14:paraId="720588D0" w14:textId="728D994C" w:rsidR="00DA6694" w:rsidRPr="008D7EB7" w:rsidRDefault="00DA6694" w:rsidP="00DA6694">
      <w:pPr>
        <w:spacing w:before="120"/>
        <w:jc w:val="both"/>
        <w:textAlignment w:val="baseline"/>
        <w:rPr>
          <w:rFonts w:cs="Calibri Light"/>
        </w:rPr>
      </w:pPr>
      <w:r w:rsidRPr="008D7EB7">
        <w:rPr>
          <w:rFonts w:cs="Calibri Light"/>
        </w:rPr>
        <w:t xml:space="preserve">La légalité de cette taxe a déjà été mise en cause maintes fois, et ce notamment en invoquant l'article 464,1° du </w:t>
      </w:r>
      <w:r w:rsidR="008A59E1">
        <w:rPr>
          <w:rFonts w:cs="Calibri Light"/>
        </w:rPr>
        <w:t>c</w:t>
      </w:r>
      <w:r w:rsidRPr="008D7EB7">
        <w:rPr>
          <w:rFonts w:cs="Calibri Light"/>
        </w:rPr>
        <w:t xml:space="preserve">ode des </w:t>
      </w:r>
      <w:r w:rsidR="008A59E1">
        <w:rPr>
          <w:rFonts w:cs="Calibri Light"/>
        </w:rPr>
        <w:t>i</w:t>
      </w:r>
      <w:r w:rsidRPr="008D7EB7">
        <w:rPr>
          <w:rFonts w:cs="Calibri Light"/>
        </w:rPr>
        <w:t>mpôts sur les revenus qui interdit aux provinces, agglomérations et communes d'établir des centimes additionnels à l'impôt des personnes physiques, à l'impôt des sociétés, à l'impôt des personnes morales et à l'impôt des non-résidents ou des taxes similaires sur la base ou sur le montant de cet impôt.</w:t>
      </w:r>
    </w:p>
    <w:p w14:paraId="595E89F3" w14:textId="4A802FC9" w:rsidR="00DA6694" w:rsidRPr="008D7EB7" w:rsidRDefault="00DA6694" w:rsidP="00DA6694">
      <w:pPr>
        <w:spacing w:before="120"/>
        <w:jc w:val="both"/>
        <w:textAlignment w:val="baseline"/>
        <w:rPr>
          <w:rFonts w:cs="Calibri Light"/>
        </w:rPr>
      </w:pPr>
      <w:r w:rsidRPr="008D7EB7">
        <w:rPr>
          <w:rFonts w:cs="Calibri Light"/>
        </w:rPr>
        <w:t>Le Conseil d'État</w:t>
      </w:r>
      <w:r w:rsidRPr="008D7EB7">
        <w:rPr>
          <w:rFonts w:cs="Calibri Light"/>
          <w:vertAlign w:val="superscript"/>
        </w:rPr>
        <w:footnoteReference w:id="170"/>
      </w:r>
      <w:r w:rsidRPr="008D7EB7">
        <w:rPr>
          <w:rFonts w:cs="Calibri Light"/>
        </w:rPr>
        <w:t xml:space="preserve"> a décidé que ne viole pas l'article 464,1° du </w:t>
      </w:r>
      <w:r w:rsidR="008A59E1">
        <w:rPr>
          <w:rFonts w:cs="Calibri Light"/>
        </w:rPr>
        <w:t>c</w:t>
      </w:r>
      <w:r w:rsidRPr="008D7EB7">
        <w:rPr>
          <w:rFonts w:cs="Calibri Light"/>
        </w:rPr>
        <w:t xml:space="preserve">ode des </w:t>
      </w:r>
      <w:r w:rsidR="008A59E1">
        <w:rPr>
          <w:rFonts w:cs="Calibri Light"/>
        </w:rPr>
        <w:t>i</w:t>
      </w:r>
      <w:r w:rsidRPr="008D7EB7">
        <w:rPr>
          <w:rFonts w:cs="Calibri Light"/>
        </w:rPr>
        <w:t>mpôts sur les revenus une taxe dont ni le fait générateur ni la base de calcul ne visent les revenus. Ce sera ainsi le cas lorsque la taxe s'élève à un montant fixe par fait générateur ne consistant pas en tant que telle à la perception de revenus. Cette interprétation a par ailleurs été partagée par la Cour constitutionnelle</w:t>
      </w:r>
      <w:r w:rsidRPr="008D7EB7">
        <w:rPr>
          <w:rFonts w:cs="Calibri Light"/>
          <w:vertAlign w:val="superscript"/>
        </w:rPr>
        <w:footnoteReference w:id="171"/>
      </w:r>
      <w:r w:rsidRPr="008D7EB7">
        <w:rPr>
          <w:rFonts w:cs="Calibri Light"/>
        </w:rPr>
        <w:t>.</w:t>
      </w:r>
    </w:p>
    <w:p w14:paraId="42F633DE" w14:textId="7B384AE4" w:rsidR="00DA6694" w:rsidRPr="008D7EB7" w:rsidRDefault="00DA6694" w:rsidP="00DA6694">
      <w:pPr>
        <w:spacing w:before="120"/>
        <w:jc w:val="both"/>
        <w:textAlignment w:val="baseline"/>
        <w:rPr>
          <w:rFonts w:cs="Calibri Light"/>
        </w:rPr>
      </w:pPr>
      <w:r w:rsidRPr="008D7EB7">
        <w:rPr>
          <w:rFonts w:cs="Calibri Light"/>
        </w:rPr>
        <w:t>Cette même Cour a décidé que</w:t>
      </w:r>
      <w:r w:rsidRPr="008D7EB7">
        <w:rPr>
          <w:rFonts w:cs="Calibri Light"/>
          <w:vertAlign w:val="superscript"/>
        </w:rPr>
        <w:footnoteReference w:id="172"/>
      </w:r>
      <w:r w:rsidRPr="008D7EB7">
        <w:rPr>
          <w:rFonts w:cs="Calibri Light"/>
        </w:rPr>
        <w:t xml:space="preserve"> « </w:t>
      </w:r>
      <w:r w:rsidRPr="008D7EB7">
        <w:rPr>
          <w:rFonts w:cs="Calibri Light"/>
          <w:i/>
        </w:rPr>
        <w:t>L'article 464, 1</w:t>
      </w:r>
      <w:r w:rsidRPr="008D7EB7">
        <w:rPr>
          <w:rFonts w:cs="Calibri Light"/>
          <w:i/>
          <w:vertAlign w:val="superscript"/>
        </w:rPr>
        <w:t>°</w:t>
      </w:r>
      <w:r w:rsidRPr="008D7EB7">
        <w:rPr>
          <w:rFonts w:cs="Calibri Light"/>
          <w:i/>
        </w:rPr>
        <w:t xml:space="preserve">, du </w:t>
      </w:r>
      <w:r w:rsidR="008A59E1">
        <w:rPr>
          <w:rFonts w:cs="Calibri Light"/>
          <w:i/>
        </w:rPr>
        <w:t>c</w:t>
      </w:r>
      <w:r w:rsidRPr="008D7EB7">
        <w:rPr>
          <w:rFonts w:cs="Calibri Light"/>
          <w:i/>
        </w:rPr>
        <w:t xml:space="preserve">ode des </w:t>
      </w:r>
      <w:r w:rsidR="008A59E1">
        <w:rPr>
          <w:rFonts w:cs="Calibri Light"/>
          <w:i/>
        </w:rPr>
        <w:t>i</w:t>
      </w:r>
      <w:r w:rsidRPr="008D7EB7">
        <w:rPr>
          <w:rFonts w:cs="Calibri Light"/>
          <w:i/>
        </w:rPr>
        <w:t>mpôts sur les revenus, combiné avec l'article 36 de la loi du 24 décembre 1948 concernant les finances provinciales et communales, ne viole pas les articles 10 et 11 de la Constitution s'il est interprété en ce sens qu'il n'est pas réputé interdire aux communes de lever une taxe, notamment à l'égard des spectacles et divertissements, sur les recettes brutes générées par les droits d'entrée ou sur les revenus bruts.</w:t>
      </w:r>
      <w:r w:rsidRPr="008D7EB7">
        <w:rPr>
          <w:rFonts w:cs="Calibri Light"/>
        </w:rPr>
        <w:t xml:space="preserve"> » Cela veut donc dire que les communes peuvent percevoir cette taxe en se basant sur les recettes brutes générées par les droits d'entrée ou sur les revenus bruts.</w:t>
      </w:r>
    </w:p>
    <w:p w14:paraId="7A309872" w14:textId="0101CB3D" w:rsidR="00DA6694" w:rsidRPr="008D7EB7" w:rsidRDefault="00DA6694" w:rsidP="00DA6694">
      <w:pPr>
        <w:spacing w:before="120"/>
        <w:jc w:val="both"/>
        <w:textAlignment w:val="baseline"/>
        <w:rPr>
          <w:rFonts w:cs="Calibri Light"/>
        </w:rPr>
      </w:pPr>
      <w:r w:rsidRPr="008D7EB7">
        <w:rPr>
          <w:rFonts w:cs="Calibri Light"/>
        </w:rPr>
        <w:t xml:space="preserve">En statuant en ce sens, la Cour constitutionnelle met fin à la controverse sur la compatibilité de la taxe sur les spectacles basée sur un pourcentage des recettes brutes générées par les droits d'entrée ou sur les revenus bruts — et l'article 464,1° du </w:t>
      </w:r>
      <w:r w:rsidR="008A59E1">
        <w:rPr>
          <w:rFonts w:cs="Calibri Light"/>
        </w:rPr>
        <w:t>c</w:t>
      </w:r>
      <w:r w:rsidRPr="008D7EB7">
        <w:rPr>
          <w:rFonts w:cs="Calibri Light"/>
        </w:rPr>
        <w:t>ode d'impôts sur les revenus qui interdit aux communes d'établir des centimes additionnels ou une taxe similaire sur la base ou sur le montant de l'impôt en matière d'impôt des personnes physiques, d'impôt des personnes morales et à 1 'impôt des non-résidents.</w:t>
      </w:r>
    </w:p>
    <w:p w14:paraId="35555496" w14:textId="77777777" w:rsidR="00DA6694" w:rsidRPr="008D7EB7" w:rsidRDefault="00DA6694" w:rsidP="00DA6694">
      <w:pPr>
        <w:spacing w:before="120"/>
        <w:jc w:val="both"/>
        <w:textAlignment w:val="baseline"/>
        <w:rPr>
          <w:rFonts w:cs="Calibri Light"/>
        </w:rPr>
      </w:pPr>
      <w:r w:rsidRPr="008D7EB7">
        <w:rPr>
          <w:rFonts w:cs="Calibri Light"/>
        </w:rPr>
        <w:t>La Cour constitutionnelle a notamment basé sa décision sur le fait que :</w:t>
      </w:r>
    </w:p>
    <w:p w14:paraId="259ACC0B" w14:textId="42375D89" w:rsidR="00DA6694" w:rsidRPr="008D7EB7" w:rsidRDefault="00DA6694" w:rsidP="00DA6694">
      <w:pPr>
        <w:spacing w:before="120"/>
        <w:jc w:val="both"/>
        <w:textAlignment w:val="baseline"/>
        <w:rPr>
          <w:rFonts w:cs="Calibri Light"/>
          <w:i/>
        </w:rPr>
      </w:pPr>
      <w:r w:rsidRPr="008D7EB7">
        <w:rPr>
          <w:rFonts w:cs="Calibri Light"/>
          <w:i/>
        </w:rPr>
        <w:t xml:space="preserve">« Bien que les recettes brutes générées par une activité et, plus généralement ; les revenus bruts du contribuable constituent le point de départ pour la détermination du revenu imposable à l'impôt des personnes physiques ou du bénéfice imposable à l'impôt des sociétés, </w:t>
      </w:r>
      <w:r w:rsidRPr="008D7EB7">
        <w:rPr>
          <w:rFonts w:cs="Calibri Light"/>
          <w:i/>
        </w:rPr>
        <w:lastRenderedPageBreak/>
        <w:t xml:space="preserve">il existe une différence essentielle entre, d'une part, les recettes brutes générées par les droits d'entrée ou les revenus bruts en général et, d'autre part, les bases imposables précitées. Par la base de l’impôt ; la disposition en cause ne vise pas tout élément qui est pris en compte pour le calcul de l'impôt, mais exclusivement le montant sur lequel l'impôt est calculé en définitive (voir les arrêts n° 119/2007, B.6; n° 44/2008, B.6; n° 50/2011, B.575). De manière générale, il n'existe pas non plus de rapport proportionnel entre les recettes brutes ou revenus bruts et les différentes bases des impôts mentionnés à l'article 464, 1°, du </w:t>
      </w:r>
      <w:r w:rsidR="008A59E1">
        <w:rPr>
          <w:rFonts w:cs="Calibri Light"/>
          <w:i/>
        </w:rPr>
        <w:t>code des impôts sur les revenus. »</w:t>
      </w:r>
    </w:p>
    <w:p w14:paraId="3E929BC3" w14:textId="77777777" w:rsidR="00DA6694" w:rsidRPr="008D7EB7" w:rsidRDefault="00DA6694" w:rsidP="00DA6694">
      <w:pPr>
        <w:spacing w:before="120"/>
        <w:jc w:val="both"/>
        <w:textAlignment w:val="baseline"/>
        <w:rPr>
          <w:rFonts w:cs="Calibri Light"/>
        </w:rPr>
      </w:pPr>
      <w:r w:rsidRPr="008D7EB7">
        <w:rPr>
          <w:rFonts w:cs="Calibri Light"/>
        </w:rPr>
        <w:t xml:space="preserve">En statuant de la sorte, la Cour constitutionnelle « renverse » la jurisprudence de la Cour de cassation qui, en date du 10 décembre 2009 mettant en cause la VILLE DE LOUVAIN contre la SA STUDIO FILMTHEATERS, avait décidé : « </w:t>
      </w:r>
      <w:r w:rsidRPr="008D7EB7">
        <w:rPr>
          <w:rFonts w:cs="Calibri Light"/>
          <w:i/>
        </w:rPr>
        <w:t>qu'une taxe communale sur les spectacles et divertissements qui est calculée sur le chiffre d'affaire réalisé, diminué de la taxe sur la valeur ajoutée appliquée sur celui-ci, constitue une taxe similaire interdite dans la mesure où le chiffre d'affaire constitue un élément essentiel qui est pris en considération pour fixer la base de l'impôt sur les revenus qui est levé à charge du débiteur de cette taxe</w:t>
      </w:r>
      <w:r w:rsidRPr="008D7EB7">
        <w:rPr>
          <w:rFonts w:cs="Calibri Light"/>
        </w:rPr>
        <w:t>. »</w:t>
      </w:r>
    </w:p>
    <w:p w14:paraId="196E528C" w14:textId="3A64B006" w:rsidR="00DA6694" w:rsidRPr="008D7EB7" w:rsidRDefault="00DA6694" w:rsidP="008D7EB7">
      <w:pPr>
        <w:spacing w:before="120"/>
        <w:jc w:val="both"/>
        <w:textAlignment w:val="baseline"/>
        <w:rPr>
          <w:rFonts w:cs="Calibri Light"/>
        </w:rPr>
      </w:pPr>
      <w:r w:rsidRPr="008D7EB7">
        <w:rPr>
          <w:rFonts w:cs="Calibri Light"/>
        </w:rPr>
        <w:t>Cependant, la Cour de cassation</w:t>
      </w:r>
      <w:r w:rsidRPr="008D7EB7">
        <w:rPr>
          <w:rFonts w:cs="Calibri Light"/>
          <w:vertAlign w:val="superscript"/>
        </w:rPr>
        <w:footnoteReference w:id="173"/>
      </w:r>
      <w:r w:rsidRPr="008D7EB7">
        <w:rPr>
          <w:rFonts w:cs="Calibri Light"/>
        </w:rPr>
        <w:t xml:space="preserve"> estime toujours que l’article 464,1° du </w:t>
      </w:r>
      <w:r w:rsidR="008A59E1">
        <w:rPr>
          <w:rFonts w:cs="Calibri Light"/>
          <w:i/>
        </w:rPr>
        <w:t>code des impôts sur les revenus</w:t>
      </w:r>
      <w:r w:rsidR="008A59E1" w:rsidRPr="008A59E1" w:rsidDel="008A59E1">
        <w:rPr>
          <w:rFonts w:cs="Calibri Light"/>
        </w:rPr>
        <w:t xml:space="preserve"> </w:t>
      </w:r>
      <w:r w:rsidRPr="008D7EB7">
        <w:rPr>
          <w:rFonts w:cs="Calibri Light"/>
        </w:rPr>
        <w:t>s’oppose à ce que les autorités locales lèvent « un impôt sur un élément essentiel qui détermine directement la base de l’impôt sur les revenus ».</w:t>
      </w:r>
    </w:p>
    <w:p w14:paraId="38617C02" w14:textId="77777777" w:rsidR="00DA6694" w:rsidRPr="008D7EB7" w:rsidRDefault="00DA6694" w:rsidP="008D7EB7">
      <w:pPr>
        <w:spacing w:before="120"/>
        <w:jc w:val="both"/>
        <w:textAlignment w:val="baseline"/>
        <w:rPr>
          <w:rFonts w:cs="Calibri Light"/>
        </w:rPr>
      </w:pPr>
      <w:r w:rsidRPr="008D7EB7">
        <w:rPr>
          <w:rFonts w:cs="Calibri Light"/>
        </w:rPr>
        <w:t>Dès lors, contrairement à ce que l’on a pu croire avec l’arrêt de la Cour constitutionnelle, la controverse existe toujours.  Il est donc prudent d’adopter un taux forfaitaire, le cas échéant couplé à un montant maximum fixé à un pourcentage du prix du billet (par exemple, x € par billet avec un taux maximum de x% du prix du billet).</w:t>
      </w:r>
    </w:p>
    <w:p w14:paraId="74DBF2EC" w14:textId="77777777" w:rsidR="00DA6694" w:rsidRPr="00DA6BD2" w:rsidRDefault="00DA6694" w:rsidP="00E063FD">
      <w:pPr>
        <w:spacing w:before="120"/>
        <w:jc w:val="both"/>
        <w:textAlignment w:val="baseline"/>
        <w:rPr>
          <w:rFonts w:asciiTheme="minorHAnsi" w:hAnsiTheme="minorHAnsi" w:cs="Calibri Light"/>
        </w:rPr>
      </w:pPr>
    </w:p>
    <w:p w14:paraId="27CAFD5C" w14:textId="77777777" w:rsidR="00705A12" w:rsidRDefault="009B153C" w:rsidP="00256E9F">
      <w:pPr>
        <w:pStyle w:val="Sam3"/>
      </w:pPr>
      <w:bookmarkStart w:id="6770" w:name="_Toc516739884"/>
      <w:bookmarkStart w:id="6771" w:name="_Toc516751793"/>
      <w:bookmarkStart w:id="6772" w:name="_Toc516825881"/>
      <w:bookmarkStart w:id="6773" w:name="_Toc516826439"/>
      <w:bookmarkStart w:id="6774" w:name="_Toc516837759"/>
      <w:bookmarkStart w:id="6775" w:name="_Toc516838318"/>
      <w:bookmarkStart w:id="6776" w:name="_Toc516838877"/>
      <w:bookmarkStart w:id="6777" w:name="_Toc516839437"/>
      <w:bookmarkStart w:id="6778" w:name="_Toc517173533"/>
      <w:bookmarkStart w:id="6779" w:name="_Toc517175207"/>
      <w:bookmarkStart w:id="6780" w:name="_Toc517175794"/>
      <w:bookmarkStart w:id="6781" w:name="_Toc517176382"/>
      <w:bookmarkStart w:id="6782" w:name="_Toc517337707"/>
      <w:bookmarkStart w:id="6783" w:name="_Toc517360503"/>
      <w:bookmarkStart w:id="6784" w:name="_Toc516739885"/>
      <w:bookmarkStart w:id="6785" w:name="_Toc516751794"/>
      <w:bookmarkStart w:id="6786" w:name="_Toc516825882"/>
      <w:bookmarkStart w:id="6787" w:name="_Toc516826440"/>
      <w:bookmarkStart w:id="6788" w:name="_Toc516837760"/>
      <w:bookmarkStart w:id="6789" w:name="_Toc516838319"/>
      <w:bookmarkStart w:id="6790" w:name="_Toc516838878"/>
      <w:bookmarkStart w:id="6791" w:name="_Toc516839438"/>
      <w:bookmarkStart w:id="6792" w:name="_Toc517173534"/>
      <w:bookmarkStart w:id="6793" w:name="_Toc517175208"/>
      <w:bookmarkStart w:id="6794" w:name="_Toc517175795"/>
      <w:bookmarkStart w:id="6795" w:name="_Toc517176383"/>
      <w:bookmarkStart w:id="6796" w:name="_Toc517337708"/>
      <w:bookmarkStart w:id="6797" w:name="_Toc517360504"/>
      <w:bookmarkStart w:id="6798" w:name="_Toc516739886"/>
      <w:bookmarkStart w:id="6799" w:name="_Toc516751795"/>
      <w:bookmarkStart w:id="6800" w:name="_Toc516825883"/>
      <w:bookmarkStart w:id="6801" w:name="_Toc516826441"/>
      <w:bookmarkStart w:id="6802" w:name="_Toc516837761"/>
      <w:bookmarkStart w:id="6803" w:name="_Toc516838320"/>
      <w:bookmarkStart w:id="6804" w:name="_Toc516838879"/>
      <w:bookmarkStart w:id="6805" w:name="_Toc516839439"/>
      <w:bookmarkStart w:id="6806" w:name="_Toc517173535"/>
      <w:bookmarkStart w:id="6807" w:name="_Toc517175209"/>
      <w:bookmarkStart w:id="6808" w:name="_Toc517175796"/>
      <w:bookmarkStart w:id="6809" w:name="_Toc517176384"/>
      <w:bookmarkStart w:id="6810" w:name="_Toc517337709"/>
      <w:bookmarkStart w:id="6811" w:name="_Toc517360505"/>
      <w:bookmarkStart w:id="6812" w:name="_Toc516739887"/>
      <w:bookmarkStart w:id="6813" w:name="_Toc516751796"/>
      <w:bookmarkStart w:id="6814" w:name="_Toc516825884"/>
      <w:bookmarkStart w:id="6815" w:name="_Toc516826442"/>
      <w:bookmarkStart w:id="6816" w:name="_Toc516837762"/>
      <w:bookmarkStart w:id="6817" w:name="_Toc516838321"/>
      <w:bookmarkStart w:id="6818" w:name="_Toc516838880"/>
      <w:bookmarkStart w:id="6819" w:name="_Toc516839440"/>
      <w:bookmarkStart w:id="6820" w:name="_Toc517173536"/>
      <w:bookmarkStart w:id="6821" w:name="_Toc517175210"/>
      <w:bookmarkStart w:id="6822" w:name="_Toc517175797"/>
      <w:bookmarkStart w:id="6823" w:name="_Toc517176385"/>
      <w:bookmarkStart w:id="6824" w:name="_Toc517337710"/>
      <w:bookmarkStart w:id="6825" w:name="_Toc517360506"/>
      <w:bookmarkStart w:id="6826" w:name="_Toc516739888"/>
      <w:bookmarkStart w:id="6827" w:name="_Toc516751797"/>
      <w:bookmarkStart w:id="6828" w:name="_Toc516825885"/>
      <w:bookmarkStart w:id="6829" w:name="_Toc516826443"/>
      <w:bookmarkStart w:id="6830" w:name="_Toc516837763"/>
      <w:bookmarkStart w:id="6831" w:name="_Toc516838322"/>
      <w:bookmarkStart w:id="6832" w:name="_Toc516838881"/>
      <w:bookmarkStart w:id="6833" w:name="_Toc516839441"/>
      <w:bookmarkStart w:id="6834" w:name="_Toc517173537"/>
      <w:bookmarkStart w:id="6835" w:name="_Toc517175211"/>
      <w:bookmarkStart w:id="6836" w:name="_Toc517175798"/>
      <w:bookmarkStart w:id="6837" w:name="_Toc517176386"/>
      <w:bookmarkStart w:id="6838" w:name="_Toc517337711"/>
      <w:bookmarkStart w:id="6839" w:name="_Toc517360507"/>
      <w:bookmarkStart w:id="6840" w:name="_Toc516739889"/>
      <w:bookmarkStart w:id="6841" w:name="_Toc516751798"/>
      <w:bookmarkStart w:id="6842" w:name="_Toc516825886"/>
      <w:bookmarkStart w:id="6843" w:name="_Toc516826444"/>
      <w:bookmarkStart w:id="6844" w:name="_Toc516837764"/>
      <w:bookmarkStart w:id="6845" w:name="_Toc516838323"/>
      <w:bookmarkStart w:id="6846" w:name="_Toc516838882"/>
      <w:bookmarkStart w:id="6847" w:name="_Toc516839442"/>
      <w:bookmarkStart w:id="6848" w:name="_Toc517173538"/>
      <w:bookmarkStart w:id="6849" w:name="_Toc517175212"/>
      <w:bookmarkStart w:id="6850" w:name="_Toc517175799"/>
      <w:bookmarkStart w:id="6851" w:name="_Toc517176387"/>
      <w:bookmarkStart w:id="6852" w:name="_Toc517337712"/>
      <w:bookmarkStart w:id="6853" w:name="_Toc517360508"/>
      <w:bookmarkStart w:id="6854" w:name="_Toc516739890"/>
      <w:bookmarkStart w:id="6855" w:name="_Toc516751799"/>
      <w:bookmarkStart w:id="6856" w:name="_Toc516825887"/>
      <w:bookmarkStart w:id="6857" w:name="_Toc516826445"/>
      <w:bookmarkStart w:id="6858" w:name="_Toc516837765"/>
      <w:bookmarkStart w:id="6859" w:name="_Toc516838324"/>
      <w:bookmarkStart w:id="6860" w:name="_Toc516838883"/>
      <w:bookmarkStart w:id="6861" w:name="_Toc516839443"/>
      <w:bookmarkStart w:id="6862" w:name="_Toc517173539"/>
      <w:bookmarkStart w:id="6863" w:name="_Toc517175213"/>
      <w:bookmarkStart w:id="6864" w:name="_Toc517175800"/>
      <w:bookmarkStart w:id="6865" w:name="_Toc517176388"/>
      <w:bookmarkStart w:id="6866" w:name="_Toc517337713"/>
      <w:bookmarkStart w:id="6867" w:name="_Toc517360509"/>
      <w:bookmarkStart w:id="6868" w:name="_Toc516739891"/>
      <w:bookmarkStart w:id="6869" w:name="_Toc516751800"/>
      <w:bookmarkStart w:id="6870" w:name="_Toc516825888"/>
      <w:bookmarkStart w:id="6871" w:name="_Toc516826446"/>
      <w:bookmarkStart w:id="6872" w:name="_Toc516837766"/>
      <w:bookmarkStart w:id="6873" w:name="_Toc516838325"/>
      <w:bookmarkStart w:id="6874" w:name="_Toc516838884"/>
      <w:bookmarkStart w:id="6875" w:name="_Toc516839444"/>
      <w:bookmarkStart w:id="6876" w:name="_Toc517173540"/>
      <w:bookmarkStart w:id="6877" w:name="_Toc517175214"/>
      <w:bookmarkStart w:id="6878" w:name="_Toc517175801"/>
      <w:bookmarkStart w:id="6879" w:name="_Toc517176389"/>
      <w:bookmarkStart w:id="6880" w:name="_Toc517337714"/>
      <w:bookmarkStart w:id="6881" w:name="_Toc517360510"/>
      <w:bookmarkStart w:id="6882" w:name="_Toc516739892"/>
      <w:bookmarkStart w:id="6883" w:name="_Toc516751801"/>
      <w:bookmarkStart w:id="6884" w:name="_Toc516825889"/>
      <w:bookmarkStart w:id="6885" w:name="_Toc516826447"/>
      <w:bookmarkStart w:id="6886" w:name="_Toc516837767"/>
      <w:bookmarkStart w:id="6887" w:name="_Toc516838326"/>
      <w:bookmarkStart w:id="6888" w:name="_Toc516838885"/>
      <w:bookmarkStart w:id="6889" w:name="_Toc516839445"/>
      <w:bookmarkStart w:id="6890" w:name="_Toc517173541"/>
      <w:bookmarkStart w:id="6891" w:name="_Toc517175215"/>
      <w:bookmarkStart w:id="6892" w:name="_Toc517175802"/>
      <w:bookmarkStart w:id="6893" w:name="_Toc517176390"/>
      <w:bookmarkStart w:id="6894" w:name="_Toc517337715"/>
      <w:bookmarkStart w:id="6895" w:name="_Toc517360511"/>
      <w:bookmarkStart w:id="6896" w:name="_Toc516739893"/>
      <w:bookmarkStart w:id="6897" w:name="_Toc516751802"/>
      <w:bookmarkStart w:id="6898" w:name="_Toc516825890"/>
      <w:bookmarkStart w:id="6899" w:name="_Toc516826448"/>
      <w:bookmarkStart w:id="6900" w:name="_Toc516837768"/>
      <w:bookmarkStart w:id="6901" w:name="_Toc516838327"/>
      <w:bookmarkStart w:id="6902" w:name="_Toc516838886"/>
      <w:bookmarkStart w:id="6903" w:name="_Toc516839446"/>
      <w:bookmarkStart w:id="6904" w:name="_Toc517173542"/>
      <w:bookmarkStart w:id="6905" w:name="_Toc517175216"/>
      <w:bookmarkStart w:id="6906" w:name="_Toc517175803"/>
      <w:bookmarkStart w:id="6907" w:name="_Toc517176391"/>
      <w:bookmarkStart w:id="6908" w:name="_Toc517337716"/>
      <w:bookmarkStart w:id="6909" w:name="_Toc517360512"/>
      <w:bookmarkStart w:id="6910" w:name="_Toc516739894"/>
      <w:bookmarkStart w:id="6911" w:name="_Toc516751803"/>
      <w:bookmarkStart w:id="6912" w:name="_Toc516825891"/>
      <w:bookmarkStart w:id="6913" w:name="_Toc516826449"/>
      <w:bookmarkStart w:id="6914" w:name="_Toc516837769"/>
      <w:bookmarkStart w:id="6915" w:name="_Toc516838328"/>
      <w:bookmarkStart w:id="6916" w:name="_Toc516838887"/>
      <w:bookmarkStart w:id="6917" w:name="_Toc516839447"/>
      <w:bookmarkStart w:id="6918" w:name="_Toc517173543"/>
      <w:bookmarkStart w:id="6919" w:name="_Toc517175217"/>
      <w:bookmarkStart w:id="6920" w:name="_Toc517175804"/>
      <w:bookmarkStart w:id="6921" w:name="_Toc517176392"/>
      <w:bookmarkStart w:id="6922" w:name="_Toc517337717"/>
      <w:bookmarkStart w:id="6923" w:name="_Toc517360513"/>
      <w:bookmarkStart w:id="6924" w:name="_Toc74557799"/>
      <w:bookmarkStart w:id="6925" w:name="_Toc512525526"/>
      <w:bookmarkStart w:id="6926" w:name="_Toc515896840"/>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r w:rsidRPr="00DA6BD2">
        <w:t>040/365-02 : Dancings</w:t>
      </w:r>
      <w:bookmarkEnd w:id="6924"/>
      <w:r w:rsidRPr="00DA6BD2">
        <w:t xml:space="preserve"> </w:t>
      </w:r>
    </w:p>
    <w:p w14:paraId="316678DB" w14:textId="4EF7CBC6" w:rsidR="009B153C" w:rsidRPr="00E9189F" w:rsidRDefault="00705A12" w:rsidP="00E063FD">
      <w:r w:rsidRPr="00A03E6A">
        <w:t>T</w:t>
      </w:r>
      <w:r w:rsidR="009B153C" w:rsidRPr="003F0B7B">
        <w:t>axe directe</w:t>
      </w:r>
      <w:r w:rsidRPr="00E9189F">
        <w:t>.</w:t>
      </w:r>
      <w:bookmarkEnd w:id="6925"/>
      <w:bookmarkEnd w:id="6926"/>
    </w:p>
    <w:p w14:paraId="43373982" w14:textId="42FE71D9"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Taux maximum recommandé </w:t>
      </w:r>
      <w:r w:rsidRPr="008A59E1">
        <w:rPr>
          <w:rFonts w:asciiTheme="minorHAnsi" w:hAnsiTheme="minorHAnsi" w:cs="Calibri Light"/>
        </w:rPr>
        <w:t xml:space="preserve">: </w:t>
      </w:r>
      <w:r w:rsidR="00CA4C29" w:rsidRPr="008A59E1">
        <w:rPr>
          <w:rFonts w:asciiTheme="minorHAnsi" w:hAnsiTheme="minorHAnsi" w:cs="Calibri Light"/>
        </w:rPr>
        <w:t>1.050</w:t>
      </w:r>
      <w:r w:rsidR="008A59E1" w:rsidRPr="008D7EB7">
        <w:rPr>
          <w:rFonts w:asciiTheme="minorHAnsi" w:hAnsiTheme="minorHAnsi" w:cs="Calibri Light"/>
        </w:rPr>
        <w:t>,00</w:t>
      </w:r>
      <w:r w:rsidR="00CA4C29" w:rsidRPr="008A59E1">
        <w:rPr>
          <w:rFonts w:asciiTheme="minorHAnsi" w:hAnsiTheme="minorHAnsi" w:cs="Calibri Light"/>
        </w:rPr>
        <w:t xml:space="preserve"> </w:t>
      </w:r>
      <w:r w:rsidRPr="008A59E1">
        <w:rPr>
          <w:rFonts w:asciiTheme="minorHAnsi" w:hAnsiTheme="minorHAnsi" w:cs="Calibri Light"/>
        </w:rPr>
        <w:t>euros/mois, à moduler</w:t>
      </w:r>
      <w:r w:rsidRPr="00DA6BD2">
        <w:rPr>
          <w:rFonts w:asciiTheme="minorHAnsi" w:hAnsiTheme="minorHAnsi" w:cs="Calibri Light"/>
        </w:rPr>
        <w:t xml:space="preserve"> selon le chiffre d'affaires de l'activité dancing et le caractère accessoire ou non de celle-ci.</w:t>
      </w:r>
    </w:p>
    <w:p w14:paraId="38A602CC" w14:textId="5095955C"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les méga</w:t>
      </w:r>
      <w:r w:rsidR="00BF4C17">
        <w:rPr>
          <w:rFonts w:asciiTheme="minorHAnsi" w:hAnsiTheme="minorHAnsi" w:cs="Calibri Light"/>
        </w:rPr>
        <w:t>-</w:t>
      </w:r>
      <w:r w:rsidRPr="00DA6BD2">
        <w:rPr>
          <w:rFonts w:asciiTheme="minorHAnsi" w:hAnsiTheme="minorHAnsi" w:cs="Calibri Light"/>
        </w:rPr>
        <w:t>dancings, il convient de moduler le taux de la taxe en fonction de la capacité d'accueil telle qu'elle est reprise dans le permis d'exploiter. C'est ainsi que le taux maximum recommandé est de</w:t>
      </w:r>
    </w:p>
    <w:p w14:paraId="53C62C64" w14:textId="294E0E50" w:rsidR="009B153C" w:rsidRPr="00DA6BD2"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A59E1">
        <w:rPr>
          <w:rFonts w:asciiTheme="minorHAnsi" w:hAnsiTheme="minorHAnsi" w:cs="Calibri Light"/>
        </w:rPr>
        <w:t>4.000</w:t>
      </w:r>
      <w:r w:rsidR="008A59E1" w:rsidRPr="008D7EB7">
        <w:rPr>
          <w:rFonts w:asciiTheme="minorHAnsi" w:hAnsiTheme="minorHAnsi" w:cs="Calibri Light"/>
        </w:rPr>
        <w:t>,00</w:t>
      </w:r>
      <w:r w:rsidRPr="008A59E1">
        <w:rPr>
          <w:rFonts w:asciiTheme="minorHAnsi" w:hAnsiTheme="minorHAnsi" w:cs="Calibri Light"/>
        </w:rPr>
        <w:t xml:space="preserve"> </w:t>
      </w:r>
      <w:r w:rsidR="009B153C" w:rsidRPr="008A59E1">
        <w:rPr>
          <w:rFonts w:asciiTheme="minorHAnsi" w:hAnsiTheme="minorHAnsi" w:cs="Calibri Light"/>
        </w:rPr>
        <w:t>euros</w:t>
      </w:r>
      <w:r w:rsidR="009B153C" w:rsidRPr="00DA6BD2">
        <w:rPr>
          <w:rFonts w:asciiTheme="minorHAnsi" w:hAnsiTheme="minorHAnsi" w:cs="Calibri Light"/>
        </w:rPr>
        <w:t>/mois pour le dancing dont la capacité d'accueil varie entre 1.500 et 3.000 personnes</w:t>
      </w:r>
      <w:r w:rsidR="008A59E1">
        <w:rPr>
          <w:rFonts w:asciiTheme="minorHAnsi" w:hAnsiTheme="minorHAnsi" w:cs="Calibri Light"/>
        </w:rPr>
        <w:t> ;</w:t>
      </w:r>
    </w:p>
    <w:p w14:paraId="74A1E1D3" w14:textId="2068AAC8" w:rsidR="009B153C" w:rsidRPr="00DA6BD2"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A59E1">
        <w:rPr>
          <w:rFonts w:asciiTheme="minorHAnsi" w:hAnsiTheme="minorHAnsi" w:cs="Calibri Light"/>
        </w:rPr>
        <w:t>6.800</w:t>
      </w:r>
      <w:r w:rsidR="008A59E1" w:rsidRPr="008D7EB7">
        <w:rPr>
          <w:rFonts w:asciiTheme="minorHAnsi" w:hAnsiTheme="minorHAnsi" w:cs="Calibri Light"/>
        </w:rPr>
        <w:t>,00</w:t>
      </w:r>
      <w:r w:rsidRPr="008A59E1">
        <w:rPr>
          <w:rFonts w:asciiTheme="minorHAnsi" w:hAnsiTheme="minorHAnsi" w:cs="Calibri Light"/>
        </w:rPr>
        <w:t xml:space="preserve"> </w:t>
      </w:r>
      <w:r w:rsidR="009B153C" w:rsidRPr="008A59E1">
        <w:rPr>
          <w:rFonts w:asciiTheme="minorHAnsi" w:hAnsiTheme="minorHAnsi" w:cs="Calibri Light"/>
        </w:rPr>
        <w:t>euros/</w:t>
      </w:r>
      <w:r w:rsidR="009B153C" w:rsidRPr="00DA6BD2">
        <w:rPr>
          <w:rFonts w:asciiTheme="minorHAnsi" w:hAnsiTheme="minorHAnsi" w:cs="Calibri Light"/>
        </w:rPr>
        <w:t>mois pour le dancing dont la capacité d'accueil varie entre 3.001 et 5.000 personnes</w:t>
      </w:r>
      <w:r w:rsidR="008A59E1">
        <w:rPr>
          <w:rFonts w:asciiTheme="minorHAnsi" w:hAnsiTheme="minorHAnsi" w:cs="Calibri Light"/>
        </w:rPr>
        <w:t> ;</w:t>
      </w:r>
    </w:p>
    <w:p w14:paraId="01615245" w14:textId="395AFA45" w:rsidR="009B153C" w:rsidRPr="00DA6BD2"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A59E1">
        <w:rPr>
          <w:rFonts w:asciiTheme="minorHAnsi" w:hAnsiTheme="minorHAnsi" w:cs="Calibri Light"/>
        </w:rPr>
        <w:t>10.800</w:t>
      </w:r>
      <w:r w:rsidR="008A59E1" w:rsidRPr="008D7EB7">
        <w:rPr>
          <w:rFonts w:asciiTheme="minorHAnsi" w:hAnsiTheme="minorHAnsi" w:cs="Calibri Light"/>
        </w:rPr>
        <w:t>,00</w:t>
      </w:r>
      <w:r w:rsidRPr="008A59E1">
        <w:rPr>
          <w:rFonts w:asciiTheme="minorHAnsi" w:hAnsiTheme="minorHAnsi" w:cs="Calibri Light"/>
        </w:rPr>
        <w:t xml:space="preserve"> </w:t>
      </w:r>
      <w:r w:rsidR="009B153C" w:rsidRPr="008A59E1">
        <w:rPr>
          <w:rFonts w:asciiTheme="minorHAnsi" w:hAnsiTheme="minorHAnsi" w:cs="Calibri Light"/>
        </w:rPr>
        <w:t>euros</w:t>
      </w:r>
      <w:r w:rsidR="009B153C" w:rsidRPr="00DA6BD2">
        <w:rPr>
          <w:rFonts w:asciiTheme="minorHAnsi" w:hAnsiTheme="minorHAnsi" w:cs="Calibri Light"/>
        </w:rPr>
        <w:t xml:space="preserve">/mois pour le dancing dont la capacité d'accueil est de 5.001 personnes et plus. </w:t>
      </w:r>
    </w:p>
    <w:p w14:paraId="0D9DC2DD" w14:textId="5D294EF5" w:rsidR="009B153C" w:rsidRDefault="009B153C">
      <w:pPr>
        <w:tabs>
          <w:tab w:val="left" w:pos="567"/>
          <w:tab w:val="left" w:pos="720"/>
        </w:tabs>
        <w:spacing w:before="120" w:after="240"/>
        <w:jc w:val="both"/>
        <w:textAlignment w:val="baseline"/>
        <w:rPr>
          <w:rFonts w:asciiTheme="minorHAnsi" w:hAnsiTheme="minorHAnsi" w:cs="Calibri Light"/>
        </w:rPr>
      </w:pPr>
      <w:r w:rsidRPr="00DA6BD2">
        <w:rPr>
          <w:rFonts w:asciiTheme="minorHAnsi" w:hAnsiTheme="minorHAnsi" w:cs="Calibri Light"/>
        </w:rPr>
        <w:t>Je vous invite à allouer les recettes de la taxe sur les méga</w:t>
      </w:r>
      <w:r w:rsidR="00BF4C17">
        <w:rPr>
          <w:rFonts w:asciiTheme="minorHAnsi" w:hAnsiTheme="minorHAnsi" w:cs="Calibri Light"/>
        </w:rPr>
        <w:t>-</w:t>
      </w:r>
      <w:r w:rsidRPr="00DA6BD2">
        <w:rPr>
          <w:rFonts w:asciiTheme="minorHAnsi" w:hAnsiTheme="minorHAnsi" w:cs="Calibri Light"/>
        </w:rPr>
        <w:t>dancings à l'amélioration des mesures de sécurité aux abords de ceux-ci.</w:t>
      </w:r>
    </w:p>
    <w:p w14:paraId="14C6EEDD" w14:textId="77777777" w:rsidR="00954869" w:rsidRDefault="00954869" w:rsidP="00954869">
      <w:pPr>
        <w:tabs>
          <w:tab w:val="left" w:pos="567"/>
          <w:tab w:val="left" w:pos="720"/>
        </w:tabs>
        <w:spacing w:before="120" w:after="360"/>
        <w:jc w:val="both"/>
        <w:textAlignment w:val="baseline"/>
        <w:rPr>
          <w:rFonts w:asciiTheme="minorHAnsi" w:hAnsiTheme="minorHAnsi" w:cs="Calibri Light"/>
        </w:rPr>
      </w:pPr>
    </w:p>
    <w:p w14:paraId="784948B0" w14:textId="77777777" w:rsidR="009B153C" w:rsidRPr="00DA6BD2" w:rsidRDefault="009B153C" w:rsidP="00256E9F">
      <w:pPr>
        <w:pStyle w:val="Sam3"/>
      </w:pPr>
      <w:bookmarkStart w:id="6927" w:name="_Toc512525527"/>
      <w:bookmarkStart w:id="6928" w:name="_Toc515896841"/>
      <w:bookmarkStart w:id="6929" w:name="_Toc74557800"/>
      <w:r w:rsidRPr="00DA6BD2">
        <w:lastRenderedPageBreak/>
        <w:t>040/365-08 : Mise à l'eau d'embarcations dans un but commercial</w:t>
      </w:r>
      <w:bookmarkEnd w:id="6927"/>
      <w:bookmarkEnd w:id="6928"/>
      <w:bookmarkEnd w:id="6929"/>
    </w:p>
    <w:p w14:paraId="2E767A51"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Taux maxima recommandés :</w:t>
      </w:r>
    </w:p>
    <w:p w14:paraId="123F46BA" w14:textId="52421D6E" w:rsidR="009B153C" w:rsidRPr="008D7EB7"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130</w:t>
      </w:r>
      <w:r w:rsidR="008A59E1"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euros/an par embarcation ;</w:t>
      </w:r>
    </w:p>
    <w:p w14:paraId="2089041F" w14:textId="56FCD911" w:rsidR="009B153C" w:rsidRPr="008D7EB7"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 xml:space="preserve">4,50 </w:t>
      </w:r>
      <w:r w:rsidR="009B153C" w:rsidRPr="008D7EB7">
        <w:rPr>
          <w:rFonts w:asciiTheme="minorHAnsi" w:hAnsiTheme="minorHAnsi" w:cs="Calibri Light"/>
        </w:rPr>
        <w:t>euros</w:t>
      </w:r>
      <w:r w:rsidR="00B56F17" w:rsidRPr="008D7EB7">
        <w:rPr>
          <w:rFonts w:asciiTheme="minorHAnsi" w:hAnsiTheme="minorHAnsi" w:cs="Calibri Light"/>
        </w:rPr>
        <w:t xml:space="preserve"> </w:t>
      </w:r>
      <w:r w:rsidR="009B153C" w:rsidRPr="008D7EB7">
        <w:rPr>
          <w:rFonts w:asciiTheme="minorHAnsi" w:hAnsiTheme="minorHAnsi" w:cs="Calibri Light"/>
        </w:rPr>
        <w:t>/jour par embarcation.</w:t>
      </w:r>
    </w:p>
    <w:p w14:paraId="3CDEA28D" w14:textId="3D204A60" w:rsidR="00DD194A" w:rsidRDefault="00DD194A" w:rsidP="00E063FD">
      <w:pPr>
        <w:spacing w:before="120"/>
        <w:jc w:val="both"/>
        <w:textAlignment w:val="baseline"/>
        <w:rPr>
          <w:rFonts w:asciiTheme="minorHAnsi" w:hAnsiTheme="minorHAnsi" w:cs="Calibri Light"/>
          <w:spacing w:val="-1"/>
        </w:rPr>
      </w:pPr>
      <w:r w:rsidRPr="00DD194A">
        <w:rPr>
          <w:rFonts w:asciiTheme="minorHAnsi" w:hAnsiTheme="minorHAnsi" w:cs="Calibri Light"/>
          <w:spacing w:val="-1"/>
        </w:rPr>
        <w:t>Le terme embarcation doit s’entendre de tout moyen</w:t>
      </w:r>
      <w:r w:rsidR="00B72360">
        <w:rPr>
          <w:rFonts w:asciiTheme="minorHAnsi" w:hAnsiTheme="minorHAnsi" w:cs="Calibri Light"/>
          <w:spacing w:val="-1"/>
        </w:rPr>
        <w:t xml:space="preserve"> matériel</w:t>
      </w:r>
      <w:r w:rsidRPr="00DD194A">
        <w:rPr>
          <w:rFonts w:asciiTheme="minorHAnsi" w:hAnsiTheme="minorHAnsi" w:cs="Calibri Light"/>
          <w:spacing w:val="-1"/>
        </w:rPr>
        <w:t xml:space="preserve"> permettant de se mouvoir sur</w:t>
      </w:r>
      <w:r>
        <w:rPr>
          <w:rFonts w:asciiTheme="minorHAnsi" w:hAnsiTheme="minorHAnsi" w:cs="Calibri Light"/>
          <w:spacing w:val="-1"/>
        </w:rPr>
        <w:t xml:space="preserve"> et </w:t>
      </w:r>
      <w:r w:rsidRPr="00DD194A">
        <w:rPr>
          <w:rFonts w:asciiTheme="minorHAnsi" w:hAnsiTheme="minorHAnsi" w:cs="Calibri Light"/>
          <w:spacing w:val="-1"/>
        </w:rPr>
        <w:t>dans</w:t>
      </w:r>
      <w:r>
        <w:rPr>
          <w:rFonts w:asciiTheme="minorHAnsi" w:hAnsiTheme="minorHAnsi" w:cs="Calibri Light"/>
          <w:spacing w:val="-1"/>
        </w:rPr>
        <w:t xml:space="preserve"> </w:t>
      </w:r>
      <w:r w:rsidRPr="00DD194A">
        <w:rPr>
          <w:rFonts w:asciiTheme="minorHAnsi" w:hAnsiTheme="minorHAnsi" w:cs="Calibri Light"/>
          <w:spacing w:val="-1"/>
        </w:rPr>
        <w:t>l’eau</w:t>
      </w:r>
      <w:r>
        <w:rPr>
          <w:rFonts w:asciiTheme="minorHAnsi" w:hAnsiTheme="minorHAnsi" w:cs="Calibri Light"/>
          <w:spacing w:val="-1"/>
        </w:rPr>
        <w:t xml:space="preserve"> ainsi qu</w:t>
      </w:r>
      <w:r w:rsidR="0035523B">
        <w:rPr>
          <w:rFonts w:asciiTheme="minorHAnsi" w:hAnsiTheme="minorHAnsi" w:cs="Calibri Light"/>
          <w:spacing w:val="-1"/>
        </w:rPr>
        <w:t>’</w:t>
      </w:r>
      <w:r>
        <w:rPr>
          <w:rFonts w:asciiTheme="minorHAnsi" w:hAnsiTheme="minorHAnsi" w:cs="Calibri Light"/>
          <w:spacing w:val="-1"/>
        </w:rPr>
        <w:t>au-dessus de l’eau</w:t>
      </w:r>
      <w:r w:rsidRPr="00DD194A">
        <w:rPr>
          <w:rFonts w:asciiTheme="minorHAnsi" w:hAnsiTheme="minorHAnsi" w:cs="Calibri Light"/>
          <w:spacing w:val="-1"/>
        </w:rPr>
        <w:t>.</w:t>
      </w:r>
    </w:p>
    <w:p w14:paraId="436FD5BB" w14:textId="0AC4D9A7" w:rsidR="009B153C"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Ce montant doit cependant être modulé en fonction du site ou de l'importance de l'exploitation.</w:t>
      </w:r>
    </w:p>
    <w:p w14:paraId="5E2DD54E" w14:textId="43C1A8D3" w:rsidR="00DD194A" w:rsidRDefault="00DD194A" w:rsidP="00E063FD">
      <w:pPr>
        <w:spacing w:before="120"/>
        <w:jc w:val="both"/>
        <w:textAlignment w:val="baseline"/>
        <w:rPr>
          <w:rFonts w:asciiTheme="minorHAnsi" w:hAnsiTheme="minorHAnsi" w:cs="Calibri Light"/>
          <w:spacing w:val="-1"/>
        </w:rPr>
      </w:pPr>
      <w:r>
        <w:rPr>
          <w:rFonts w:asciiTheme="minorHAnsi" w:hAnsiTheme="minorHAnsi" w:cs="Calibri Light"/>
          <w:spacing w:val="-1"/>
        </w:rPr>
        <w:t>Il est également recommandé d’adapter ce tarif en fonction de la présence ou non d’une motorisation, afin de prendre en compte la nuisance sonore.</w:t>
      </w:r>
    </w:p>
    <w:p w14:paraId="0DFA804F" w14:textId="72DE8A1B" w:rsidR="00FB05AF" w:rsidRPr="00F915F6" w:rsidRDefault="00FB05AF" w:rsidP="00E063FD">
      <w:pPr>
        <w:spacing w:before="120"/>
        <w:jc w:val="both"/>
        <w:textAlignment w:val="baseline"/>
        <w:rPr>
          <w:rFonts w:asciiTheme="minorHAnsi" w:hAnsiTheme="minorHAnsi" w:cs="Calibri Light"/>
          <w:spacing w:val="-1"/>
          <w:sz w:val="10"/>
          <w:szCs w:val="10"/>
        </w:rPr>
      </w:pPr>
    </w:p>
    <w:p w14:paraId="346730D0" w14:textId="77777777" w:rsidR="00996D79" w:rsidRDefault="00996D79" w:rsidP="00581DAD">
      <w:pPr>
        <w:pStyle w:val="Sam2"/>
      </w:pPr>
      <w:bookmarkStart w:id="6930" w:name="_Toc40185598"/>
      <w:bookmarkStart w:id="6931" w:name="_Toc40186333"/>
      <w:bookmarkStart w:id="6932" w:name="_Toc74557801"/>
      <w:bookmarkEnd w:id="6930"/>
      <w:bookmarkEnd w:id="6931"/>
      <w:r>
        <w:t>Taxes ou redevances pour l’occupation du domaine public</w:t>
      </w:r>
      <w:bookmarkEnd w:id="6932"/>
    </w:p>
    <w:p w14:paraId="75C87925" w14:textId="77777777" w:rsidR="009B153C" w:rsidRPr="00DA6BD2" w:rsidRDefault="009B153C" w:rsidP="00256E9F">
      <w:pPr>
        <w:pStyle w:val="Sam3"/>
      </w:pPr>
      <w:bookmarkStart w:id="6933" w:name="_Toc516229761"/>
      <w:bookmarkStart w:id="6934" w:name="_Toc516230056"/>
      <w:bookmarkStart w:id="6935" w:name="_Toc516230351"/>
      <w:bookmarkStart w:id="6936" w:name="_Toc516230645"/>
      <w:bookmarkStart w:id="6937" w:name="_Toc516230939"/>
      <w:bookmarkStart w:id="6938" w:name="_Toc516231234"/>
      <w:bookmarkStart w:id="6939" w:name="_Toc516231529"/>
      <w:bookmarkStart w:id="6940" w:name="_Toc516231826"/>
      <w:bookmarkStart w:id="6941" w:name="_Toc516242921"/>
      <w:bookmarkStart w:id="6942" w:name="_Toc516243225"/>
      <w:bookmarkStart w:id="6943" w:name="_Toc516245162"/>
      <w:bookmarkStart w:id="6944" w:name="_Toc516473733"/>
      <w:bookmarkStart w:id="6945" w:name="_Toc516474043"/>
      <w:bookmarkStart w:id="6946" w:name="_Toc516474353"/>
      <w:bookmarkStart w:id="6947" w:name="_Toc516474661"/>
      <w:bookmarkStart w:id="6948" w:name="_Toc516474993"/>
      <w:bookmarkStart w:id="6949" w:name="_Toc516479072"/>
      <w:bookmarkStart w:id="6950" w:name="_Toc516479490"/>
      <w:bookmarkStart w:id="6951" w:name="_Toc516479807"/>
      <w:bookmarkStart w:id="6952" w:name="_Toc516480129"/>
      <w:bookmarkStart w:id="6953" w:name="_Toc516480443"/>
      <w:bookmarkStart w:id="6954" w:name="_Toc516480757"/>
      <w:bookmarkStart w:id="6955" w:name="_Toc516481071"/>
      <w:bookmarkStart w:id="6956" w:name="_Toc516481385"/>
      <w:bookmarkStart w:id="6957" w:name="_Toc516481699"/>
      <w:bookmarkStart w:id="6958" w:name="_Toc516482013"/>
      <w:bookmarkStart w:id="6959" w:name="_Toc516482327"/>
      <w:bookmarkStart w:id="6960" w:name="_Toc516482641"/>
      <w:bookmarkStart w:id="6961" w:name="_Toc516739898"/>
      <w:bookmarkStart w:id="6962" w:name="_Toc516751807"/>
      <w:bookmarkStart w:id="6963" w:name="_Toc516825895"/>
      <w:bookmarkStart w:id="6964" w:name="_Toc516826453"/>
      <w:bookmarkStart w:id="6965" w:name="_Toc516837773"/>
      <w:bookmarkStart w:id="6966" w:name="_Toc516838332"/>
      <w:bookmarkStart w:id="6967" w:name="_Toc516838891"/>
      <w:bookmarkStart w:id="6968" w:name="_Toc516839451"/>
      <w:bookmarkStart w:id="6969" w:name="_Toc517173547"/>
      <w:bookmarkStart w:id="6970" w:name="_Toc517175221"/>
      <w:bookmarkStart w:id="6971" w:name="_Toc517175808"/>
      <w:bookmarkStart w:id="6972" w:name="_Toc517176396"/>
      <w:bookmarkStart w:id="6973" w:name="_Toc517337721"/>
      <w:bookmarkStart w:id="6974" w:name="_Toc517360517"/>
      <w:bookmarkStart w:id="6975" w:name="_Toc516245163"/>
      <w:bookmarkStart w:id="6976" w:name="_Toc516473734"/>
      <w:bookmarkStart w:id="6977" w:name="_Toc516474044"/>
      <w:bookmarkStart w:id="6978" w:name="_Toc516474354"/>
      <w:bookmarkStart w:id="6979" w:name="_Toc516474662"/>
      <w:bookmarkStart w:id="6980" w:name="_Toc516474994"/>
      <w:bookmarkStart w:id="6981" w:name="_Toc516479073"/>
      <w:bookmarkStart w:id="6982" w:name="_Toc516479491"/>
      <w:bookmarkStart w:id="6983" w:name="_Toc516479808"/>
      <w:bookmarkStart w:id="6984" w:name="_Toc516480130"/>
      <w:bookmarkStart w:id="6985" w:name="_Toc516480444"/>
      <w:bookmarkStart w:id="6986" w:name="_Toc516480758"/>
      <w:bookmarkStart w:id="6987" w:name="_Toc516481072"/>
      <w:bookmarkStart w:id="6988" w:name="_Toc516481386"/>
      <w:bookmarkStart w:id="6989" w:name="_Toc516481700"/>
      <w:bookmarkStart w:id="6990" w:name="_Toc516482014"/>
      <w:bookmarkStart w:id="6991" w:name="_Toc516482328"/>
      <w:bookmarkStart w:id="6992" w:name="_Toc516482642"/>
      <w:bookmarkStart w:id="6993" w:name="_Toc516739899"/>
      <w:bookmarkStart w:id="6994" w:name="_Toc516751808"/>
      <w:bookmarkStart w:id="6995" w:name="_Toc516825896"/>
      <w:bookmarkStart w:id="6996" w:name="_Toc516826454"/>
      <w:bookmarkStart w:id="6997" w:name="_Toc516837774"/>
      <w:bookmarkStart w:id="6998" w:name="_Toc516838333"/>
      <w:bookmarkStart w:id="6999" w:name="_Toc516838892"/>
      <w:bookmarkStart w:id="7000" w:name="_Toc516839452"/>
      <w:bookmarkStart w:id="7001" w:name="_Toc517173548"/>
      <w:bookmarkStart w:id="7002" w:name="_Toc517175222"/>
      <w:bookmarkStart w:id="7003" w:name="_Toc517175809"/>
      <w:bookmarkStart w:id="7004" w:name="_Toc517176397"/>
      <w:bookmarkStart w:id="7005" w:name="_Toc517337722"/>
      <w:bookmarkStart w:id="7006" w:name="_Toc517360518"/>
      <w:bookmarkStart w:id="7007" w:name="_Toc516245164"/>
      <w:bookmarkStart w:id="7008" w:name="_Toc516473735"/>
      <w:bookmarkStart w:id="7009" w:name="_Toc516474045"/>
      <w:bookmarkStart w:id="7010" w:name="_Toc516474355"/>
      <w:bookmarkStart w:id="7011" w:name="_Toc516474663"/>
      <w:bookmarkStart w:id="7012" w:name="_Toc516474995"/>
      <w:bookmarkStart w:id="7013" w:name="_Toc516479074"/>
      <w:bookmarkStart w:id="7014" w:name="_Toc516479492"/>
      <w:bookmarkStart w:id="7015" w:name="_Toc516479809"/>
      <w:bookmarkStart w:id="7016" w:name="_Toc516480131"/>
      <w:bookmarkStart w:id="7017" w:name="_Toc516480445"/>
      <w:bookmarkStart w:id="7018" w:name="_Toc516480759"/>
      <w:bookmarkStart w:id="7019" w:name="_Toc516481073"/>
      <w:bookmarkStart w:id="7020" w:name="_Toc516481387"/>
      <w:bookmarkStart w:id="7021" w:name="_Toc516481701"/>
      <w:bookmarkStart w:id="7022" w:name="_Toc516482015"/>
      <w:bookmarkStart w:id="7023" w:name="_Toc516482329"/>
      <w:bookmarkStart w:id="7024" w:name="_Toc516482643"/>
      <w:bookmarkStart w:id="7025" w:name="_Toc516739900"/>
      <w:bookmarkStart w:id="7026" w:name="_Toc516751809"/>
      <w:bookmarkStart w:id="7027" w:name="_Toc516825897"/>
      <w:bookmarkStart w:id="7028" w:name="_Toc516826455"/>
      <w:bookmarkStart w:id="7029" w:name="_Toc516837775"/>
      <w:bookmarkStart w:id="7030" w:name="_Toc516838334"/>
      <w:bookmarkStart w:id="7031" w:name="_Toc516838893"/>
      <w:bookmarkStart w:id="7032" w:name="_Toc516839453"/>
      <w:bookmarkStart w:id="7033" w:name="_Toc517173549"/>
      <w:bookmarkStart w:id="7034" w:name="_Toc517175223"/>
      <w:bookmarkStart w:id="7035" w:name="_Toc517175810"/>
      <w:bookmarkStart w:id="7036" w:name="_Toc517176398"/>
      <w:bookmarkStart w:id="7037" w:name="_Toc517337723"/>
      <w:bookmarkStart w:id="7038" w:name="_Toc517360519"/>
      <w:bookmarkStart w:id="7039" w:name="_Toc512525529"/>
      <w:bookmarkStart w:id="7040" w:name="_Toc515896843"/>
      <w:bookmarkStart w:id="7041" w:name="_Toc74557802"/>
      <w:bookmarkStart w:id="7042" w:name="_Hlk39072274"/>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r w:rsidRPr="00DA6BD2">
        <w:t>040/366-01 : Droits d'emplacement sur les marchés</w:t>
      </w:r>
      <w:bookmarkEnd w:id="7039"/>
      <w:bookmarkEnd w:id="7040"/>
      <w:bookmarkEnd w:id="7041"/>
    </w:p>
    <w:bookmarkEnd w:id="7042"/>
    <w:p w14:paraId="26DC7BA0" w14:textId="77777777" w:rsidR="009B153C" w:rsidRPr="00DA6BD2" w:rsidRDefault="00AC2689" w:rsidP="00F915F6">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e droit perçu par la commune pour l'occupation d'un emplacement sur un marché public constitue une redevance</w:t>
      </w:r>
      <w:r>
        <w:rPr>
          <w:rStyle w:val="Appelnotedebasdep"/>
          <w:rFonts w:asciiTheme="minorHAnsi" w:hAnsiTheme="minorHAnsi" w:cs="Calibri Light"/>
        </w:rPr>
        <w:footnoteReference w:id="174"/>
      </w:r>
      <w:r w:rsidR="009B153C" w:rsidRPr="00DA6BD2">
        <w:rPr>
          <w:rFonts w:asciiTheme="minorHAnsi" w:hAnsiTheme="minorHAnsi" w:cs="Calibri Light"/>
        </w:rPr>
        <w:t>.</w:t>
      </w:r>
    </w:p>
    <w:p w14:paraId="737F7446" w14:textId="77777777" w:rsidR="00A91B91" w:rsidRPr="00A310A8" w:rsidRDefault="00A91B91" w:rsidP="00A91B91">
      <w:pPr>
        <w:spacing w:before="120"/>
        <w:jc w:val="both"/>
        <w:textAlignment w:val="baseline"/>
        <w:rPr>
          <w:rFonts w:asciiTheme="minorHAnsi" w:hAnsiTheme="minorHAnsi" w:cs="Calibri Light"/>
        </w:rPr>
      </w:pPr>
      <w:r w:rsidRPr="00A310A8">
        <w:rPr>
          <w:rFonts w:asciiTheme="minorHAnsi" w:hAnsiTheme="minorHAnsi" w:cs="Calibri Light"/>
        </w:rPr>
        <w:t>Si l’on peut concevoir que le prix du m² occupé varie d’un quartier à l’autre de la commune, il n’est pas pensable de fixer un tarif différent en fonction de la personne qui l’occupe selon le principe 1m² = 1m².</w:t>
      </w:r>
    </w:p>
    <w:p w14:paraId="7B9CA8BF"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communes veilleront donc à ne pas voter ce droit sous forme de taxe.</w:t>
      </w:r>
    </w:p>
    <w:p w14:paraId="4402A963"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notion d'emplacement faisant par nature référence à l'occupation d'une surface, le montant de la redevance demandée doit être calculé par référence au m</w:t>
      </w:r>
      <w:r w:rsidRPr="00DA6BD2">
        <w:rPr>
          <w:rFonts w:asciiTheme="minorHAnsi" w:hAnsiTheme="minorHAnsi" w:cs="Calibri Light"/>
          <w:vertAlign w:val="superscript"/>
        </w:rPr>
        <w:t>2</w:t>
      </w:r>
      <w:r w:rsidRPr="00DA6BD2">
        <w:rPr>
          <w:rFonts w:asciiTheme="minorHAnsi" w:hAnsiTheme="minorHAnsi" w:cs="Calibri Light"/>
        </w:rPr>
        <w:t xml:space="preserve"> (et non au mètre courant).</w:t>
      </w:r>
    </w:p>
    <w:p w14:paraId="35291A80"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Par ailleurs, le nombre d'emplacements pouvant faire l'objet d'une attribution au jour le jour ne peut être inférieur à 5% du nombre total d'emplacements</w:t>
      </w:r>
      <w:r w:rsidR="00AC2689">
        <w:rPr>
          <w:rStyle w:val="Appelnotedebasdep"/>
          <w:rFonts w:asciiTheme="minorHAnsi" w:hAnsiTheme="minorHAnsi" w:cs="Calibri Light"/>
        </w:rPr>
        <w:footnoteReference w:id="175"/>
      </w:r>
      <w:r w:rsidR="00AC2689">
        <w:rPr>
          <w:rFonts w:asciiTheme="minorHAnsi" w:hAnsiTheme="minorHAnsi" w:cs="Calibri Light"/>
        </w:rPr>
        <w:t>.</w:t>
      </w:r>
      <w:r w:rsidRPr="00DA6BD2">
        <w:rPr>
          <w:rFonts w:asciiTheme="minorHAnsi" w:hAnsiTheme="minorHAnsi" w:cs="Calibri Light"/>
        </w:rPr>
        <w:t xml:space="preserve"> </w:t>
      </w:r>
    </w:p>
    <w:p w14:paraId="04EA6AAF" w14:textId="77777777" w:rsidR="0027229E" w:rsidRDefault="00AC2689" w:rsidP="00E063FD">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 xml:space="preserve">orsque le règlement communal prévoit les deux modes d'attribution d'un emplacement que sont celui avec abonnement et celui au jour le jour, le choix de la formule d'abonnement doit être garanti au redevable sans être rendu obligatoire. </w:t>
      </w:r>
    </w:p>
    <w:p w14:paraId="1ED91FD7" w14:textId="77777777" w:rsidR="00634A52" w:rsidRPr="00DA6BD2" w:rsidRDefault="00634A52" w:rsidP="00634A52">
      <w:pPr>
        <w:spacing w:before="120"/>
        <w:jc w:val="both"/>
        <w:textAlignment w:val="baseline"/>
        <w:rPr>
          <w:rFonts w:asciiTheme="minorHAnsi" w:hAnsiTheme="minorHAnsi" w:cs="Calibri Light"/>
          <w:color w:val="0D0D0D"/>
        </w:rPr>
      </w:pPr>
      <w:r w:rsidRPr="008D7EB7">
        <w:rPr>
          <w:rFonts w:asciiTheme="minorHAnsi" w:hAnsiTheme="minorHAnsi" w:cs="Calibri Light"/>
          <w:color w:val="0D0D0D"/>
        </w:rPr>
        <w:t>Par ailleurs, une modulation du taux suivant le type d’activités n’est pas concevable vu que le service rendu par la commune (la mise à disposition du domaine public) est le même pour tous les occupants.</w:t>
      </w:r>
    </w:p>
    <w:p w14:paraId="300B684F" w14:textId="605E05F1"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En cas de fourniture de services tels que mise à disposition d'eau ou d'électricité, la redevance demandée peut être majorée par rapport à la simple mise à disposition d'un emplacement.</w:t>
      </w:r>
    </w:p>
    <w:p w14:paraId="1216CAB7" w14:textId="3DD6FBD7" w:rsidR="00954869" w:rsidRDefault="00954869" w:rsidP="00E063FD">
      <w:pPr>
        <w:spacing w:before="120"/>
        <w:jc w:val="both"/>
        <w:textAlignment w:val="baseline"/>
        <w:rPr>
          <w:rFonts w:asciiTheme="minorHAnsi" w:hAnsiTheme="minorHAnsi" w:cs="Calibri Light"/>
        </w:rPr>
      </w:pPr>
    </w:p>
    <w:p w14:paraId="26551EE0" w14:textId="77777777" w:rsidR="00954869" w:rsidRDefault="00954869" w:rsidP="00954869">
      <w:pPr>
        <w:spacing w:before="120" w:after="240"/>
        <w:jc w:val="both"/>
        <w:textAlignment w:val="baseline"/>
        <w:rPr>
          <w:rFonts w:asciiTheme="minorHAnsi" w:hAnsiTheme="minorHAnsi" w:cs="Calibri Light"/>
        </w:rPr>
      </w:pPr>
    </w:p>
    <w:p w14:paraId="196A401B" w14:textId="77777777" w:rsidR="008A59E1" w:rsidRDefault="008A59E1" w:rsidP="00256E9F">
      <w:pPr>
        <w:pStyle w:val="Sam3"/>
      </w:pPr>
    </w:p>
    <w:p w14:paraId="40AD6309" w14:textId="77777777" w:rsidR="00705A12" w:rsidRPr="00AB4F0A" w:rsidRDefault="009B153C" w:rsidP="00256E9F">
      <w:pPr>
        <w:pStyle w:val="Sam3"/>
      </w:pPr>
      <w:bookmarkStart w:id="7043" w:name="_Toc512525530"/>
      <w:bookmarkStart w:id="7044" w:name="_Toc515896844"/>
      <w:bookmarkStart w:id="7045" w:name="_Toc74557803"/>
      <w:bookmarkStart w:id="7046" w:name="_Hlk39039667"/>
      <w:r w:rsidRPr="006C6AB2">
        <w:rPr>
          <w:rStyle w:val="Titre3Car"/>
          <w:rFonts w:asciiTheme="minorHAnsi" w:eastAsia="PMingLiU" w:hAnsiTheme="minorHAnsi"/>
          <w:b/>
          <w:sz w:val="24"/>
          <w:szCs w:val="24"/>
        </w:rPr>
        <w:lastRenderedPageBreak/>
        <w:t>040/366-03 : Loges foraines, loges m</w:t>
      </w:r>
      <w:r w:rsidRPr="00424D83">
        <w:rPr>
          <w:rStyle w:val="Titre3Car"/>
          <w:rFonts w:asciiTheme="minorHAnsi" w:eastAsia="PMingLiU" w:hAnsiTheme="minorHAnsi"/>
          <w:b/>
          <w:sz w:val="24"/>
          <w:szCs w:val="24"/>
        </w:rPr>
        <w:t>obiles et loges servant au logement sur la voie publique</w:t>
      </w:r>
      <w:bookmarkEnd w:id="7043"/>
      <w:bookmarkEnd w:id="7044"/>
      <w:bookmarkEnd w:id="7045"/>
      <w:r w:rsidRPr="00AB4F0A">
        <w:t xml:space="preserve"> </w:t>
      </w:r>
    </w:p>
    <w:bookmarkEnd w:id="7046"/>
    <w:p w14:paraId="56BD1CEC" w14:textId="6925B96E" w:rsidR="009B153C" w:rsidRDefault="009B153C" w:rsidP="00256E9F">
      <w:pPr>
        <w:spacing w:before="120"/>
        <w:jc w:val="both"/>
        <w:textAlignment w:val="baseline"/>
      </w:pPr>
      <w:r w:rsidRPr="00256E9F">
        <w:rPr>
          <w:rFonts w:asciiTheme="minorHAnsi" w:hAnsiTheme="minorHAnsi" w:cs="Calibri Light"/>
        </w:rPr>
        <w:t>Redevance</w:t>
      </w:r>
      <w:r w:rsidR="00705A12" w:rsidRPr="00E063FD">
        <w:t>.</w:t>
      </w:r>
    </w:p>
    <w:p w14:paraId="300B5C9B" w14:textId="080DB7A7" w:rsidR="009B153C" w:rsidRPr="00DA6BD2" w:rsidRDefault="00B56F17" w:rsidP="00E063FD">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’attribution des emplacements doit se faire conformément à l'arrêté royal du 24 septembre 2006 relatif à l'exercice et l'organisation des activités foraines et des activités ambulantes de gastronomie foraine.</w:t>
      </w:r>
    </w:p>
    <w:p w14:paraId="4EF62D34" w14:textId="6753EC01" w:rsidR="00712BD5" w:rsidRDefault="009B153C" w:rsidP="00EF0C5E">
      <w:pPr>
        <w:spacing w:before="120"/>
        <w:jc w:val="both"/>
        <w:textAlignment w:val="baseline"/>
        <w:rPr>
          <w:rFonts w:asciiTheme="minorHAnsi" w:hAnsiTheme="minorHAnsi" w:cs="Calibri Light"/>
          <w:color w:val="0D0D0D"/>
        </w:rPr>
      </w:pPr>
      <w:r w:rsidRPr="008A59E1">
        <w:rPr>
          <w:rFonts w:asciiTheme="minorHAnsi" w:hAnsiTheme="minorHAnsi" w:cs="Calibri Light"/>
          <w:color w:val="0D0D0D"/>
        </w:rPr>
        <w:t xml:space="preserve">La notion d'emplacement faisant par nature référence à l'occupation d'une surface, </w:t>
      </w:r>
      <w:r w:rsidR="00712BD5">
        <w:rPr>
          <w:rFonts w:asciiTheme="minorHAnsi" w:hAnsiTheme="minorHAnsi" w:cs="Calibri Light"/>
          <w:color w:val="0D0D0D"/>
        </w:rPr>
        <w:t xml:space="preserve">il est recommandé de calculer </w:t>
      </w:r>
      <w:r w:rsidRPr="008A59E1">
        <w:rPr>
          <w:rFonts w:asciiTheme="minorHAnsi" w:hAnsiTheme="minorHAnsi" w:cs="Calibri Light"/>
          <w:color w:val="0D0D0D"/>
        </w:rPr>
        <w:t>le montant de la redevance par référence au m</w:t>
      </w:r>
      <w:r w:rsidRPr="008A59E1">
        <w:rPr>
          <w:rFonts w:asciiTheme="minorHAnsi" w:hAnsiTheme="minorHAnsi" w:cs="Calibri Light"/>
          <w:color w:val="0D0D0D"/>
          <w:vertAlign w:val="superscript"/>
        </w:rPr>
        <w:t>2</w:t>
      </w:r>
      <w:r w:rsidRPr="008A59E1">
        <w:rPr>
          <w:rFonts w:asciiTheme="minorHAnsi" w:hAnsiTheme="minorHAnsi" w:cs="Calibri Light"/>
          <w:color w:val="0D0D0D"/>
        </w:rPr>
        <w:t xml:space="preserve"> (et non au mètre courant) et </w:t>
      </w:r>
      <w:r w:rsidR="00EF0C5E" w:rsidRPr="008D7EB7">
        <w:rPr>
          <w:rFonts w:asciiTheme="minorHAnsi" w:hAnsiTheme="minorHAnsi" w:cs="Calibri Light"/>
          <w:color w:val="0D0D0D"/>
        </w:rPr>
        <w:t>idéalement</w:t>
      </w:r>
      <w:r w:rsidR="00EF0C5E" w:rsidRPr="008A59E1">
        <w:rPr>
          <w:rFonts w:asciiTheme="minorHAnsi" w:hAnsiTheme="minorHAnsi" w:cs="Calibri Light"/>
          <w:color w:val="0D0D0D"/>
        </w:rPr>
        <w:t xml:space="preserve"> par jour d’occupation. </w:t>
      </w:r>
    </w:p>
    <w:p w14:paraId="490CC836" w14:textId="485D7359" w:rsidR="00EF0C5E" w:rsidRDefault="00EF0C5E" w:rsidP="00EF0C5E">
      <w:pPr>
        <w:spacing w:before="120"/>
        <w:jc w:val="both"/>
        <w:textAlignment w:val="baseline"/>
        <w:rPr>
          <w:rFonts w:asciiTheme="minorHAnsi" w:hAnsiTheme="minorHAnsi" w:cs="Calibri Light"/>
          <w:color w:val="0D0D0D"/>
        </w:rPr>
      </w:pPr>
      <w:r w:rsidRPr="008D7EB7">
        <w:rPr>
          <w:rFonts w:asciiTheme="minorHAnsi" w:hAnsiTheme="minorHAnsi" w:cs="Calibri Light"/>
          <w:color w:val="0D0D0D"/>
        </w:rPr>
        <w:t xml:space="preserve">Si </w:t>
      </w:r>
      <w:r w:rsidR="00A10C58">
        <w:rPr>
          <w:rFonts w:asciiTheme="minorHAnsi" w:hAnsiTheme="minorHAnsi" w:cs="Calibri Light"/>
          <w:color w:val="0D0D0D"/>
        </w:rPr>
        <w:t>d’autres critères sont utilisés</w:t>
      </w:r>
      <w:r w:rsidRPr="008D7EB7">
        <w:rPr>
          <w:rFonts w:asciiTheme="minorHAnsi" w:hAnsiTheme="minorHAnsi" w:cs="Calibri Light"/>
          <w:color w:val="0D0D0D"/>
        </w:rPr>
        <w:t xml:space="preserve"> (</w:t>
      </w:r>
      <w:r w:rsidR="00A10C58">
        <w:rPr>
          <w:rFonts w:asciiTheme="minorHAnsi" w:hAnsiTheme="minorHAnsi" w:cs="Calibri Light"/>
          <w:color w:val="0D0D0D"/>
        </w:rPr>
        <w:t xml:space="preserve">ex : </w:t>
      </w:r>
      <w:r w:rsidRPr="008D7EB7">
        <w:rPr>
          <w:rFonts w:asciiTheme="minorHAnsi" w:hAnsiTheme="minorHAnsi" w:cs="Calibri Light"/>
          <w:color w:val="0D0D0D"/>
        </w:rPr>
        <w:t xml:space="preserve">semaine, mois, trimestre, semestre, période déterminée, la durée d’une foire, …) il </w:t>
      </w:r>
      <w:r w:rsidR="00A10C58">
        <w:rPr>
          <w:rFonts w:asciiTheme="minorHAnsi" w:hAnsiTheme="minorHAnsi" w:cs="Calibri Light"/>
          <w:color w:val="0D0D0D"/>
        </w:rPr>
        <w:t>y a lieu de</w:t>
      </w:r>
      <w:r w:rsidRPr="008D7EB7">
        <w:rPr>
          <w:rFonts w:asciiTheme="minorHAnsi" w:hAnsiTheme="minorHAnsi" w:cs="Calibri Light"/>
          <w:color w:val="0D0D0D"/>
        </w:rPr>
        <w:t xml:space="preserve"> veiller à ce que </w:t>
      </w:r>
      <w:r w:rsidR="00A10C58">
        <w:rPr>
          <w:rFonts w:asciiTheme="minorHAnsi" w:hAnsiTheme="minorHAnsi" w:cs="Calibri Light"/>
          <w:color w:val="0D0D0D"/>
        </w:rPr>
        <w:t>les redevables soient</w:t>
      </w:r>
      <w:r w:rsidRPr="008D7EB7">
        <w:rPr>
          <w:rFonts w:asciiTheme="minorHAnsi" w:hAnsiTheme="minorHAnsi" w:cs="Calibri Light"/>
          <w:color w:val="0D0D0D"/>
        </w:rPr>
        <w:t xml:space="preserve"> traité</w:t>
      </w:r>
      <w:r w:rsidR="00A10C58">
        <w:rPr>
          <w:rFonts w:asciiTheme="minorHAnsi" w:hAnsiTheme="minorHAnsi" w:cs="Calibri Light"/>
          <w:color w:val="0D0D0D"/>
        </w:rPr>
        <w:t>s</w:t>
      </w:r>
      <w:r w:rsidRPr="008D7EB7">
        <w:rPr>
          <w:rFonts w:asciiTheme="minorHAnsi" w:hAnsiTheme="minorHAnsi" w:cs="Calibri Light"/>
          <w:color w:val="0D0D0D"/>
        </w:rPr>
        <w:t xml:space="preserve"> de la même manière et </w:t>
      </w:r>
      <w:r w:rsidR="00A10C58">
        <w:rPr>
          <w:rFonts w:asciiTheme="minorHAnsi" w:hAnsiTheme="minorHAnsi" w:cs="Calibri Light"/>
          <w:color w:val="0D0D0D"/>
        </w:rPr>
        <w:t>d’éviter d’éventuelles discriminations</w:t>
      </w:r>
      <w:r w:rsidRPr="008D7EB7">
        <w:rPr>
          <w:rFonts w:asciiTheme="minorHAnsi" w:hAnsiTheme="minorHAnsi" w:cs="Calibri Light"/>
          <w:color w:val="0D0D0D"/>
        </w:rPr>
        <w:t>.</w:t>
      </w:r>
    </w:p>
    <w:p w14:paraId="71BE4BFD" w14:textId="4591D562" w:rsidR="00A10C58" w:rsidRDefault="00A10C58" w:rsidP="00EF0C5E">
      <w:pPr>
        <w:spacing w:before="120"/>
        <w:jc w:val="both"/>
        <w:textAlignment w:val="baseline"/>
        <w:rPr>
          <w:rFonts w:asciiTheme="minorHAnsi" w:hAnsiTheme="minorHAnsi" w:cs="Calibri Light"/>
          <w:color w:val="0D0D0D"/>
        </w:rPr>
      </w:pPr>
      <w:r>
        <w:rPr>
          <w:rFonts w:asciiTheme="minorHAnsi" w:hAnsiTheme="minorHAnsi" w:cs="Calibri Light"/>
          <w:color w:val="0D0D0D"/>
        </w:rPr>
        <w:t>Dans le même ordre d’idée, il peut être prévu des montants minimum et/ou maximum.</w:t>
      </w:r>
    </w:p>
    <w:p w14:paraId="5CBE0A30" w14:textId="5F9F5E9E" w:rsidR="00712BD5" w:rsidRDefault="00712BD5" w:rsidP="00EF0C5E">
      <w:pPr>
        <w:spacing w:before="120"/>
        <w:jc w:val="both"/>
        <w:textAlignment w:val="baseline"/>
        <w:rPr>
          <w:rFonts w:asciiTheme="minorHAnsi" w:hAnsiTheme="minorHAnsi" w:cs="Calibri Light"/>
          <w:color w:val="0D0D0D"/>
        </w:rPr>
      </w:pPr>
      <w:r>
        <w:rPr>
          <w:rFonts w:asciiTheme="minorHAnsi" w:hAnsiTheme="minorHAnsi" w:cs="Calibri Light"/>
          <w:color w:val="0D0D0D"/>
        </w:rPr>
        <w:t>Toutefois, eu égard aux charges</w:t>
      </w:r>
      <w:r w:rsidR="007753BC">
        <w:rPr>
          <w:rFonts w:asciiTheme="minorHAnsi" w:hAnsiTheme="minorHAnsi" w:cs="Calibri Light"/>
          <w:color w:val="0D0D0D"/>
        </w:rPr>
        <w:t xml:space="preserve"> </w:t>
      </w:r>
      <w:r>
        <w:rPr>
          <w:rFonts w:asciiTheme="minorHAnsi" w:hAnsiTheme="minorHAnsi" w:cs="Calibri Light"/>
          <w:color w:val="0D0D0D"/>
        </w:rPr>
        <w:t>liées</w:t>
      </w:r>
      <w:r w:rsidR="00A10C58">
        <w:rPr>
          <w:rFonts w:asciiTheme="minorHAnsi" w:hAnsiTheme="minorHAnsi" w:cs="Calibri Light"/>
          <w:color w:val="0D0D0D"/>
        </w:rPr>
        <w:t xml:space="preserve"> et inhérentes </w:t>
      </w:r>
      <w:r>
        <w:rPr>
          <w:rFonts w:asciiTheme="minorHAnsi" w:hAnsiTheme="minorHAnsi" w:cs="Calibri Light"/>
          <w:color w:val="0D0D0D"/>
        </w:rPr>
        <w:t>à la mise à disposition du domaine public plus importante</w:t>
      </w:r>
      <w:r w:rsidR="007753BC">
        <w:rPr>
          <w:rFonts w:asciiTheme="minorHAnsi" w:hAnsiTheme="minorHAnsi" w:cs="Calibri Light"/>
          <w:color w:val="0D0D0D"/>
        </w:rPr>
        <w:t>s</w:t>
      </w:r>
      <w:r>
        <w:rPr>
          <w:rFonts w:asciiTheme="minorHAnsi" w:hAnsiTheme="minorHAnsi" w:cs="Calibri Light"/>
          <w:color w:val="0D0D0D"/>
        </w:rPr>
        <w:t xml:space="preserve"> </w:t>
      </w:r>
      <w:r w:rsidR="00A10C58">
        <w:rPr>
          <w:rFonts w:asciiTheme="minorHAnsi" w:hAnsiTheme="minorHAnsi" w:cs="Calibri Light"/>
          <w:color w:val="0D0D0D"/>
        </w:rPr>
        <w:t>lors de l’installation</w:t>
      </w:r>
      <w:r>
        <w:rPr>
          <w:rFonts w:asciiTheme="minorHAnsi" w:hAnsiTheme="minorHAnsi" w:cs="Calibri Light"/>
          <w:color w:val="0D0D0D"/>
        </w:rPr>
        <w:t xml:space="preserve">, il </w:t>
      </w:r>
      <w:r w:rsidR="00A10C58">
        <w:rPr>
          <w:rFonts w:asciiTheme="minorHAnsi" w:hAnsiTheme="minorHAnsi" w:cs="Calibri Light"/>
          <w:color w:val="0D0D0D"/>
        </w:rPr>
        <w:t xml:space="preserve">peut </w:t>
      </w:r>
      <w:r w:rsidR="007753BC">
        <w:rPr>
          <w:rFonts w:asciiTheme="minorHAnsi" w:hAnsiTheme="minorHAnsi" w:cs="Calibri Light"/>
          <w:color w:val="0D0D0D"/>
        </w:rPr>
        <w:t>paraît</w:t>
      </w:r>
      <w:r w:rsidR="00A10C58">
        <w:rPr>
          <w:rFonts w:asciiTheme="minorHAnsi" w:hAnsiTheme="minorHAnsi" w:cs="Calibri Light"/>
          <w:color w:val="0D0D0D"/>
        </w:rPr>
        <w:t>re</w:t>
      </w:r>
      <w:r w:rsidR="007753BC">
        <w:rPr>
          <w:rFonts w:asciiTheme="minorHAnsi" w:hAnsiTheme="minorHAnsi" w:cs="Calibri Light"/>
          <w:color w:val="0D0D0D"/>
        </w:rPr>
        <w:t xml:space="preserve"> </w:t>
      </w:r>
      <w:r>
        <w:rPr>
          <w:rFonts w:asciiTheme="minorHAnsi" w:hAnsiTheme="minorHAnsi" w:cs="Calibri Light"/>
          <w:color w:val="0D0D0D"/>
        </w:rPr>
        <w:t>cohérent d’appliquer une dégressivité de la redevance</w:t>
      </w:r>
      <w:r w:rsidR="007753BC">
        <w:rPr>
          <w:rFonts w:asciiTheme="minorHAnsi" w:hAnsiTheme="minorHAnsi" w:cs="Calibri Light"/>
          <w:color w:val="0D0D0D"/>
        </w:rPr>
        <w:t xml:space="preserve"> en fonction de la durée, voire de l’espace mis à disposition</w:t>
      </w:r>
      <w:r w:rsidR="00B05546">
        <w:rPr>
          <w:rFonts w:asciiTheme="minorHAnsi" w:hAnsiTheme="minorHAnsi" w:cs="Calibri Light"/>
          <w:color w:val="0D0D0D"/>
        </w:rPr>
        <w:t>.</w:t>
      </w:r>
    </w:p>
    <w:p w14:paraId="3EEC7C1A" w14:textId="3A127DDB" w:rsidR="009B153C" w:rsidRPr="00DA6BD2" w:rsidRDefault="00B05546" w:rsidP="00E063FD">
      <w:pPr>
        <w:spacing w:before="120"/>
        <w:jc w:val="both"/>
        <w:textAlignment w:val="baseline"/>
        <w:rPr>
          <w:rFonts w:asciiTheme="minorHAnsi" w:hAnsiTheme="minorHAnsi" w:cs="Calibri Light"/>
          <w:color w:val="0D0D0D"/>
        </w:rPr>
      </w:pPr>
      <w:bookmarkStart w:id="7047" w:name="_Hlk39072146"/>
      <w:r>
        <w:rPr>
          <w:rFonts w:asciiTheme="minorHAnsi" w:hAnsiTheme="minorHAnsi" w:cs="Calibri Light"/>
          <w:color w:val="0D0D0D"/>
        </w:rPr>
        <w:t>P</w:t>
      </w:r>
      <w:r w:rsidR="007B3374">
        <w:rPr>
          <w:rFonts w:asciiTheme="minorHAnsi" w:hAnsiTheme="minorHAnsi" w:cs="Calibri Light"/>
          <w:color w:val="0D0D0D"/>
        </w:rPr>
        <w:t xml:space="preserve">ar ailleurs, sauf motivation adéquate et pertinente dans le préambule, </w:t>
      </w:r>
      <w:r w:rsidR="00C64FAE">
        <w:rPr>
          <w:rFonts w:asciiTheme="minorHAnsi" w:hAnsiTheme="minorHAnsi" w:cs="Calibri Light"/>
          <w:color w:val="0D0D0D"/>
        </w:rPr>
        <w:t>et s</w:t>
      </w:r>
      <w:r w:rsidR="00A10C58">
        <w:rPr>
          <w:rFonts w:asciiTheme="minorHAnsi" w:hAnsiTheme="minorHAnsi" w:cs="Calibri Light"/>
          <w:color w:val="0D0D0D"/>
        </w:rPr>
        <w:t>ous réserve des</w:t>
      </w:r>
      <w:r w:rsidR="00C64FAE">
        <w:rPr>
          <w:rFonts w:asciiTheme="minorHAnsi" w:hAnsiTheme="minorHAnsi" w:cs="Calibri Light"/>
          <w:color w:val="0D0D0D"/>
        </w:rPr>
        <w:t xml:space="preserve"> critères d’adaptation repris ci-dessus, </w:t>
      </w:r>
      <w:r w:rsidR="00634A52" w:rsidRPr="008A59E1">
        <w:rPr>
          <w:rFonts w:asciiTheme="minorHAnsi" w:hAnsiTheme="minorHAnsi" w:cs="Calibri Light"/>
          <w:color w:val="0D0D0D"/>
        </w:rPr>
        <w:t xml:space="preserve">une modulation du taux suivant le type d’activités n’est </w:t>
      </w:r>
      <w:r w:rsidR="00A10C58">
        <w:rPr>
          <w:rFonts w:asciiTheme="minorHAnsi" w:hAnsiTheme="minorHAnsi" w:cs="Calibri Light"/>
          <w:color w:val="0D0D0D"/>
        </w:rPr>
        <w:t xml:space="preserve">en principe </w:t>
      </w:r>
      <w:r w:rsidR="00634A52" w:rsidRPr="008A59E1">
        <w:rPr>
          <w:rFonts w:asciiTheme="minorHAnsi" w:hAnsiTheme="minorHAnsi" w:cs="Calibri Light"/>
          <w:color w:val="0D0D0D"/>
        </w:rPr>
        <w:t xml:space="preserve">pas </w:t>
      </w:r>
      <w:r w:rsidR="007B3374">
        <w:rPr>
          <w:rFonts w:asciiTheme="minorHAnsi" w:hAnsiTheme="minorHAnsi" w:cs="Calibri Light"/>
          <w:color w:val="0D0D0D"/>
        </w:rPr>
        <w:t>envisageable</w:t>
      </w:r>
      <w:r w:rsidR="00634A52" w:rsidRPr="008A59E1">
        <w:rPr>
          <w:rFonts w:asciiTheme="minorHAnsi" w:hAnsiTheme="minorHAnsi" w:cs="Calibri Light"/>
          <w:color w:val="0D0D0D"/>
        </w:rPr>
        <w:t>.</w:t>
      </w:r>
    </w:p>
    <w:bookmarkEnd w:id="7047"/>
    <w:p w14:paraId="1161CA77" w14:textId="1866EA31" w:rsidR="009B153C" w:rsidRDefault="009B153C" w:rsidP="00256E9F">
      <w:pPr>
        <w:spacing w:before="120" w:after="120"/>
        <w:jc w:val="both"/>
        <w:textAlignment w:val="baseline"/>
        <w:rPr>
          <w:rFonts w:asciiTheme="minorHAnsi" w:hAnsiTheme="minorHAnsi" w:cs="Calibri Light"/>
          <w:color w:val="0D0D0D"/>
          <w:spacing w:val="-2"/>
        </w:rPr>
      </w:pPr>
      <w:r w:rsidRPr="00DA6BD2">
        <w:rPr>
          <w:rFonts w:asciiTheme="minorHAnsi" w:hAnsiTheme="minorHAnsi" w:cs="Calibri Light"/>
          <w:color w:val="0D0D0D"/>
          <w:spacing w:val="-2"/>
        </w:rPr>
        <w:t>En cas de fourniture de services tels que mise à disposition d'eau ou d'électricité, la redevance demandée peut être majorée par rapport à la simple mise à disposition d'un emplacement.</w:t>
      </w:r>
    </w:p>
    <w:p w14:paraId="11B1C2FC" w14:textId="7368B57B" w:rsidR="00C117DA" w:rsidRPr="00276F16" w:rsidRDefault="00C117DA" w:rsidP="00256E9F">
      <w:pPr>
        <w:pStyle w:val="Sam3"/>
      </w:pPr>
      <w:bookmarkStart w:id="7048" w:name="_Toc74557804"/>
      <w:r w:rsidRPr="008D7EB7">
        <w:t>Cette redevance ne s’oppose pas à l’application d’une taxe sur l’exploitation (</w:t>
      </w:r>
      <w:r w:rsidRPr="00276F16">
        <w:t>cf. 04003/364-48 : Loges foraines et loges mobiles)</w:t>
      </w:r>
      <w:r w:rsidRPr="008D7EB7">
        <w:t>.</w:t>
      </w:r>
      <w:bookmarkEnd w:id="7048"/>
    </w:p>
    <w:p w14:paraId="15D3E6EC" w14:textId="2348D443" w:rsidR="008A59E1" w:rsidRDefault="008A59E1" w:rsidP="00256E9F">
      <w:pPr>
        <w:pStyle w:val="Sam3"/>
      </w:pPr>
    </w:p>
    <w:p w14:paraId="3C03CF01" w14:textId="41657072" w:rsidR="00F915F6" w:rsidRDefault="00F915F6" w:rsidP="00256E9F">
      <w:pPr>
        <w:pStyle w:val="Sam3"/>
      </w:pPr>
    </w:p>
    <w:p w14:paraId="6B979223" w14:textId="77777777" w:rsidR="00F915F6" w:rsidRDefault="00F915F6" w:rsidP="00256E9F">
      <w:pPr>
        <w:pStyle w:val="Sam3"/>
      </w:pPr>
    </w:p>
    <w:p w14:paraId="6FA0E29D" w14:textId="45C03992" w:rsidR="00705A12" w:rsidRPr="00AB4F0A" w:rsidRDefault="009B153C" w:rsidP="00256E9F">
      <w:pPr>
        <w:pStyle w:val="Sam3"/>
      </w:pPr>
      <w:bookmarkStart w:id="7049" w:name="_Toc512525531"/>
      <w:bookmarkStart w:id="7050" w:name="_Toc515896845"/>
      <w:bookmarkStart w:id="7051" w:name="_Toc74557805"/>
      <w:r w:rsidRPr="006C6AB2">
        <w:rPr>
          <w:rStyle w:val="Titre3Car"/>
          <w:rFonts w:asciiTheme="minorHAnsi" w:eastAsia="PMingLiU" w:hAnsiTheme="minorHAnsi"/>
          <w:b/>
          <w:sz w:val="24"/>
          <w:szCs w:val="24"/>
        </w:rPr>
        <w:t>040/366-05 : Droit de quai</w:t>
      </w:r>
      <w:bookmarkEnd w:id="7049"/>
      <w:bookmarkEnd w:id="7050"/>
      <w:bookmarkEnd w:id="7051"/>
      <w:r w:rsidRPr="00AB4F0A">
        <w:rPr>
          <w:spacing w:val="2"/>
        </w:rPr>
        <w:t xml:space="preserve"> </w:t>
      </w:r>
    </w:p>
    <w:p w14:paraId="0A228166" w14:textId="77777777" w:rsidR="009B153C" w:rsidRPr="006126A1" w:rsidRDefault="009B153C" w:rsidP="00256E9F">
      <w:pPr>
        <w:spacing w:before="120" w:after="120"/>
        <w:jc w:val="both"/>
        <w:textAlignment w:val="baseline"/>
      </w:pPr>
      <w:r w:rsidRPr="00256E9F">
        <w:rPr>
          <w:rFonts w:asciiTheme="minorHAnsi" w:hAnsiTheme="minorHAnsi" w:cs="Calibri Light"/>
        </w:rPr>
        <w:t>Redevance</w:t>
      </w:r>
      <w:r w:rsidR="00705A12" w:rsidRPr="00E063FD">
        <w:t>.</w:t>
      </w:r>
    </w:p>
    <w:p w14:paraId="53D682B7" w14:textId="5A214623" w:rsidR="00DA6694" w:rsidRDefault="00DA6694" w:rsidP="008D7EB7">
      <w:pPr>
        <w:spacing w:before="120" w:after="240"/>
        <w:jc w:val="both"/>
        <w:textAlignment w:val="baseline"/>
        <w:rPr>
          <w:rFonts w:asciiTheme="minorHAnsi" w:hAnsiTheme="minorHAnsi" w:cs="Calibri Light"/>
        </w:rPr>
      </w:pPr>
      <w:r w:rsidRPr="008D7EB7">
        <w:rPr>
          <w:rFonts w:asciiTheme="minorHAnsi" w:hAnsiTheme="minorHAnsi" w:cs="Calibri Light"/>
        </w:rPr>
        <w:t>Le droit de quai se calcule par mètre courant et par jour d’occupation.</w:t>
      </w:r>
    </w:p>
    <w:p w14:paraId="46B222FA" w14:textId="77777777" w:rsidR="00705A12" w:rsidRPr="00AB4F0A" w:rsidRDefault="009B153C" w:rsidP="00256E9F">
      <w:pPr>
        <w:pStyle w:val="Sam3"/>
        <w:rPr>
          <w:spacing w:val="-2"/>
        </w:rPr>
      </w:pPr>
      <w:bookmarkStart w:id="7052" w:name="_Toc512525532"/>
      <w:bookmarkStart w:id="7053" w:name="_Toc515896846"/>
      <w:bookmarkStart w:id="7054" w:name="_Toc74557806"/>
      <w:bookmarkStart w:id="7055" w:name="_Hlk39039365"/>
      <w:r w:rsidRPr="006C6AB2">
        <w:rPr>
          <w:rStyle w:val="Titre3Car"/>
          <w:rFonts w:asciiTheme="minorHAnsi" w:eastAsia="PMingLiU" w:hAnsiTheme="minorHAnsi"/>
          <w:b/>
          <w:sz w:val="24"/>
          <w:szCs w:val="24"/>
        </w:rPr>
        <w:t xml:space="preserve">040/366-06 : Placement de </w:t>
      </w:r>
      <w:r w:rsidRPr="00424D83">
        <w:rPr>
          <w:rStyle w:val="Titre3Car"/>
          <w:rFonts w:asciiTheme="minorHAnsi" w:eastAsia="PMingLiU" w:hAnsiTheme="minorHAnsi"/>
          <w:b/>
          <w:sz w:val="24"/>
          <w:szCs w:val="24"/>
        </w:rPr>
        <w:t>terrasses, de tables et de chaises</w:t>
      </w:r>
      <w:bookmarkEnd w:id="7052"/>
      <w:bookmarkEnd w:id="7053"/>
      <w:bookmarkEnd w:id="7054"/>
      <w:r w:rsidRPr="00AB4F0A">
        <w:rPr>
          <w:spacing w:val="3"/>
        </w:rPr>
        <w:t xml:space="preserve"> </w:t>
      </w:r>
    </w:p>
    <w:p w14:paraId="3AF4B766" w14:textId="77777777" w:rsidR="009B153C" w:rsidRPr="006126A1" w:rsidRDefault="009B153C" w:rsidP="00256E9F">
      <w:pPr>
        <w:spacing w:before="120" w:after="120"/>
        <w:jc w:val="both"/>
        <w:textAlignment w:val="baseline"/>
      </w:pPr>
      <w:r w:rsidRPr="00256E9F">
        <w:rPr>
          <w:rFonts w:asciiTheme="minorHAnsi" w:hAnsiTheme="minorHAnsi" w:cs="Calibri Light"/>
          <w:color w:val="0D0D0D"/>
        </w:rPr>
        <w:t>Redevance</w:t>
      </w:r>
      <w:r w:rsidR="00705A12" w:rsidRPr="00E063FD">
        <w:t>.</w:t>
      </w:r>
    </w:p>
    <w:p w14:paraId="73EEFD75" w14:textId="77777777" w:rsidR="008A59E1" w:rsidRDefault="009B153C">
      <w:pPr>
        <w:spacing w:before="120" w:after="240"/>
        <w:jc w:val="both"/>
        <w:textAlignment w:val="baseline"/>
        <w:rPr>
          <w:rFonts w:asciiTheme="minorHAnsi" w:hAnsiTheme="minorHAnsi" w:cs="Calibri Light"/>
          <w:color w:val="0D0D0D"/>
        </w:rPr>
      </w:pPr>
      <w:r w:rsidRPr="008A59E1">
        <w:rPr>
          <w:rFonts w:asciiTheme="minorHAnsi" w:hAnsiTheme="minorHAnsi" w:cs="Calibri Light"/>
          <w:color w:val="0D0D0D"/>
        </w:rPr>
        <w:t>La notion d'emplacement faisant par nature référence à l'occupation d'une surface, le montant de la redevance demandée doit être calculé par référence au m</w:t>
      </w:r>
      <w:r w:rsidRPr="008A59E1">
        <w:rPr>
          <w:rFonts w:asciiTheme="minorHAnsi" w:hAnsiTheme="minorHAnsi" w:cs="Calibri Light"/>
          <w:color w:val="0D0D0D"/>
          <w:vertAlign w:val="superscript"/>
        </w:rPr>
        <w:t>2</w:t>
      </w:r>
      <w:r w:rsidRPr="008A59E1">
        <w:rPr>
          <w:rFonts w:asciiTheme="minorHAnsi" w:hAnsiTheme="minorHAnsi" w:cs="Calibri Light"/>
          <w:color w:val="0D0D0D"/>
        </w:rPr>
        <w:t xml:space="preserve"> (et non au mètre courant) et </w:t>
      </w:r>
      <w:r w:rsidR="004E2A78" w:rsidRPr="008A59E1">
        <w:rPr>
          <w:rFonts w:asciiTheme="minorHAnsi" w:hAnsiTheme="minorHAnsi" w:cs="Calibri Light"/>
          <w:color w:val="0D0D0D"/>
        </w:rPr>
        <w:t xml:space="preserve">idéalement </w:t>
      </w:r>
      <w:r w:rsidRPr="008A59E1">
        <w:rPr>
          <w:rFonts w:asciiTheme="minorHAnsi" w:hAnsiTheme="minorHAnsi" w:cs="Calibri Light"/>
          <w:color w:val="0D0D0D"/>
        </w:rPr>
        <w:t>par jour d’occupation.</w:t>
      </w:r>
      <w:bookmarkStart w:id="7056" w:name="_Toc512525533"/>
      <w:r w:rsidR="004E2A78" w:rsidRPr="008A59E1">
        <w:rPr>
          <w:rFonts w:asciiTheme="minorHAnsi" w:hAnsiTheme="minorHAnsi" w:cs="Calibri Light"/>
          <w:color w:val="0D0D0D"/>
        </w:rPr>
        <w:t xml:space="preserve"> </w:t>
      </w:r>
    </w:p>
    <w:p w14:paraId="4F57D3C7" w14:textId="20B7F939" w:rsidR="002F0C79" w:rsidRDefault="004E2A78" w:rsidP="008D7EB7">
      <w:pPr>
        <w:spacing w:before="120" w:after="240"/>
        <w:jc w:val="both"/>
        <w:textAlignment w:val="baseline"/>
        <w:rPr>
          <w:rFonts w:asciiTheme="minorHAnsi" w:hAnsiTheme="minorHAnsi" w:cs="Calibri Light"/>
          <w:color w:val="0D0D0D"/>
        </w:rPr>
      </w:pPr>
      <w:r w:rsidRPr="008A59E1">
        <w:rPr>
          <w:rFonts w:asciiTheme="minorHAnsi" w:hAnsiTheme="minorHAnsi" w:cs="Calibri Light"/>
          <w:color w:val="0D0D0D"/>
        </w:rPr>
        <w:t xml:space="preserve">Si l’on choisit un autre critère (semaine, mois, trimestre, semestre, période déterminée, la durée d’une foire, …) il faut veiller à ce que tout le monde soit traité de la même manière et qu’il n’y ait pas de discrimination entre </w:t>
      </w:r>
      <w:r w:rsidR="001044C0" w:rsidRPr="008A59E1">
        <w:rPr>
          <w:rFonts w:asciiTheme="minorHAnsi" w:hAnsiTheme="minorHAnsi" w:cs="Calibri Light"/>
          <w:color w:val="0D0D0D"/>
        </w:rPr>
        <w:t>les catégories</w:t>
      </w:r>
      <w:r w:rsidRPr="008A59E1">
        <w:rPr>
          <w:rFonts w:asciiTheme="minorHAnsi" w:hAnsiTheme="minorHAnsi" w:cs="Calibri Light"/>
          <w:color w:val="0D0D0D"/>
        </w:rPr>
        <w:t xml:space="preserve"> de redevable</w:t>
      </w:r>
      <w:r w:rsidR="002F0C79" w:rsidRPr="008A59E1">
        <w:rPr>
          <w:rFonts w:asciiTheme="minorHAnsi" w:hAnsiTheme="minorHAnsi" w:cs="Calibri Light"/>
          <w:color w:val="0D0D0D"/>
        </w:rPr>
        <w:t>.</w:t>
      </w:r>
    </w:p>
    <w:p w14:paraId="4CE0C35E" w14:textId="48F438C6" w:rsidR="0094525A" w:rsidRDefault="0094525A" w:rsidP="008D7EB7">
      <w:pPr>
        <w:spacing w:before="120" w:after="240"/>
        <w:jc w:val="both"/>
        <w:textAlignment w:val="baseline"/>
        <w:rPr>
          <w:rFonts w:asciiTheme="minorHAnsi" w:hAnsiTheme="minorHAnsi" w:cs="Calibri Light"/>
          <w:color w:val="0D0D0D"/>
        </w:rPr>
      </w:pPr>
    </w:p>
    <w:p w14:paraId="5C32CF4E" w14:textId="77777777" w:rsidR="0094525A" w:rsidRDefault="0094525A" w:rsidP="008D7EB7">
      <w:pPr>
        <w:spacing w:before="120" w:after="240"/>
        <w:jc w:val="both"/>
        <w:textAlignment w:val="baseline"/>
        <w:rPr>
          <w:rFonts w:asciiTheme="minorHAnsi" w:hAnsiTheme="minorHAnsi" w:cs="Calibri Light"/>
          <w:color w:val="0D0D0D"/>
        </w:rPr>
      </w:pPr>
    </w:p>
    <w:p w14:paraId="1DC6A1FB" w14:textId="77777777" w:rsidR="00705A12" w:rsidRPr="00256E9F" w:rsidRDefault="009B153C" w:rsidP="00256E9F">
      <w:pPr>
        <w:spacing w:after="120" w:line="276" w:lineRule="auto"/>
        <w:rPr>
          <w:b/>
          <w:bCs/>
        </w:rPr>
      </w:pPr>
      <w:bookmarkStart w:id="7057" w:name="_Toc515896847"/>
      <w:bookmarkEnd w:id="7055"/>
      <w:r w:rsidRPr="00256E9F">
        <w:rPr>
          <w:rFonts w:eastAsia="PMingLiU"/>
          <w:b/>
          <w:bCs/>
        </w:rPr>
        <w:lastRenderedPageBreak/>
        <w:t>040/366-07 : Parking</w:t>
      </w:r>
      <w:bookmarkEnd w:id="7056"/>
      <w:r w:rsidRPr="00256E9F">
        <w:rPr>
          <w:b/>
          <w:bCs/>
        </w:rPr>
        <w:t xml:space="preserve"> </w:t>
      </w:r>
    </w:p>
    <w:p w14:paraId="6840DB5E" w14:textId="2D369EEA" w:rsidR="009B153C" w:rsidRPr="009768A4" w:rsidRDefault="00705A12" w:rsidP="00E063FD">
      <w:r w:rsidRPr="00A03E6A">
        <w:t>T</w:t>
      </w:r>
      <w:r w:rsidR="009B153C" w:rsidRPr="003F0B7B">
        <w:t>axe indirecte ou redevance</w:t>
      </w:r>
      <w:r w:rsidRPr="00E9189F">
        <w:t>.</w:t>
      </w:r>
      <w:bookmarkEnd w:id="7057"/>
    </w:p>
    <w:p w14:paraId="1B2CA667" w14:textId="77777777" w:rsidR="00F7690A" w:rsidRPr="00DA6BD2" w:rsidRDefault="00F7690A" w:rsidP="00F7690A">
      <w:pPr>
        <w:spacing w:before="120"/>
        <w:jc w:val="both"/>
        <w:textAlignment w:val="baseline"/>
        <w:rPr>
          <w:rFonts w:asciiTheme="minorHAnsi" w:hAnsiTheme="minorHAnsi" w:cs="Calibri Light"/>
        </w:rPr>
      </w:pPr>
      <w:r w:rsidRPr="00DA6BD2">
        <w:rPr>
          <w:rFonts w:asciiTheme="minorHAnsi" w:hAnsiTheme="minorHAnsi" w:cs="Calibri Light"/>
        </w:rPr>
        <w:t>Aucune disposition légale ne s'oppose à ce qu'une commune utilise un double tarif laissant le choix à l'utilisateur entre le stationnement limité et le stationnement de longue durée (généralement une demi-journée) pour lequel sont réputés opter les utilisateurs qui n'alimentent pas l'horodateur.</w:t>
      </w:r>
    </w:p>
    <w:p w14:paraId="1AF87D8F" w14:textId="64F4D813" w:rsidR="00F7690A" w:rsidRDefault="00F7690A" w:rsidP="00F7690A">
      <w:pPr>
        <w:spacing w:before="120"/>
        <w:jc w:val="both"/>
        <w:textAlignment w:val="baseline"/>
        <w:rPr>
          <w:rFonts w:asciiTheme="minorHAnsi" w:hAnsiTheme="minorHAnsi" w:cs="Calibri Light"/>
        </w:rPr>
      </w:pPr>
      <w:r w:rsidRPr="00DA6BD2">
        <w:rPr>
          <w:rFonts w:asciiTheme="minorHAnsi" w:hAnsiTheme="minorHAnsi" w:cs="Calibri Light"/>
        </w:rPr>
        <w:t xml:space="preserve">Il semblerait qu'en cas de non-respect </w:t>
      </w:r>
      <w:r w:rsidRPr="008A59E1">
        <w:rPr>
          <w:rFonts w:asciiTheme="minorHAnsi" w:hAnsiTheme="minorHAnsi" w:cs="Calibri Light"/>
        </w:rPr>
        <w:t xml:space="preserve">des règles de stationnement (horodateur - à durée limitée - réservé aux riverains), un taux de </w:t>
      </w:r>
      <w:r w:rsidR="00CA4C29" w:rsidRPr="008A59E1">
        <w:rPr>
          <w:rFonts w:asciiTheme="minorHAnsi" w:hAnsiTheme="minorHAnsi" w:cs="Calibri Light"/>
        </w:rPr>
        <w:t>20</w:t>
      </w:r>
      <w:r w:rsidR="008A59E1" w:rsidRPr="008D7EB7">
        <w:rPr>
          <w:rFonts w:asciiTheme="minorHAnsi" w:hAnsiTheme="minorHAnsi" w:cs="Calibri Light"/>
        </w:rPr>
        <w:t>,00</w:t>
      </w:r>
      <w:r w:rsidR="00CA4C29" w:rsidRPr="008A59E1">
        <w:rPr>
          <w:rFonts w:asciiTheme="minorHAnsi" w:hAnsiTheme="minorHAnsi" w:cs="Calibri Light"/>
        </w:rPr>
        <w:t xml:space="preserve"> </w:t>
      </w:r>
      <w:r w:rsidRPr="008A59E1">
        <w:rPr>
          <w:rFonts w:asciiTheme="minorHAnsi" w:hAnsiTheme="minorHAnsi" w:cs="Calibri Light"/>
        </w:rPr>
        <w:t>euros</w:t>
      </w:r>
      <w:r w:rsidR="00F500AC" w:rsidRPr="008A59E1">
        <w:rPr>
          <w:rFonts w:asciiTheme="minorHAnsi" w:hAnsiTheme="minorHAnsi" w:cs="Calibri Light"/>
        </w:rPr>
        <w:t xml:space="preserve"> </w:t>
      </w:r>
      <w:r w:rsidRPr="008A59E1">
        <w:rPr>
          <w:rFonts w:asciiTheme="minorHAnsi" w:hAnsiTheme="minorHAnsi" w:cs="Calibri Light"/>
        </w:rPr>
        <w:t>par demi-journée soit considéré par la jurisprudence comme admissible.</w:t>
      </w:r>
    </w:p>
    <w:p w14:paraId="49F59D02" w14:textId="77777777" w:rsidR="00F7690A" w:rsidRPr="00DA6BD2" w:rsidRDefault="00F7690A" w:rsidP="00F7690A">
      <w:pPr>
        <w:spacing w:before="120"/>
        <w:jc w:val="both"/>
        <w:textAlignment w:val="baseline"/>
        <w:rPr>
          <w:rFonts w:asciiTheme="minorHAnsi" w:hAnsiTheme="minorHAnsi" w:cs="Calibri Light"/>
        </w:rPr>
      </w:pPr>
      <w:r w:rsidRPr="00DA6BD2">
        <w:rPr>
          <w:rFonts w:asciiTheme="minorHAnsi" w:hAnsiTheme="minorHAnsi" w:cs="Calibri Light"/>
        </w:rPr>
        <w:t>Les horodateurs étant parfois difficilement accessibles aux personnes à mobilité réduite, j'invite particulièrement les communes à être attentives à cette problématique. Ainsi, bien qu'il leur appartienne d'apprécier en toute autonomie les hypothèses d'exonération qu'elles souhaitent accorder, je recommande de prévoir une exonération de paiement aux titulaires d'une carte de stationnement pour personnes à mobilité réduite.</w:t>
      </w:r>
    </w:p>
    <w:p w14:paraId="14C2E329" w14:textId="051D79F8" w:rsidR="00DA6694" w:rsidRPr="008D7EB7" w:rsidRDefault="009B153C" w:rsidP="00DA6694">
      <w:pPr>
        <w:spacing w:before="120"/>
        <w:jc w:val="both"/>
        <w:textAlignment w:val="baseline"/>
        <w:rPr>
          <w:rFonts w:asciiTheme="minorHAnsi" w:hAnsiTheme="minorHAnsi" w:cs="Calibri Light"/>
        </w:rPr>
      </w:pPr>
      <w:r w:rsidRPr="008D7EB7">
        <w:rPr>
          <w:rFonts w:asciiTheme="minorHAnsi" w:hAnsiTheme="minorHAnsi" w:cs="Calibri Light"/>
        </w:rPr>
        <w:t xml:space="preserve">Cette matière a subi ces dernières années différentes modifications normatives. </w:t>
      </w:r>
      <w:r w:rsidR="00DA6694" w:rsidRPr="008D7EB7">
        <w:rPr>
          <w:rFonts w:asciiTheme="minorHAnsi" w:hAnsiTheme="minorHAnsi" w:cs="Calibri Light"/>
        </w:rPr>
        <w:t>Vous en trouverez un aperçu ci-des</w:t>
      </w:r>
      <w:r w:rsidR="00EA5A41">
        <w:rPr>
          <w:rFonts w:asciiTheme="minorHAnsi" w:hAnsiTheme="minorHAnsi" w:cs="Calibri Light"/>
        </w:rPr>
        <w:t>s</w:t>
      </w:r>
      <w:r w:rsidR="00DA6694" w:rsidRPr="008D7EB7">
        <w:rPr>
          <w:rFonts w:asciiTheme="minorHAnsi" w:hAnsiTheme="minorHAnsi" w:cs="Calibri Light"/>
        </w:rPr>
        <w:t>ous.</w:t>
      </w:r>
    </w:p>
    <w:p w14:paraId="7178A7C0" w14:textId="77777777" w:rsidR="00DA6694" w:rsidRPr="008D7EB7" w:rsidRDefault="00DA6694" w:rsidP="00DA6694">
      <w:pPr>
        <w:spacing w:before="120"/>
        <w:jc w:val="both"/>
        <w:textAlignment w:val="baseline"/>
        <w:rPr>
          <w:rFonts w:cs="Calibri Light"/>
        </w:rPr>
      </w:pPr>
      <w:r w:rsidRPr="008D7EB7">
        <w:rPr>
          <w:rFonts w:cs="Calibri Light"/>
        </w:rPr>
        <w:t>Les dates clés sont les suivantes :</w:t>
      </w:r>
    </w:p>
    <w:p w14:paraId="3CC8627E" w14:textId="2BE8A697" w:rsidR="00DA6694" w:rsidRPr="008D7EB7" w:rsidRDefault="00D1654E" w:rsidP="008D7EB7">
      <w:pPr>
        <w:numPr>
          <w:ilvl w:val="0"/>
          <w:numId w:val="176"/>
        </w:numPr>
        <w:tabs>
          <w:tab w:val="left" w:pos="504"/>
        </w:tabs>
        <w:spacing w:before="120"/>
        <w:ind w:left="504" w:hanging="504"/>
        <w:jc w:val="both"/>
        <w:textAlignment w:val="baseline"/>
        <w:rPr>
          <w:rFonts w:asciiTheme="minorHAnsi" w:hAnsiTheme="minorHAnsi" w:cs="Calibri Light"/>
        </w:rPr>
      </w:pPr>
      <w:proofErr w:type="gramStart"/>
      <w:r>
        <w:rPr>
          <w:rFonts w:asciiTheme="minorHAnsi" w:hAnsiTheme="minorHAnsi" w:cs="Calibri Light"/>
        </w:rPr>
        <w:t>l</w:t>
      </w:r>
      <w:r w:rsidR="00DA6694" w:rsidRPr="008D7EB7">
        <w:rPr>
          <w:rFonts w:asciiTheme="minorHAnsi" w:hAnsiTheme="minorHAnsi" w:cs="Calibri Light"/>
        </w:rPr>
        <w:t>e</w:t>
      </w:r>
      <w:proofErr w:type="gramEnd"/>
      <w:r w:rsidR="00DA6694" w:rsidRPr="008D7EB7">
        <w:rPr>
          <w:rFonts w:asciiTheme="minorHAnsi" w:hAnsiTheme="minorHAnsi" w:cs="Calibri Light"/>
        </w:rPr>
        <w:t xml:space="preserve"> 1</w:t>
      </w:r>
      <w:r w:rsidR="00DA6694" w:rsidRPr="008D7EB7">
        <w:rPr>
          <w:rFonts w:asciiTheme="minorHAnsi" w:hAnsiTheme="minorHAnsi" w:cs="Calibri Light"/>
          <w:vertAlign w:val="superscript"/>
        </w:rPr>
        <w:t>er</w:t>
      </w:r>
      <w:r w:rsidR="00DA6694" w:rsidRPr="008D7EB7">
        <w:rPr>
          <w:rFonts w:asciiTheme="minorHAnsi" w:hAnsiTheme="minorHAnsi" w:cs="Calibri Light"/>
        </w:rPr>
        <w:t xml:space="preserve"> mars 2004</w:t>
      </w:r>
      <w:r w:rsidR="00BF4C17">
        <w:rPr>
          <w:rFonts w:asciiTheme="minorHAnsi" w:hAnsiTheme="minorHAnsi" w:cs="Calibri Light"/>
        </w:rPr>
        <w:t>,</w:t>
      </w:r>
      <w:r w:rsidR="00DA6694" w:rsidRPr="008D7EB7">
        <w:rPr>
          <w:rFonts w:asciiTheme="minorHAnsi" w:hAnsiTheme="minorHAnsi" w:cs="Calibri Light"/>
        </w:rPr>
        <w:t xml:space="preserve"> sont dépénalisées les infractions relatives au stationnement payant, stationnement sur les emplacements réservés aux riverains et stationnement à durée limitée. </w:t>
      </w:r>
      <w:proofErr w:type="gramStart"/>
      <w:r w:rsidR="00DA6694" w:rsidRPr="008D7EB7">
        <w:rPr>
          <w:rFonts w:asciiTheme="minorHAnsi" w:hAnsiTheme="minorHAnsi" w:cs="Calibri Light"/>
        </w:rPr>
        <w:t>Par contre</w:t>
      </w:r>
      <w:proofErr w:type="gramEnd"/>
      <w:r w:rsidR="00DA6694" w:rsidRPr="008D7EB7">
        <w:rPr>
          <w:rFonts w:asciiTheme="minorHAnsi" w:hAnsiTheme="minorHAnsi" w:cs="Calibri Light"/>
        </w:rPr>
        <w:t>, ne sont pas dépénalisées les infractions relatives au stationnement alterné semi-mensuel et à la limitation du stationnement de longue durée.</w:t>
      </w:r>
    </w:p>
    <w:p w14:paraId="6E774B6B" w14:textId="174BB49E" w:rsidR="00DA6694" w:rsidRPr="008D7EB7" w:rsidRDefault="00D1654E" w:rsidP="008D7EB7">
      <w:pPr>
        <w:numPr>
          <w:ilvl w:val="0"/>
          <w:numId w:val="176"/>
        </w:numPr>
        <w:tabs>
          <w:tab w:val="left" w:pos="504"/>
        </w:tabs>
        <w:spacing w:before="120"/>
        <w:ind w:left="504" w:hanging="504"/>
        <w:jc w:val="both"/>
        <w:textAlignment w:val="baseline"/>
        <w:rPr>
          <w:rFonts w:asciiTheme="minorHAnsi" w:hAnsiTheme="minorHAnsi" w:cs="Calibri Light"/>
        </w:rPr>
      </w:pPr>
      <w:proofErr w:type="gramStart"/>
      <w:r>
        <w:rPr>
          <w:rFonts w:asciiTheme="minorHAnsi" w:hAnsiTheme="minorHAnsi" w:cs="Calibri Light"/>
        </w:rPr>
        <w:t>l</w:t>
      </w:r>
      <w:r w:rsidR="00DA6694" w:rsidRPr="008D7EB7">
        <w:rPr>
          <w:rFonts w:asciiTheme="minorHAnsi" w:hAnsiTheme="minorHAnsi" w:cs="Calibri Light"/>
        </w:rPr>
        <w:t>e</w:t>
      </w:r>
      <w:proofErr w:type="gramEnd"/>
      <w:r w:rsidR="00DA6694" w:rsidRPr="008D7EB7">
        <w:rPr>
          <w:rFonts w:asciiTheme="minorHAnsi" w:hAnsiTheme="minorHAnsi" w:cs="Calibri Light"/>
        </w:rPr>
        <w:t xml:space="preserve"> 31 mars 2006, la loi donne la possibilité aux communes de prélever, outre des redevances, des taxes de stationnement pour les véhicules à moteur, leurs remorques ou éléments.</w:t>
      </w:r>
    </w:p>
    <w:p w14:paraId="71954B4B" w14:textId="5897AFEF" w:rsidR="00DA6694" w:rsidRPr="008D7EB7" w:rsidRDefault="00D1654E" w:rsidP="008D7EB7">
      <w:pPr>
        <w:numPr>
          <w:ilvl w:val="0"/>
          <w:numId w:val="176"/>
        </w:numPr>
        <w:tabs>
          <w:tab w:val="left" w:pos="504"/>
        </w:tabs>
        <w:spacing w:before="120"/>
        <w:ind w:left="504" w:hanging="504"/>
        <w:jc w:val="both"/>
        <w:textAlignment w:val="baseline"/>
        <w:rPr>
          <w:rFonts w:asciiTheme="minorHAnsi" w:hAnsiTheme="minorHAnsi" w:cs="Calibri Light"/>
        </w:rPr>
      </w:pPr>
      <w:proofErr w:type="gramStart"/>
      <w:r>
        <w:rPr>
          <w:rFonts w:asciiTheme="minorHAnsi" w:hAnsiTheme="minorHAnsi" w:cs="Calibri Light"/>
        </w:rPr>
        <w:t>l</w:t>
      </w:r>
      <w:r w:rsidR="00DA6694" w:rsidRPr="008D7EB7">
        <w:rPr>
          <w:rFonts w:asciiTheme="minorHAnsi" w:hAnsiTheme="minorHAnsi" w:cs="Calibri Light"/>
        </w:rPr>
        <w:t>e</w:t>
      </w:r>
      <w:proofErr w:type="gramEnd"/>
      <w:r w:rsidR="00DA6694" w:rsidRPr="008D7EB7">
        <w:rPr>
          <w:rFonts w:asciiTheme="minorHAnsi" w:hAnsiTheme="minorHAnsi" w:cs="Calibri Light"/>
        </w:rPr>
        <w:t xml:space="preserve"> 1</w:t>
      </w:r>
      <w:r w:rsidR="00DA6694" w:rsidRPr="008D7EB7">
        <w:rPr>
          <w:rFonts w:asciiTheme="minorHAnsi" w:hAnsiTheme="minorHAnsi" w:cs="Calibri Light"/>
          <w:vertAlign w:val="superscript"/>
        </w:rPr>
        <w:t>er</w:t>
      </w:r>
      <w:r w:rsidR="00DA6694" w:rsidRPr="008D7EB7">
        <w:rPr>
          <w:rFonts w:asciiTheme="minorHAnsi" w:hAnsiTheme="minorHAnsi" w:cs="Calibri Light"/>
        </w:rPr>
        <w:t xml:space="preserve"> février 2007, il est également possible aux communes de délivrer des cartes de stationnement à d'autres catégories d'usagers (que les riverains). Les communes peuvent décider que les personnes détentrices de cette carte sont dispensées soit du paiement du stationnement soit de l'utilisation du disque en zone bleue soit des deux. Ainsi, les communes qui souhaitent accorder à d'autres usagers les facilités de paiement qu'elles accordaient jusqu'alors aux riverains doivent le prévoir dans leurs règlements-taxes ou redevances en matière de stationnement. L’arrêté ministériel du 9 janvier 2007</w:t>
      </w:r>
      <w:r w:rsidR="00A40CFD">
        <w:rPr>
          <w:rStyle w:val="Appelnotedebasdep"/>
          <w:rFonts w:asciiTheme="minorHAnsi" w:hAnsiTheme="minorHAnsi" w:cs="Calibri Light"/>
        </w:rPr>
        <w:footnoteReference w:id="176"/>
      </w:r>
      <w:r w:rsidR="00DA6694" w:rsidRPr="008D7EB7">
        <w:rPr>
          <w:rFonts w:asciiTheme="minorHAnsi" w:hAnsiTheme="minorHAnsi" w:cs="Calibri Light"/>
        </w:rPr>
        <w:t xml:space="preserve"> détermine les conditions de délivrance de la carte de stationnement.</w:t>
      </w:r>
    </w:p>
    <w:p w14:paraId="07766D2B" w14:textId="77777777" w:rsidR="00DA6694" w:rsidRPr="008D7EB7" w:rsidRDefault="00DA6694" w:rsidP="00DA6694">
      <w:pPr>
        <w:spacing w:before="120"/>
        <w:jc w:val="both"/>
        <w:textAlignment w:val="baseline"/>
        <w:rPr>
          <w:rFonts w:cs="Calibri Light"/>
        </w:rPr>
      </w:pPr>
      <w:r w:rsidRPr="008D7EB7">
        <w:rPr>
          <w:rFonts w:cs="Calibri Light"/>
        </w:rPr>
        <w:t>En raison du contentieux que suscite l'application d'un règlement-redevance, les autorités communales tiendront compte des éléments suivants :</w:t>
      </w:r>
    </w:p>
    <w:p w14:paraId="6546B3E8" w14:textId="77777777" w:rsidR="00DA6694" w:rsidRPr="008D7EB7" w:rsidRDefault="00DA6694" w:rsidP="00DA6694">
      <w:pPr>
        <w:spacing w:before="120"/>
        <w:jc w:val="both"/>
        <w:textAlignment w:val="baseline"/>
        <w:rPr>
          <w:rFonts w:cs="Calibri Light"/>
          <w:spacing w:val="1"/>
        </w:rPr>
      </w:pPr>
      <w:r w:rsidRPr="008D7EB7">
        <w:rPr>
          <w:rFonts w:cs="Calibri Light"/>
          <w:spacing w:val="1"/>
        </w:rPr>
        <w:t xml:space="preserve">La nature d'un règlement-redevance sur le stationnement est celle d'une disposition édictant les conditions, notamment financières, selon lesquelles s'organise, sur le territoire concerné, le service de stationnement payant fourni par la ville. Les relations qui se nouent entre l'autorité dispensatrice du service et les personnes qui recourent à celui-ci sont régies par le droit civil. Le règlement-redevance constitue, dans chaque cas d'espèce où il trouve application vis-à-vis d'un redevable, un ensemble de dispositions contractuelles auxquelles </w:t>
      </w:r>
      <w:r w:rsidRPr="008D7EB7">
        <w:rPr>
          <w:rFonts w:cs="Calibri Light"/>
          <w:spacing w:val="1"/>
        </w:rPr>
        <w:lastRenderedPageBreak/>
        <w:t>le particulier a marqué son accord par le fait de recourir au service. Le contentieux lié à l'application du règlement redevance relève donc des tribunaux ordinaires.</w:t>
      </w:r>
    </w:p>
    <w:p w14:paraId="6470A857" w14:textId="77777777" w:rsidR="00DA6694" w:rsidRPr="008D7EB7" w:rsidRDefault="00DA6694" w:rsidP="00DA6694">
      <w:pPr>
        <w:spacing w:before="120"/>
        <w:jc w:val="both"/>
        <w:textAlignment w:val="baseline"/>
        <w:rPr>
          <w:rFonts w:cs="Calibri Light"/>
        </w:rPr>
      </w:pPr>
      <w:r w:rsidRPr="008D7EB7">
        <w:rPr>
          <w:rFonts w:cs="Calibri Light"/>
        </w:rPr>
        <w:t>Étant donné la nature civile du règlement, le non-respect par le redevable de son obligation de s'acquitter de la somme due sur invitation à payer lorsqu'il a omis d'alimenter l'horodateur, peut être assorti d'une clause pénale (au sens donné à ce terme par l'article 1226 du Code civil) mais il n'est pas admissible que le montant de celle-ci s'éloigne d'une évaluation correcte du dommage subi par la commune suite au non-paiement par le particulier. Les dispositions prévoyant une indemnité forfaitaire de plusieurs centaines d'euros en cas de non-paiement de la somme due après envoi de l'invitation à payer sont donc illégales car elles constituent de véritables peines privées interdites par l'article 6 du Code civil.</w:t>
      </w:r>
    </w:p>
    <w:p w14:paraId="50F7025F" w14:textId="77777777" w:rsidR="00DA6694" w:rsidRPr="008D7EB7" w:rsidRDefault="00DA6694" w:rsidP="00DA6694">
      <w:pPr>
        <w:tabs>
          <w:tab w:val="left" w:pos="567"/>
          <w:tab w:val="left" w:pos="720"/>
        </w:tabs>
        <w:spacing w:before="120"/>
        <w:jc w:val="both"/>
        <w:textAlignment w:val="baseline"/>
        <w:rPr>
          <w:rFonts w:cs="Calibri Light"/>
        </w:rPr>
      </w:pPr>
      <w:r w:rsidRPr="008D7EB7">
        <w:rPr>
          <w:rFonts w:cs="Calibri Light"/>
        </w:rPr>
        <w:t>Il n'est pas admissible qu'une redevance soit prélevée sur toute contravention (toutes les infractions de stationnement n'ont pas été dépénalisées) dressée par la police communale afin de couvrir les frais administratifs exposés pour la rédaction du procès-verbal de constat car le service rendu par les agents de la police communale n'est pas presté dans l'intérêt direct et immédiat du redevable mais dans l'intérêt de la collectivité, seule bénéficiaire d'une application correcte des lois. Dès lors qu'un tel prélèvement ne peut s'analyser comme une redevance, il revêt une nature pénale et échappe aux compétences de la commune.</w:t>
      </w:r>
    </w:p>
    <w:p w14:paraId="2F22DE83" w14:textId="77777777" w:rsidR="00DA6694" w:rsidRPr="008D7EB7" w:rsidRDefault="00DA6694" w:rsidP="00DA6694">
      <w:pPr>
        <w:spacing w:before="120"/>
        <w:jc w:val="both"/>
        <w:textAlignment w:val="baseline"/>
        <w:rPr>
          <w:rFonts w:cs="Calibri Light"/>
        </w:rPr>
      </w:pPr>
      <w:r w:rsidRPr="008D7EB7">
        <w:rPr>
          <w:rFonts w:cs="Calibri Light"/>
        </w:rPr>
        <w:t>La Cour de cassation, dans deux arrêts du 29 mai 2009 a jugé que :</w:t>
      </w:r>
    </w:p>
    <w:p w14:paraId="67BF25EC" w14:textId="4E4540BC" w:rsidR="00DA6694" w:rsidRPr="008D7EB7" w:rsidRDefault="00DA6694" w:rsidP="00DA6694">
      <w:pPr>
        <w:spacing w:before="120"/>
        <w:jc w:val="both"/>
        <w:textAlignment w:val="baseline"/>
        <w:rPr>
          <w:rFonts w:cs="Calibri Light"/>
        </w:rPr>
      </w:pPr>
      <w:r w:rsidRPr="008D7EB7">
        <w:rPr>
          <w:rFonts w:cs="Calibri Light"/>
        </w:rPr>
        <w:t xml:space="preserve">« </w:t>
      </w:r>
      <w:r w:rsidRPr="008D7EB7">
        <w:rPr>
          <w:rFonts w:cs="Calibri Light"/>
          <w:i/>
        </w:rPr>
        <w:t>En accordant à un particulier une concession pour l'organisation matérielle du stationnement payant et en lui confiant le contrôle du respect du règlement de stationnement, la commune ne délègue pas sa compétence à un tiers mais gère un service public de la manière qui lui paraît la plus appropriée</w:t>
      </w:r>
      <w:r w:rsidRPr="008D7EB7">
        <w:rPr>
          <w:rFonts w:cs="Calibri Light"/>
        </w:rPr>
        <w:t xml:space="preserve"> »</w:t>
      </w:r>
      <w:r w:rsidR="00A40CFD">
        <w:rPr>
          <w:rStyle w:val="Appelnotedebasdep"/>
          <w:rFonts w:cs="Calibri Light"/>
        </w:rPr>
        <w:footnoteReference w:id="177"/>
      </w:r>
      <w:r w:rsidRPr="008D7EB7">
        <w:rPr>
          <w:rFonts w:cs="Calibri Light"/>
        </w:rPr>
        <w:t>.</w:t>
      </w:r>
    </w:p>
    <w:p w14:paraId="2B1EC2E0" w14:textId="0948A92C" w:rsidR="00DA6694" w:rsidRPr="008D7EB7" w:rsidRDefault="00DA6694" w:rsidP="00DA6694">
      <w:pPr>
        <w:spacing w:before="120"/>
        <w:jc w:val="both"/>
        <w:textAlignment w:val="baseline"/>
        <w:rPr>
          <w:rFonts w:cs="Calibri Light"/>
        </w:rPr>
      </w:pPr>
      <w:r w:rsidRPr="008D7EB7">
        <w:rPr>
          <w:rFonts w:cs="Calibri Light"/>
        </w:rPr>
        <w:t xml:space="preserve">« </w:t>
      </w:r>
      <w:r w:rsidRPr="008D7EB7">
        <w:rPr>
          <w:rFonts w:cs="Calibri Light"/>
          <w:i/>
        </w:rPr>
        <w:t xml:space="preserve">Le fait qu'en vertu de la loi du 22 février 1965 précitée, les Conseils communaux sont autorisés à exécuter les prélèvements de stationnement et que des concessions sont requises pour l'exécution concrète de ces prélèvements lorsque la commune ne dispose pas des ressources administratives nécessaires à cet effet, a pour conséquence que le concessionnaire doit pouvoir être susceptible de percevoir des redevances de stationnement et d'en encaisser les revenus pour le compte de la </w:t>
      </w:r>
      <w:r w:rsidR="001D6A79" w:rsidRPr="008D7EB7">
        <w:rPr>
          <w:rFonts w:cs="Calibri Light"/>
          <w:i/>
        </w:rPr>
        <w:t>commune</w:t>
      </w:r>
      <w:r w:rsidR="001D6A79" w:rsidRPr="008D7EB7">
        <w:rPr>
          <w:rFonts w:cs="Calibri Light"/>
        </w:rPr>
        <w:t xml:space="preserve"> »</w:t>
      </w:r>
      <w:r w:rsidR="00A40CFD">
        <w:rPr>
          <w:rStyle w:val="Appelnotedebasdep"/>
          <w:rFonts w:cs="Calibri Light"/>
        </w:rPr>
        <w:footnoteReference w:id="178"/>
      </w:r>
      <w:r w:rsidRPr="008D7EB7">
        <w:rPr>
          <w:rFonts w:cs="Calibri Light"/>
        </w:rPr>
        <w:t>.</w:t>
      </w:r>
    </w:p>
    <w:p w14:paraId="5626D3AE" w14:textId="58AB9A8D" w:rsidR="00DA6694" w:rsidRPr="008D7EB7" w:rsidRDefault="00DA6694" w:rsidP="00DA6694">
      <w:pPr>
        <w:spacing w:before="120"/>
        <w:jc w:val="both"/>
        <w:textAlignment w:val="baseline"/>
        <w:rPr>
          <w:rFonts w:cs="Calibri Light"/>
        </w:rPr>
      </w:pPr>
      <w:r w:rsidRPr="008D7EB7">
        <w:rPr>
          <w:rFonts w:cs="Calibri Light"/>
        </w:rPr>
        <w:t xml:space="preserve">« </w:t>
      </w:r>
      <w:r w:rsidRPr="008D7EB7">
        <w:rPr>
          <w:rFonts w:cs="Calibri Light"/>
          <w:i/>
        </w:rPr>
        <w:t>L'article 10 de la loi du 11 avril 1994 relative à la publicité de l'administration, telle qu'</w:t>
      </w:r>
      <w:r w:rsidR="00BF4C17">
        <w:rPr>
          <w:rFonts w:cs="Calibri Light"/>
          <w:i/>
        </w:rPr>
        <w:t>il</w:t>
      </w:r>
      <w:r w:rsidRPr="008D7EB7">
        <w:rPr>
          <w:rFonts w:cs="Calibri Light"/>
          <w:i/>
        </w:rPr>
        <w:t xml:space="preserve"> était d'application avant son abrogation par la loi du 7 mars 2007 n'empêche pas qu'une commune mette des documents administratifs à la disposition d'une société dans la mesure où cela est nécessaire afin de permettre à cette société de prester le service public auquel elle s'est engagée dans le cadre d'une concession de service public</w:t>
      </w:r>
      <w:r w:rsidRPr="008D7EB7">
        <w:rPr>
          <w:rFonts w:cs="Calibri Light"/>
        </w:rPr>
        <w:t xml:space="preserve"> »</w:t>
      </w:r>
      <w:r w:rsidR="00A40CFD">
        <w:rPr>
          <w:rStyle w:val="Appelnotedebasdep"/>
          <w:rFonts w:cs="Calibri Light"/>
        </w:rPr>
        <w:footnoteReference w:id="179"/>
      </w:r>
      <w:r w:rsidRPr="008D7EB7">
        <w:rPr>
          <w:rFonts w:cs="Calibri Light"/>
        </w:rPr>
        <w:t>.</w:t>
      </w:r>
    </w:p>
    <w:p w14:paraId="2A939EEB" w14:textId="77777777" w:rsidR="00DA6694" w:rsidRPr="008D7EB7" w:rsidRDefault="00DA6694" w:rsidP="00DA6694">
      <w:pPr>
        <w:spacing w:before="120"/>
        <w:jc w:val="both"/>
        <w:textAlignment w:val="baseline"/>
        <w:rPr>
          <w:rFonts w:cs="Calibri Light"/>
          <w:i/>
        </w:rPr>
      </w:pPr>
      <w:r w:rsidRPr="008D7EB7">
        <w:rPr>
          <w:rFonts w:cs="Calibri Light"/>
          <w:spacing w:val="-5"/>
        </w:rPr>
        <w:t xml:space="preserve">Les articles 103 et 104 du décret </w:t>
      </w:r>
      <w:r w:rsidRPr="008D7EB7">
        <w:rPr>
          <w:rFonts w:cs="Calibri Light"/>
          <w:spacing w:val="-6"/>
        </w:rPr>
        <w:t xml:space="preserve">du 27 octobre 2011 </w:t>
      </w:r>
      <w:r w:rsidRPr="008D7EB7">
        <w:rPr>
          <w:rFonts w:cs="Calibri Light"/>
          <w:spacing w:val="-5"/>
        </w:rPr>
        <w:t xml:space="preserve">sont libellés comme suit : « </w:t>
      </w:r>
      <w:r w:rsidRPr="008D7EB7">
        <w:rPr>
          <w:rFonts w:cs="Calibri Light"/>
          <w:i/>
          <w:spacing w:val="-5"/>
        </w:rPr>
        <w:t xml:space="preserve">Art. 103. Dans le décret du 19 décembre 2007 relatif à la tutelle d'approbation de la Région </w:t>
      </w:r>
      <w:r w:rsidRPr="008D7EB7">
        <w:rPr>
          <w:rFonts w:cs="Calibri Light"/>
          <w:i/>
        </w:rPr>
        <w:t>wallonne sur les règlements complémentaires relatifs aux voies publiques et à la circulation des transports en commun, il est inséré des articles 2bis, 2ter et 2quater rédigés comme suit :</w:t>
      </w:r>
    </w:p>
    <w:p w14:paraId="7C4455A4" w14:textId="77777777" w:rsidR="00DA6694" w:rsidRPr="008D7EB7" w:rsidRDefault="00DA6694" w:rsidP="008D7EB7">
      <w:pPr>
        <w:spacing w:before="120"/>
        <w:ind w:left="709"/>
        <w:jc w:val="both"/>
        <w:textAlignment w:val="baseline"/>
        <w:rPr>
          <w:rFonts w:cs="Calibri Light"/>
          <w:i/>
        </w:rPr>
      </w:pPr>
      <w:r w:rsidRPr="008D7EB7">
        <w:rPr>
          <w:rFonts w:cs="Calibri Light"/>
          <w:i/>
        </w:rPr>
        <w:t xml:space="preserve">Art. 2bis. Lorsque le Gouvernement ou un Conseil communal arrête un ou des règlements en matière de stationnement relatifs aux stationnements à durée limitée, aux stationnements payants et aux stationnements sur les emplacements réservés aux titulaires d'une carte de stationnement communale, il peut établir des rétributions ou </w:t>
      </w:r>
      <w:r w:rsidRPr="008D7EB7">
        <w:rPr>
          <w:rFonts w:cs="Calibri Light"/>
          <w:i/>
        </w:rPr>
        <w:lastRenderedPageBreak/>
        <w:t>taxes de stationnement ou déterminer les redevances de stationnement dans le cadre des concessions ou contrats de gestion concernant le stationnement sur la voie publique, applicables aux véhicules à moteur, leurs remorques ou éléments.</w:t>
      </w:r>
    </w:p>
    <w:p w14:paraId="64965E3A" w14:textId="77777777" w:rsidR="00DA6694" w:rsidRPr="008D7EB7" w:rsidRDefault="00DA6694" w:rsidP="008D7EB7">
      <w:pPr>
        <w:spacing w:before="120"/>
        <w:ind w:left="709"/>
        <w:jc w:val="both"/>
        <w:textAlignment w:val="baseline"/>
        <w:rPr>
          <w:rFonts w:cs="Calibri Light"/>
          <w:i/>
        </w:rPr>
      </w:pPr>
      <w:r w:rsidRPr="008D7EB7">
        <w:rPr>
          <w:rFonts w:cs="Calibri Light"/>
          <w:i/>
        </w:rPr>
        <w:t>Cette disposition ne s'applique pas au stationnement alterné semi-mensuel et à la limitation du stationnement de longue durée.</w:t>
      </w:r>
    </w:p>
    <w:p w14:paraId="77A9B567" w14:textId="77777777" w:rsidR="00DA6694" w:rsidRPr="008D7EB7" w:rsidRDefault="00DA6694" w:rsidP="008D7EB7">
      <w:pPr>
        <w:spacing w:before="120"/>
        <w:ind w:left="709"/>
        <w:jc w:val="both"/>
        <w:textAlignment w:val="baseline"/>
        <w:rPr>
          <w:rFonts w:cs="Calibri Light"/>
          <w:i/>
        </w:rPr>
      </w:pPr>
      <w:r w:rsidRPr="008D7EB7">
        <w:rPr>
          <w:rFonts w:cs="Calibri Light"/>
          <w:i/>
        </w:rPr>
        <w:t>Art. 2ter. En vue de l'encaissement des rétributions, des taxes ou des redevances de stationnement visées à l'article 2bis, le Gouvernement, les communes et leurs concessionnaires et les régies autonomes communales sont habilités à demander l'identité du titulaire du numéro de la plaque d'immatriculation à l'autorité chargée de l'immatriculation des véhicules et ce, conformément à la loi sur la protection de la vie privée.</w:t>
      </w:r>
    </w:p>
    <w:p w14:paraId="44A1248F" w14:textId="4A54F441" w:rsidR="00DA6694" w:rsidRPr="008D7EB7" w:rsidRDefault="00DA6694" w:rsidP="008D7EB7">
      <w:pPr>
        <w:spacing w:before="120"/>
        <w:ind w:left="709"/>
        <w:jc w:val="both"/>
        <w:textAlignment w:val="baseline"/>
        <w:rPr>
          <w:rFonts w:cs="Calibri Light"/>
          <w:i/>
        </w:rPr>
      </w:pPr>
      <w:r w:rsidRPr="008D7EB7">
        <w:rPr>
          <w:rFonts w:cs="Calibri Light"/>
          <w:i/>
        </w:rPr>
        <w:t>Art. 2quater. Les rétributions, les taxes ou les redevances de stationnement prévues à l'article 2bis sont mises à charge du titulaire du numéro de la plaque d'immatriculation.</w:t>
      </w:r>
      <w:r w:rsidR="00A40CFD">
        <w:rPr>
          <w:rFonts w:cs="Calibri Light"/>
          <w:i/>
        </w:rPr>
        <w:t> »</w:t>
      </w:r>
      <w:r w:rsidRPr="008D7EB7">
        <w:rPr>
          <w:rFonts w:cs="Calibri Light"/>
          <w:i/>
        </w:rPr>
        <w:t xml:space="preserve"> </w:t>
      </w:r>
    </w:p>
    <w:p w14:paraId="75044A67" w14:textId="438EB76E" w:rsidR="00DA6694" w:rsidRDefault="00DA6694" w:rsidP="008D7EB7">
      <w:pPr>
        <w:spacing w:before="120" w:after="240"/>
        <w:ind w:left="709"/>
        <w:jc w:val="both"/>
        <w:textAlignment w:val="baseline"/>
        <w:rPr>
          <w:rFonts w:cs="Calibri Light"/>
          <w:spacing w:val="-3"/>
        </w:rPr>
      </w:pPr>
      <w:r w:rsidRPr="008D7EB7">
        <w:rPr>
          <w:rFonts w:cs="Calibri Light"/>
          <w:i/>
          <w:spacing w:val="-2"/>
        </w:rPr>
        <w:t xml:space="preserve">Art. 104. La loi du 22 février 1965 permettant aux communes d'établir des redevances de stationnement applicables aux véhicules à moteur, est abrogée en ce qui concerne la Région </w:t>
      </w:r>
      <w:r w:rsidRPr="008D7EB7">
        <w:rPr>
          <w:rFonts w:cs="Calibri Light"/>
          <w:i/>
          <w:spacing w:val="-3"/>
        </w:rPr>
        <w:t>wallonne.</w:t>
      </w:r>
      <w:r w:rsidRPr="008D7EB7">
        <w:rPr>
          <w:rFonts w:cs="Calibri Light"/>
          <w:spacing w:val="-3"/>
        </w:rPr>
        <w:t xml:space="preserve"> »</w:t>
      </w:r>
    </w:p>
    <w:p w14:paraId="6B5A4A57" w14:textId="5602BCA1" w:rsidR="00996D79" w:rsidRPr="00DA6BD2" w:rsidRDefault="008A21AC" w:rsidP="00256E9F">
      <w:pPr>
        <w:pStyle w:val="Sam3"/>
      </w:pPr>
      <w:bookmarkStart w:id="7058" w:name="_Toc516739906"/>
      <w:bookmarkStart w:id="7059" w:name="_Toc516751815"/>
      <w:bookmarkStart w:id="7060" w:name="_Toc516825903"/>
      <w:bookmarkStart w:id="7061" w:name="_Toc516826461"/>
      <w:bookmarkStart w:id="7062" w:name="_Toc516837781"/>
      <w:bookmarkStart w:id="7063" w:name="_Toc516838340"/>
      <w:bookmarkStart w:id="7064" w:name="_Toc516838899"/>
      <w:bookmarkStart w:id="7065" w:name="_Toc516839459"/>
      <w:bookmarkStart w:id="7066" w:name="_Toc517173555"/>
      <w:bookmarkStart w:id="7067" w:name="_Toc517175229"/>
      <w:bookmarkStart w:id="7068" w:name="_Toc517175816"/>
      <w:bookmarkStart w:id="7069" w:name="_Toc517176404"/>
      <w:bookmarkStart w:id="7070" w:name="_Toc517337729"/>
      <w:bookmarkStart w:id="7071" w:name="_Toc517360525"/>
      <w:bookmarkStart w:id="7072" w:name="_Toc516739907"/>
      <w:bookmarkStart w:id="7073" w:name="_Toc516751816"/>
      <w:bookmarkStart w:id="7074" w:name="_Toc516825904"/>
      <w:bookmarkStart w:id="7075" w:name="_Toc516826462"/>
      <w:bookmarkStart w:id="7076" w:name="_Toc516837782"/>
      <w:bookmarkStart w:id="7077" w:name="_Toc516838341"/>
      <w:bookmarkStart w:id="7078" w:name="_Toc516838900"/>
      <w:bookmarkStart w:id="7079" w:name="_Toc516839460"/>
      <w:bookmarkStart w:id="7080" w:name="_Toc517173556"/>
      <w:bookmarkStart w:id="7081" w:name="_Toc517175230"/>
      <w:bookmarkStart w:id="7082" w:name="_Toc517175817"/>
      <w:bookmarkStart w:id="7083" w:name="_Toc517176405"/>
      <w:bookmarkStart w:id="7084" w:name="_Toc517337730"/>
      <w:bookmarkStart w:id="7085" w:name="_Toc517360526"/>
      <w:bookmarkStart w:id="7086" w:name="_Toc516739908"/>
      <w:bookmarkStart w:id="7087" w:name="_Toc516751817"/>
      <w:bookmarkStart w:id="7088" w:name="_Toc516825905"/>
      <w:bookmarkStart w:id="7089" w:name="_Toc516826463"/>
      <w:bookmarkStart w:id="7090" w:name="_Toc516837783"/>
      <w:bookmarkStart w:id="7091" w:name="_Toc516838342"/>
      <w:bookmarkStart w:id="7092" w:name="_Toc516838901"/>
      <w:bookmarkStart w:id="7093" w:name="_Toc516839461"/>
      <w:bookmarkStart w:id="7094" w:name="_Toc517173557"/>
      <w:bookmarkStart w:id="7095" w:name="_Toc517175231"/>
      <w:bookmarkStart w:id="7096" w:name="_Toc517175818"/>
      <w:bookmarkStart w:id="7097" w:name="_Toc517176406"/>
      <w:bookmarkStart w:id="7098" w:name="_Toc517337731"/>
      <w:bookmarkStart w:id="7099" w:name="_Toc517360527"/>
      <w:bookmarkStart w:id="7100" w:name="_Toc516739909"/>
      <w:bookmarkStart w:id="7101" w:name="_Toc516751818"/>
      <w:bookmarkStart w:id="7102" w:name="_Toc516825906"/>
      <w:bookmarkStart w:id="7103" w:name="_Toc516826464"/>
      <w:bookmarkStart w:id="7104" w:name="_Toc516837784"/>
      <w:bookmarkStart w:id="7105" w:name="_Toc516838343"/>
      <w:bookmarkStart w:id="7106" w:name="_Toc516838902"/>
      <w:bookmarkStart w:id="7107" w:name="_Toc516839462"/>
      <w:bookmarkStart w:id="7108" w:name="_Toc517173558"/>
      <w:bookmarkStart w:id="7109" w:name="_Toc517175232"/>
      <w:bookmarkStart w:id="7110" w:name="_Toc517175819"/>
      <w:bookmarkStart w:id="7111" w:name="_Toc517176407"/>
      <w:bookmarkStart w:id="7112" w:name="_Toc517337732"/>
      <w:bookmarkStart w:id="7113" w:name="_Toc517360528"/>
      <w:bookmarkStart w:id="7114" w:name="_Toc516739910"/>
      <w:bookmarkStart w:id="7115" w:name="_Toc516751819"/>
      <w:bookmarkStart w:id="7116" w:name="_Toc516825907"/>
      <w:bookmarkStart w:id="7117" w:name="_Toc516826465"/>
      <w:bookmarkStart w:id="7118" w:name="_Toc516837785"/>
      <w:bookmarkStart w:id="7119" w:name="_Toc516838344"/>
      <w:bookmarkStart w:id="7120" w:name="_Toc516838903"/>
      <w:bookmarkStart w:id="7121" w:name="_Toc516839463"/>
      <w:bookmarkStart w:id="7122" w:name="_Toc517173559"/>
      <w:bookmarkStart w:id="7123" w:name="_Toc517175233"/>
      <w:bookmarkStart w:id="7124" w:name="_Toc517175820"/>
      <w:bookmarkStart w:id="7125" w:name="_Toc517176408"/>
      <w:bookmarkStart w:id="7126" w:name="_Toc517337733"/>
      <w:bookmarkStart w:id="7127" w:name="_Toc517360529"/>
      <w:bookmarkStart w:id="7128" w:name="_Toc516739911"/>
      <w:bookmarkStart w:id="7129" w:name="_Toc516751820"/>
      <w:bookmarkStart w:id="7130" w:name="_Toc516825908"/>
      <w:bookmarkStart w:id="7131" w:name="_Toc516826466"/>
      <w:bookmarkStart w:id="7132" w:name="_Toc516837786"/>
      <w:bookmarkStart w:id="7133" w:name="_Toc516838345"/>
      <w:bookmarkStart w:id="7134" w:name="_Toc516838904"/>
      <w:bookmarkStart w:id="7135" w:name="_Toc516839464"/>
      <w:bookmarkStart w:id="7136" w:name="_Toc517173560"/>
      <w:bookmarkStart w:id="7137" w:name="_Toc517175234"/>
      <w:bookmarkStart w:id="7138" w:name="_Toc517175821"/>
      <w:bookmarkStart w:id="7139" w:name="_Toc517176409"/>
      <w:bookmarkStart w:id="7140" w:name="_Toc517337734"/>
      <w:bookmarkStart w:id="7141" w:name="_Toc517360530"/>
      <w:bookmarkStart w:id="7142" w:name="_Toc516739912"/>
      <w:bookmarkStart w:id="7143" w:name="_Toc516751821"/>
      <w:bookmarkStart w:id="7144" w:name="_Toc516825909"/>
      <w:bookmarkStart w:id="7145" w:name="_Toc516826467"/>
      <w:bookmarkStart w:id="7146" w:name="_Toc516837787"/>
      <w:bookmarkStart w:id="7147" w:name="_Toc516838346"/>
      <w:bookmarkStart w:id="7148" w:name="_Toc516838905"/>
      <w:bookmarkStart w:id="7149" w:name="_Toc516839465"/>
      <w:bookmarkStart w:id="7150" w:name="_Toc517173561"/>
      <w:bookmarkStart w:id="7151" w:name="_Toc517175235"/>
      <w:bookmarkStart w:id="7152" w:name="_Toc517175822"/>
      <w:bookmarkStart w:id="7153" w:name="_Toc517176410"/>
      <w:bookmarkStart w:id="7154" w:name="_Toc517337735"/>
      <w:bookmarkStart w:id="7155" w:name="_Toc517360531"/>
      <w:bookmarkStart w:id="7156" w:name="_Toc516739913"/>
      <w:bookmarkStart w:id="7157" w:name="_Toc516751822"/>
      <w:bookmarkStart w:id="7158" w:name="_Toc516825910"/>
      <w:bookmarkStart w:id="7159" w:name="_Toc516826468"/>
      <w:bookmarkStart w:id="7160" w:name="_Toc516837788"/>
      <w:bookmarkStart w:id="7161" w:name="_Toc516838347"/>
      <w:bookmarkStart w:id="7162" w:name="_Toc516838906"/>
      <w:bookmarkStart w:id="7163" w:name="_Toc516839466"/>
      <w:bookmarkStart w:id="7164" w:name="_Toc517173562"/>
      <w:bookmarkStart w:id="7165" w:name="_Toc517175236"/>
      <w:bookmarkStart w:id="7166" w:name="_Toc517175823"/>
      <w:bookmarkStart w:id="7167" w:name="_Toc517176411"/>
      <w:bookmarkStart w:id="7168" w:name="_Toc517337736"/>
      <w:bookmarkStart w:id="7169" w:name="_Toc517360532"/>
      <w:bookmarkStart w:id="7170" w:name="_Toc516739914"/>
      <w:bookmarkStart w:id="7171" w:name="_Toc516751823"/>
      <w:bookmarkStart w:id="7172" w:name="_Toc516825911"/>
      <w:bookmarkStart w:id="7173" w:name="_Toc516826469"/>
      <w:bookmarkStart w:id="7174" w:name="_Toc516837789"/>
      <w:bookmarkStart w:id="7175" w:name="_Toc516838348"/>
      <w:bookmarkStart w:id="7176" w:name="_Toc516838907"/>
      <w:bookmarkStart w:id="7177" w:name="_Toc516839467"/>
      <w:bookmarkStart w:id="7178" w:name="_Toc517173563"/>
      <w:bookmarkStart w:id="7179" w:name="_Toc517175237"/>
      <w:bookmarkStart w:id="7180" w:name="_Toc517175824"/>
      <w:bookmarkStart w:id="7181" w:name="_Toc517176412"/>
      <w:bookmarkStart w:id="7182" w:name="_Toc517337737"/>
      <w:bookmarkStart w:id="7183" w:name="_Toc517360533"/>
      <w:bookmarkStart w:id="7184" w:name="_Toc516739915"/>
      <w:bookmarkStart w:id="7185" w:name="_Toc516751824"/>
      <w:bookmarkStart w:id="7186" w:name="_Toc516825912"/>
      <w:bookmarkStart w:id="7187" w:name="_Toc516826470"/>
      <w:bookmarkStart w:id="7188" w:name="_Toc516837790"/>
      <w:bookmarkStart w:id="7189" w:name="_Toc516838349"/>
      <w:bookmarkStart w:id="7190" w:name="_Toc516838908"/>
      <w:bookmarkStart w:id="7191" w:name="_Toc516839468"/>
      <w:bookmarkStart w:id="7192" w:name="_Toc517173564"/>
      <w:bookmarkStart w:id="7193" w:name="_Toc517175238"/>
      <w:bookmarkStart w:id="7194" w:name="_Toc517175825"/>
      <w:bookmarkStart w:id="7195" w:name="_Toc517176413"/>
      <w:bookmarkStart w:id="7196" w:name="_Toc517337738"/>
      <w:bookmarkStart w:id="7197" w:name="_Toc517360534"/>
      <w:bookmarkStart w:id="7198" w:name="_Toc516739916"/>
      <w:bookmarkStart w:id="7199" w:name="_Toc516751825"/>
      <w:bookmarkStart w:id="7200" w:name="_Toc516825913"/>
      <w:bookmarkStart w:id="7201" w:name="_Toc516826471"/>
      <w:bookmarkStart w:id="7202" w:name="_Toc516837791"/>
      <w:bookmarkStart w:id="7203" w:name="_Toc516838350"/>
      <w:bookmarkStart w:id="7204" w:name="_Toc516838909"/>
      <w:bookmarkStart w:id="7205" w:name="_Toc516839469"/>
      <w:bookmarkStart w:id="7206" w:name="_Toc517173565"/>
      <w:bookmarkStart w:id="7207" w:name="_Toc517175239"/>
      <w:bookmarkStart w:id="7208" w:name="_Toc517175826"/>
      <w:bookmarkStart w:id="7209" w:name="_Toc517176414"/>
      <w:bookmarkStart w:id="7210" w:name="_Toc517337739"/>
      <w:bookmarkStart w:id="7211" w:name="_Toc517360535"/>
      <w:bookmarkStart w:id="7212" w:name="_Toc516739917"/>
      <w:bookmarkStart w:id="7213" w:name="_Toc516751826"/>
      <w:bookmarkStart w:id="7214" w:name="_Toc516825914"/>
      <w:bookmarkStart w:id="7215" w:name="_Toc516826472"/>
      <w:bookmarkStart w:id="7216" w:name="_Toc516837792"/>
      <w:bookmarkStart w:id="7217" w:name="_Toc516838351"/>
      <w:bookmarkStart w:id="7218" w:name="_Toc516838910"/>
      <w:bookmarkStart w:id="7219" w:name="_Toc516839470"/>
      <w:bookmarkStart w:id="7220" w:name="_Toc517173566"/>
      <w:bookmarkStart w:id="7221" w:name="_Toc517175240"/>
      <w:bookmarkStart w:id="7222" w:name="_Toc517175827"/>
      <w:bookmarkStart w:id="7223" w:name="_Toc517176415"/>
      <w:bookmarkStart w:id="7224" w:name="_Toc517337740"/>
      <w:bookmarkStart w:id="7225" w:name="_Toc517360536"/>
      <w:bookmarkStart w:id="7226" w:name="_Toc516739918"/>
      <w:bookmarkStart w:id="7227" w:name="_Toc516751827"/>
      <w:bookmarkStart w:id="7228" w:name="_Toc516825915"/>
      <w:bookmarkStart w:id="7229" w:name="_Toc516826473"/>
      <w:bookmarkStart w:id="7230" w:name="_Toc516837793"/>
      <w:bookmarkStart w:id="7231" w:name="_Toc516838352"/>
      <w:bookmarkStart w:id="7232" w:name="_Toc516838911"/>
      <w:bookmarkStart w:id="7233" w:name="_Toc516839471"/>
      <w:bookmarkStart w:id="7234" w:name="_Toc517173567"/>
      <w:bookmarkStart w:id="7235" w:name="_Toc517175241"/>
      <w:bookmarkStart w:id="7236" w:name="_Toc517175828"/>
      <w:bookmarkStart w:id="7237" w:name="_Toc517176416"/>
      <w:bookmarkStart w:id="7238" w:name="_Toc517337741"/>
      <w:bookmarkStart w:id="7239" w:name="_Toc517360537"/>
      <w:bookmarkStart w:id="7240" w:name="_Toc516739919"/>
      <w:bookmarkStart w:id="7241" w:name="_Toc516751828"/>
      <w:bookmarkStart w:id="7242" w:name="_Toc516825916"/>
      <w:bookmarkStart w:id="7243" w:name="_Toc516826474"/>
      <w:bookmarkStart w:id="7244" w:name="_Toc516837794"/>
      <w:bookmarkStart w:id="7245" w:name="_Toc516838353"/>
      <w:bookmarkStart w:id="7246" w:name="_Toc516838912"/>
      <w:bookmarkStart w:id="7247" w:name="_Toc516839472"/>
      <w:bookmarkStart w:id="7248" w:name="_Toc517173568"/>
      <w:bookmarkStart w:id="7249" w:name="_Toc517175242"/>
      <w:bookmarkStart w:id="7250" w:name="_Toc517175829"/>
      <w:bookmarkStart w:id="7251" w:name="_Toc517176417"/>
      <w:bookmarkStart w:id="7252" w:name="_Toc517337742"/>
      <w:bookmarkStart w:id="7253" w:name="_Toc517360538"/>
      <w:bookmarkStart w:id="7254" w:name="_Toc516739920"/>
      <w:bookmarkStart w:id="7255" w:name="_Toc516751829"/>
      <w:bookmarkStart w:id="7256" w:name="_Toc516825917"/>
      <w:bookmarkStart w:id="7257" w:name="_Toc516826475"/>
      <w:bookmarkStart w:id="7258" w:name="_Toc516837795"/>
      <w:bookmarkStart w:id="7259" w:name="_Toc516838354"/>
      <w:bookmarkStart w:id="7260" w:name="_Toc516838913"/>
      <w:bookmarkStart w:id="7261" w:name="_Toc516839473"/>
      <w:bookmarkStart w:id="7262" w:name="_Toc517173569"/>
      <w:bookmarkStart w:id="7263" w:name="_Toc517175243"/>
      <w:bookmarkStart w:id="7264" w:name="_Toc517175830"/>
      <w:bookmarkStart w:id="7265" w:name="_Toc517176418"/>
      <w:bookmarkStart w:id="7266" w:name="_Toc517337743"/>
      <w:bookmarkStart w:id="7267" w:name="_Toc517360539"/>
      <w:bookmarkStart w:id="7268" w:name="_Toc516739921"/>
      <w:bookmarkStart w:id="7269" w:name="_Toc516751830"/>
      <w:bookmarkStart w:id="7270" w:name="_Toc516825918"/>
      <w:bookmarkStart w:id="7271" w:name="_Toc516826476"/>
      <w:bookmarkStart w:id="7272" w:name="_Toc516837796"/>
      <w:bookmarkStart w:id="7273" w:name="_Toc516838355"/>
      <w:bookmarkStart w:id="7274" w:name="_Toc516838914"/>
      <w:bookmarkStart w:id="7275" w:name="_Toc516839474"/>
      <w:bookmarkStart w:id="7276" w:name="_Toc517173570"/>
      <w:bookmarkStart w:id="7277" w:name="_Toc517175244"/>
      <w:bookmarkStart w:id="7278" w:name="_Toc517175831"/>
      <w:bookmarkStart w:id="7279" w:name="_Toc517176419"/>
      <w:bookmarkStart w:id="7280" w:name="_Toc517337744"/>
      <w:bookmarkStart w:id="7281" w:name="_Toc517360540"/>
      <w:bookmarkStart w:id="7282" w:name="_Toc516739922"/>
      <w:bookmarkStart w:id="7283" w:name="_Toc516751831"/>
      <w:bookmarkStart w:id="7284" w:name="_Toc516825919"/>
      <w:bookmarkStart w:id="7285" w:name="_Toc516826477"/>
      <w:bookmarkStart w:id="7286" w:name="_Toc516837797"/>
      <w:bookmarkStart w:id="7287" w:name="_Toc516838356"/>
      <w:bookmarkStart w:id="7288" w:name="_Toc516838915"/>
      <w:bookmarkStart w:id="7289" w:name="_Toc516839475"/>
      <w:bookmarkStart w:id="7290" w:name="_Toc517173571"/>
      <w:bookmarkStart w:id="7291" w:name="_Toc517175245"/>
      <w:bookmarkStart w:id="7292" w:name="_Toc517175832"/>
      <w:bookmarkStart w:id="7293" w:name="_Toc517176420"/>
      <w:bookmarkStart w:id="7294" w:name="_Toc517337745"/>
      <w:bookmarkStart w:id="7295" w:name="_Toc517360541"/>
      <w:bookmarkStart w:id="7296" w:name="_Toc516739923"/>
      <w:bookmarkStart w:id="7297" w:name="_Toc516751832"/>
      <w:bookmarkStart w:id="7298" w:name="_Toc516825920"/>
      <w:bookmarkStart w:id="7299" w:name="_Toc516826478"/>
      <w:bookmarkStart w:id="7300" w:name="_Toc516837798"/>
      <w:bookmarkStart w:id="7301" w:name="_Toc516838357"/>
      <w:bookmarkStart w:id="7302" w:name="_Toc516838916"/>
      <w:bookmarkStart w:id="7303" w:name="_Toc516839476"/>
      <w:bookmarkStart w:id="7304" w:name="_Toc517173572"/>
      <w:bookmarkStart w:id="7305" w:name="_Toc517175246"/>
      <w:bookmarkStart w:id="7306" w:name="_Toc517175833"/>
      <w:bookmarkStart w:id="7307" w:name="_Toc517176421"/>
      <w:bookmarkStart w:id="7308" w:name="_Toc517337746"/>
      <w:bookmarkStart w:id="7309" w:name="_Toc517360542"/>
      <w:bookmarkStart w:id="7310" w:name="_Toc516739924"/>
      <w:bookmarkStart w:id="7311" w:name="_Toc516751833"/>
      <w:bookmarkStart w:id="7312" w:name="_Toc516825921"/>
      <w:bookmarkStart w:id="7313" w:name="_Toc516826479"/>
      <w:bookmarkStart w:id="7314" w:name="_Toc516837799"/>
      <w:bookmarkStart w:id="7315" w:name="_Toc516838358"/>
      <w:bookmarkStart w:id="7316" w:name="_Toc516838917"/>
      <w:bookmarkStart w:id="7317" w:name="_Toc516839477"/>
      <w:bookmarkStart w:id="7318" w:name="_Toc517173573"/>
      <w:bookmarkStart w:id="7319" w:name="_Toc517175247"/>
      <w:bookmarkStart w:id="7320" w:name="_Toc517175834"/>
      <w:bookmarkStart w:id="7321" w:name="_Toc517176422"/>
      <w:bookmarkStart w:id="7322" w:name="_Toc517337747"/>
      <w:bookmarkStart w:id="7323" w:name="_Toc517360543"/>
      <w:bookmarkStart w:id="7324" w:name="_Toc516739925"/>
      <w:bookmarkStart w:id="7325" w:name="_Toc516751834"/>
      <w:bookmarkStart w:id="7326" w:name="_Toc516825922"/>
      <w:bookmarkStart w:id="7327" w:name="_Toc516826480"/>
      <w:bookmarkStart w:id="7328" w:name="_Toc516837800"/>
      <w:bookmarkStart w:id="7329" w:name="_Toc516838359"/>
      <w:bookmarkStart w:id="7330" w:name="_Toc516838918"/>
      <w:bookmarkStart w:id="7331" w:name="_Toc516839478"/>
      <w:bookmarkStart w:id="7332" w:name="_Toc517173574"/>
      <w:bookmarkStart w:id="7333" w:name="_Toc517175248"/>
      <w:bookmarkStart w:id="7334" w:name="_Toc517175835"/>
      <w:bookmarkStart w:id="7335" w:name="_Toc517176423"/>
      <w:bookmarkStart w:id="7336" w:name="_Toc517337748"/>
      <w:bookmarkStart w:id="7337" w:name="_Toc517360544"/>
      <w:bookmarkStart w:id="7338" w:name="_Toc516739926"/>
      <w:bookmarkStart w:id="7339" w:name="_Toc516751835"/>
      <w:bookmarkStart w:id="7340" w:name="_Toc516825923"/>
      <w:bookmarkStart w:id="7341" w:name="_Toc516826481"/>
      <w:bookmarkStart w:id="7342" w:name="_Toc516837801"/>
      <w:bookmarkStart w:id="7343" w:name="_Toc516838360"/>
      <w:bookmarkStart w:id="7344" w:name="_Toc516838919"/>
      <w:bookmarkStart w:id="7345" w:name="_Toc516839479"/>
      <w:bookmarkStart w:id="7346" w:name="_Toc517173575"/>
      <w:bookmarkStart w:id="7347" w:name="_Toc517175249"/>
      <w:bookmarkStart w:id="7348" w:name="_Toc517175836"/>
      <w:bookmarkStart w:id="7349" w:name="_Toc517176424"/>
      <w:bookmarkStart w:id="7350" w:name="_Toc517337749"/>
      <w:bookmarkStart w:id="7351" w:name="_Toc517360545"/>
      <w:bookmarkStart w:id="7352" w:name="_Toc516739927"/>
      <w:bookmarkStart w:id="7353" w:name="_Toc516751836"/>
      <w:bookmarkStart w:id="7354" w:name="_Toc516825924"/>
      <w:bookmarkStart w:id="7355" w:name="_Toc516826482"/>
      <w:bookmarkStart w:id="7356" w:name="_Toc516837802"/>
      <w:bookmarkStart w:id="7357" w:name="_Toc516838361"/>
      <w:bookmarkStart w:id="7358" w:name="_Toc516838920"/>
      <w:bookmarkStart w:id="7359" w:name="_Toc516839480"/>
      <w:bookmarkStart w:id="7360" w:name="_Toc517173576"/>
      <w:bookmarkStart w:id="7361" w:name="_Toc517175250"/>
      <w:bookmarkStart w:id="7362" w:name="_Toc517175837"/>
      <w:bookmarkStart w:id="7363" w:name="_Toc517176425"/>
      <w:bookmarkStart w:id="7364" w:name="_Toc517337750"/>
      <w:bookmarkStart w:id="7365" w:name="_Toc517360546"/>
      <w:bookmarkStart w:id="7366" w:name="_Toc516739928"/>
      <w:bookmarkStart w:id="7367" w:name="_Toc516751837"/>
      <w:bookmarkStart w:id="7368" w:name="_Toc516825925"/>
      <w:bookmarkStart w:id="7369" w:name="_Toc516826483"/>
      <w:bookmarkStart w:id="7370" w:name="_Toc516837803"/>
      <w:bookmarkStart w:id="7371" w:name="_Toc516838362"/>
      <w:bookmarkStart w:id="7372" w:name="_Toc516838921"/>
      <w:bookmarkStart w:id="7373" w:name="_Toc516839481"/>
      <w:bookmarkStart w:id="7374" w:name="_Toc517173577"/>
      <w:bookmarkStart w:id="7375" w:name="_Toc517175251"/>
      <w:bookmarkStart w:id="7376" w:name="_Toc517175838"/>
      <w:bookmarkStart w:id="7377" w:name="_Toc517176426"/>
      <w:bookmarkStart w:id="7378" w:name="_Toc517337751"/>
      <w:bookmarkStart w:id="7379" w:name="_Toc517360547"/>
      <w:bookmarkStart w:id="7380" w:name="_Toc516739929"/>
      <w:bookmarkStart w:id="7381" w:name="_Toc516751838"/>
      <w:bookmarkStart w:id="7382" w:name="_Toc516825926"/>
      <w:bookmarkStart w:id="7383" w:name="_Toc516826484"/>
      <w:bookmarkStart w:id="7384" w:name="_Toc516837804"/>
      <w:bookmarkStart w:id="7385" w:name="_Toc516838363"/>
      <w:bookmarkStart w:id="7386" w:name="_Toc516838922"/>
      <w:bookmarkStart w:id="7387" w:name="_Toc516839482"/>
      <w:bookmarkStart w:id="7388" w:name="_Toc517173578"/>
      <w:bookmarkStart w:id="7389" w:name="_Toc517175252"/>
      <w:bookmarkStart w:id="7390" w:name="_Toc517175839"/>
      <w:bookmarkStart w:id="7391" w:name="_Toc517176427"/>
      <w:bookmarkStart w:id="7392" w:name="_Toc517337752"/>
      <w:bookmarkStart w:id="7393" w:name="_Toc517360548"/>
      <w:bookmarkStart w:id="7394" w:name="_Toc516739930"/>
      <w:bookmarkStart w:id="7395" w:name="_Toc516751839"/>
      <w:bookmarkStart w:id="7396" w:name="_Toc516825927"/>
      <w:bookmarkStart w:id="7397" w:name="_Toc516826485"/>
      <w:bookmarkStart w:id="7398" w:name="_Toc516837805"/>
      <w:bookmarkStart w:id="7399" w:name="_Toc516838364"/>
      <w:bookmarkStart w:id="7400" w:name="_Toc516838923"/>
      <w:bookmarkStart w:id="7401" w:name="_Toc516839483"/>
      <w:bookmarkStart w:id="7402" w:name="_Toc517173579"/>
      <w:bookmarkStart w:id="7403" w:name="_Toc517175253"/>
      <w:bookmarkStart w:id="7404" w:name="_Toc517175840"/>
      <w:bookmarkStart w:id="7405" w:name="_Toc517176428"/>
      <w:bookmarkStart w:id="7406" w:name="_Toc517337753"/>
      <w:bookmarkStart w:id="7407" w:name="_Toc517360549"/>
      <w:bookmarkStart w:id="7408" w:name="_Toc516739931"/>
      <w:bookmarkStart w:id="7409" w:name="_Toc516751840"/>
      <w:bookmarkStart w:id="7410" w:name="_Toc516825928"/>
      <w:bookmarkStart w:id="7411" w:name="_Toc516826486"/>
      <w:bookmarkStart w:id="7412" w:name="_Toc516837806"/>
      <w:bookmarkStart w:id="7413" w:name="_Toc516838365"/>
      <w:bookmarkStart w:id="7414" w:name="_Toc516838924"/>
      <w:bookmarkStart w:id="7415" w:name="_Toc516839484"/>
      <w:bookmarkStart w:id="7416" w:name="_Toc517173580"/>
      <w:bookmarkStart w:id="7417" w:name="_Toc517175254"/>
      <w:bookmarkStart w:id="7418" w:name="_Toc517175841"/>
      <w:bookmarkStart w:id="7419" w:name="_Toc517176429"/>
      <w:bookmarkStart w:id="7420" w:name="_Toc517337754"/>
      <w:bookmarkStart w:id="7421" w:name="_Toc517360550"/>
      <w:bookmarkStart w:id="7422" w:name="_Toc516739932"/>
      <w:bookmarkStart w:id="7423" w:name="_Toc516751841"/>
      <w:bookmarkStart w:id="7424" w:name="_Toc516825929"/>
      <w:bookmarkStart w:id="7425" w:name="_Toc516826487"/>
      <w:bookmarkStart w:id="7426" w:name="_Toc516837807"/>
      <w:bookmarkStart w:id="7427" w:name="_Toc516838366"/>
      <w:bookmarkStart w:id="7428" w:name="_Toc516838925"/>
      <w:bookmarkStart w:id="7429" w:name="_Toc516839485"/>
      <w:bookmarkStart w:id="7430" w:name="_Toc517173581"/>
      <w:bookmarkStart w:id="7431" w:name="_Toc517175255"/>
      <w:bookmarkStart w:id="7432" w:name="_Toc517175842"/>
      <w:bookmarkStart w:id="7433" w:name="_Toc517176430"/>
      <w:bookmarkStart w:id="7434" w:name="_Toc517337755"/>
      <w:bookmarkStart w:id="7435" w:name="_Toc517360551"/>
      <w:bookmarkStart w:id="7436" w:name="_Toc516739933"/>
      <w:bookmarkStart w:id="7437" w:name="_Toc516751842"/>
      <w:bookmarkStart w:id="7438" w:name="_Toc516825930"/>
      <w:bookmarkStart w:id="7439" w:name="_Toc516826488"/>
      <w:bookmarkStart w:id="7440" w:name="_Toc516837808"/>
      <w:bookmarkStart w:id="7441" w:name="_Toc516838367"/>
      <w:bookmarkStart w:id="7442" w:name="_Toc516838926"/>
      <w:bookmarkStart w:id="7443" w:name="_Toc516839486"/>
      <w:bookmarkStart w:id="7444" w:name="_Toc517173582"/>
      <w:bookmarkStart w:id="7445" w:name="_Toc517175256"/>
      <w:bookmarkStart w:id="7446" w:name="_Toc517175843"/>
      <w:bookmarkStart w:id="7447" w:name="_Toc517176431"/>
      <w:bookmarkStart w:id="7448" w:name="_Toc517337756"/>
      <w:bookmarkStart w:id="7449" w:name="_Toc517360552"/>
      <w:bookmarkStart w:id="7450" w:name="_Toc516739934"/>
      <w:bookmarkStart w:id="7451" w:name="_Toc516751843"/>
      <w:bookmarkStart w:id="7452" w:name="_Toc516825931"/>
      <w:bookmarkStart w:id="7453" w:name="_Toc516826489"/>
      <w:bookmarkStart w:id="7454" w:name="_Toc516837809"/>
      <w:bookmarkStart w:id="7455" w:name="_Toc516838368"/>
      <w:bookmarkStart w:id="7456" w:name="_Toc516838927"/>
      <w:bookmarkStart w:id="7457" w:name="_Toc516839487"/>
      <w:bookmarkStart w:id="7458" w:name="_Toc517173583"/>
      <w:bookmarkStart w:id="7459" w:name="_Toc517175257"/>
      <w:bookmarkStart w:id="7460" w:name="_Toc517175844"/>
      <w:bookmarkStart w:id="7461" w:name="_Toc517176432"/>
      <w:bookmarkStart w:id="7462" w:name="_Toc517337757"/>
      <w:bookmarkStart w:id="7463" w:name="_Toc517360553"/>
      <w:bookmarkStart w:id="7464" w:name="_Toc516739935"/>
      <w:bookmarkStart w:id="7465" w:name="_Toc516751844"/>
      <w:bookmarkStart w:id="7466" w:name="_Toc516825932"/>
      <w:bookmarkStart w:id="7467" w:name="_Toc516826490"/>
      <w:bookmarkStart w:id="7468" w:name="_Toc516837810"/>
      <w:bookmarkStart w:id="7469" w:name="_Toc516838369"/>
      <w:bookmarkStart w:id="7470" w:name="_Toc516838928"/>
      <w:bookmarkStart w:id="7471" w:name="_Toc516839488"/>
      <w:bookmarkStart w:id="7472" w:name="_Toc517173584"/>
      <w:bookmarkStart w:id="7473" w:name="_Toc517175258"/>
      <w:bookmarkStart w:id="7474" w:name="_Toc517175845"/>
      <w:bookmarkStart w:id="7475" w:name="_Toc517176433"/>
      <w:bookmarkStart w:id="7476" w:name="_Toc517337758"/>
      <w:bookmarkStart w:id="7477" w:name="_Toc517360554"/>
      <w:bookmarkStart w:id="7478" w:name="_Toc516479084"/>
      <w:bookmarkStart w:id="7479" w:name="_Toc516479498"/>
      <w:bookmarkStart w:id="7480" w:name="_Toc516479815"/>
      <w:bookmarkStart w:id="7481" w:name="_Toc516480137"/>
      <w:bookmarkStart w:id="7482" w:name="_Toc516480451"/>
      <w:bookmarkStart w:id="7483" w:name="_Toc516480765"/>
      <w:bookmarkStart w:id="7484" w:name="_Toc516481079"/>
      <w:bookmarkStart w:id="7485" w:name="_Toc516481393"/>
      <w:bookmarkStart w:id="7486" w:name="_Toc516481707"/>
      <w:bookmarkStart w:id="7487" w:name="_Toc516482021"/>
      <w:bookmarkStart w:id="7488" w:name="_Toc516482335"/>
      <w:bookmarkStart w:id="7489" w:name="_Toc516482649"/>
      <w:bookmarkStart w:id="7490" w:name="_Toc516739936"/>
      <w:bookmarkStart w:id="7491" w:name="_Toc516751845"/>
      <w:bookmarkStart w:id="7492" w:name="_Toc516825933"/>
      <w:bookmarkStart w:id="7493" w:name="_Toc516826491"/>
      <w:bookmarkStart w:id="7494" w:name="_Toc516837811"/>
      <w:bookmarkStart w:id="7495" w:name="_Toc516838370"/>
      <w:bookmarkStart w:id="7496" w:name="_Toc516838929"/>
      <w:bookmarkStart w:id="7497" w:name="_Toc516839489"/>
      <w:bookmarkStart w:id="7498" w:name="_Toc517173585"/>
      <w:bookmarkStart w:id="7499" w:name="_Toc517175259"/>
      <w:bookmarkStart w:id="7500" w:name="_Toc517175846"/>
      <w:bookmarkStart w:id="7501" w:name="_Toc517176434"/>
      <w:bookmarkStart w:id="7502" w:name="_Toc517337759"/>
      <w:bookmarkStart w:id="7503" w:name="_Toc517360555"/>
      <w:bookmarkStart w:id="7504" w:name="_Toc7455780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r>
        <w:t>040/366-08 : S</w:t>
      </w:r>
      <w:r w:rsidR="00996D79">
        <w:t>tationnement de taxis et voitures de louage</w:t>
      </w:r>
      <w:bookmarkEnd w:id="7504"/>
      <w:r w:rsidR="00996D79">
        <w:t xml:space="preserve"> </w:t>
      </w:r>
    </w:p>
    <w:p w14:paraId="01E2CA18" w14:textId="77777777" w:rsidR="00705A12" w:rsidRDefault="00705A12" w:rsidP="00256E9F">
      <w:pPr>
        <w:spacing w:before="120"/>
        <w:rPr>
          <w:rFonts w:cs="Calibri Light"/>
          <w:spacing w:val="-2"/>
        </w:rPr>
      </w:pPr>
      <w:r>
        <w:rPr>
          <w:rFonts w:cs="Calibri Light"/>
          <w:spacing w:val="-2"/>
        </w:rPr>
        <w:t>Taxe indirecte.</w:t>
      </w:r>
    </w:p>
    <w:p w14:paraId="746FB024"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spacing w:val="-2"/>
        </w:rPr>
        <w:t xml:space="preserve">Depuis le 8 septembre 2009, la réglementation concernant les services de taxis </w:t>
      </w:r>
      <w:r w:rsidRPr="00DA6BD2">
        <w:rPr>
          <w:rFonts w:asciiTheme="minorHAnsi" w:hAnsiTheme="minorHAnsi" w:cs="Calibri Light"/>
        </w:rPr>
        <w:t>permet à tous les taxis de stationner librement aux emplacements qui leur sont réservés sur la voie publique. Par conséquent, AUCUNE taxe de stationnement NE PEUT être perçue par la commune.</w:t>
      </w:r>
    </w:p>
    <w:p w14:paraId="7BC54279" w14:textId="72078228" w:rsidR="009B153C" w:rsidRDefault="009B153C" w:rsidP="008D7EB7">
      <w:pPr>
        <w:spacing w:before="120" w:after="240"/>
        <w:jc w:val="both"/>
        <w:textAlignment w:val="baseline"/>
        <w:rPr>
          <w:rFonts w:asciiTheme="minorHAnsi" w:hAnsiTheme="minorHAnsi" w:cs="Calibri Light"/>
        </w:rPr>
      </w:pPr>
      <w:r w:rsidRPr="00DA6BD2">
        <w:rPr>
          <w:rFonts w:asciiTheme="minorHAnsi" w:hAnsiTheme="minorHAnsi" w:cs="Calibri Light"/>
        </w:rPr>
        <w:t>Il est désormais possible de lever une taxe sur l'exploitation commerciale de parkings payants ouverts au public. (Cf. supra l'article 04006/364-48 Exploitation de parkings).</w:t>
      </w:r>
    </w:p>
    <w:p w14:paraId="5994145E" w14:textId="77777777" w:rsidR="00705A12" w:rsidRPr="00AB4F0A" w:rsidRDefault="009B153C" w:rsidP="00256E9F">
      <w:pPr>
        <w:pStyle w:val="Sam3"/>
        <w:rPr>
          <w:spacing w:val="-2"/>
        </w:rPr>
      </w:pPr>
      <w:bookmarkStart w:id="7505" w:name="_Toc512525535"/>
      <w:bookmarkStart w:id="7506" w:name="_Toc515896849"/>
      <w:bookmarkStart w:id="7507" w:name="_Toc74557808"/>
      <w:bookmarkStart w:id="7508" w:name="_Hlk39039780"/>
      <w:r w:rsidRPr="006C6AB2">
        <w:rPr>
          <w:rStyle w:val="Titre3Car"/>
          <w:rFonts w:asciiTheme="minorHAnsi" w:eastAsia="PMingLiU" w:hAnsiTheme="minorHAnsi"/>
          <w:b/>
          <w:sz w:val="24"/>
          <w:szCs w:val="24"/>
        </w:rPr>
        <w:t xml:space="preserve">040/366-09 : Commerces de frites </w:t>
      </w:r>
      <w:r w:rsidR="00C82157" w:rsidRPr="00424D83">
        <w:rPr>
          <w:rStyle w:val="Titre3Car"/>
          <w:rFonts w:asciiTheme="minorHAnsi" w:eastAsia="PMingLiU" w:hAnsiTheme="minorHAnsi"/>
          <w:b/>
          <w:sz w:val="24"/>
          <w:szCs w:val="24"/>
        </w:rPr>
        <w:t xml:space="preserve">- </w:t>
      </w:r>
      <w:r w:rsidRPr="00424D83">
        <w:rPr>
          <w:rStyle w:val="Titre3Car"/>
          <w:rFonts w:asciiTheme="minorHAnsi" w:eastAsia="PMingLiU" w:hAnsiTheme="minorHAnsi"/>
          <w:b/>
          <w:sz w:val="24"/>
          <w:szCs w:val="24"/>
        </w:rPr>
        <w:t>kiosques à journaux sur la voie publique</w:t>
      </w:r>
      <w:bookmarkEnd w:id="7505"/>
      <w:bookmarkEnd w:id="7506"/>
      <w:bookmarkEnd w:id="7507"/>
      <w:r w:rsidRPr="00AB4F0A">
        <w:t xml:space="preserve"> </w:t>
      </w:r>
    </w:p>
    <w:bookmarkEnd w:id="7508"/>
    <w:p w14:paraId="20DE3018" w14:textId="77777777" w:rsidR="009B153C" w:rsidRPr="00E063FD" w:rsidRDefault="009B153C" w:rsidP="00256E9F">
      <w:pPr>
        <w:spacing w:before="120"/>
      </w:pPr>
      <w:r w:rsidRPr="00E063FD">
        <w:t>Redevance</w:t>
      </w:r>
      <w:r w:rsidR="00705A12" w:rsidRPr="00E063FD">
        <w:t>.</w:t>
      </w:r>
    </w:p>
    <w:p w14:paraId="58B3A211" w14:textId="56DCD68A" w:rsidR="00EF0C5E" w:rsidRPr="008D7EB7" w:rsidRDefault="009B153C" w:rsidP="00EF0C5E">
      <w:pPr>
        <w:spacing w:before="120"/>
        <w:jc w:val="both"/>
        <w:textAlignment w:val="baseline"/>
        <w:rPr>
          <w:rFonts w:asciiTheme="minorHAnsi" w:hAnsiTheme="minorHAnsi" w:cs="Calibri Light"/>
          <w:color w:val="0D0D0D"/>
        </w:rPr>
      </w:pPr>
      <w:r w:rsidRPr="00DA6BD2">
        <w:rPr>
          <w:rFonts w:asciiTheme="minorHAnsi" w:hAnsiTheme="minorHAnsi" w:cs="Calibri Light"/>
        </w:rPr>
        <w:t>La notion d'emplacement faisant par nature référence à l'occupation d'une surface, le montant de la redevance demandée doit être calculé par référence au m</w:t>
      </w:r>
      <w:r w:rsidRPr="00DA6BD2">
        <w:rPr>
          <w:rFonts w:asciiTheme="minorHAnsi" w:hAnsiTheme="minorHAnsi" w:cs="Calibri Light"/>
          <w:vertAlign w:val="superscript"/>
        </w:rPr>
        <w:t>2</w:t>
      </w:r>
      <w:r w:rsidRPr="00DA6BD2">
        <w:rPr>
          <w:rFonts w:asciiTheme="minorHAnsi" w:hAnsiTheme="minorHAnsi" w:cs="Calibri Light"/>
        </w:rPr>
        <w:t xml:space="preserve"> (et non au mètre </w:t>
      </w:r>
      <w:r w:rsidRPr="00DA6BD2">
        <w:rPr>
          <w:rFonts w:asciiTheme="minorHAnsi" w:hAnsiTheme="minorHAnsi" w:cs="Calibri Light"/>
          <w:color w:val="0D0D0D"/>
        </w:rPr>
        <w:t xml:space="preserve">courant) </w:t>
      </w:r>
      <w:r w:rsidRPr="00D1654E">
        <w:rPr>
          <w:rFonts w:asciiTheme="minorHAnsi" w:hAnsiTheme="minorHAnsi" w:cs="Calibri Light"/>
          <w:color w:val="0D0D0D"/>
        </w:rPr>
        <w:t xml:space="preserve">et </w:t>
      </w:r>
      <w:r w:rsidR="00EF0C5E" w:rsidRPr="008D7EB7">
        <w:rPr>
          <w:rFonts w:asciiTheme="minorHAnsi" w:hAnsiTheme="minorHAnsi" w:cs="Calibri Light"/>
          <w:color w:val="0D0D0D"/>
        </w:rPr>
        <w:t>idéalement</w:t>
      </w:r>
      <w:r w:rsidR="00EF0C5E" w:rsidRPr="00D1654E">
        <w:rPr>
          <w:rFonts w:asciiTheme="minorHAnsi" w:hAnsiTheme="minorHAnsi" w:cs="Calibri Light"/>
          <w:color w:val="0D0D0D"/>
        </w:rPr>
        <w:t xml:space="preserve"> par jour d’occupation. </w:t>
      </w:r>
      <w:r w:rsidR="00EF0C5E" w:rsidRPr="008D7EB7">
        <w:rPr>
          <w:rFonts w:asciiTheme="minorHAnsi" w:hAnsiTheme="minorHAnsi" w:cs="Calibri Light"/>
          <w:color w:val="0D0D0D"/>
        </w:rPr>
        <w:t>Si l’on choisit un autre critère (semaine, mois, trimestre, semestre, période déterminée, la durée d’une foire, …) il faut veiller à ce que tout le monde soit traité de la même manière et qu’il n’y ait pas de discrimination entre les catégorie</w:t>
      </w:r>
      <w:r w:rsidR="00EA5A41">
        <w:rPr>
          <w:rFonts w:asciiTheme="minorHAnsi" w:hAnsiTheme="minorHAnsi" w:cs="Calibri Light"/>
          <w:color w:val="0D0D0D"/>
        </w:rPr>
        <w:t>s</w:t>
      </w:r>
      <w:r w:rsidR="00EF0C5E" w:rsidRPr="008D7EB7">
        <w:rPr>
          <w:rFonts w:asciiTheme="minorHAnsi" w:hAnsiTheme="minorHAnsi" w:cs="Calibri Light"/>
          <w:color w:val="0D0D0D"/>
        </w:rPr>
        <w:t xml:space="preserve"> de redevable.</w:t>
      </w:r>
    </w:p>
    <w:p w14:paraId="4A105B5E" w14:textId="3BE18CBC" w:rsidR="002E1D87" w:rsidRDefault="002E1D87" w:rsidP="008D7EB7">
      <w:pPr>
        <w:spacing w:before="120"/>
        <w:jc w:val="both"/>
        <w:textAlignment w:val="baseline"/>
        <w:rPr>
          <w:sz w:val="22"/>
          <w:szCs w:val="22"/>
        </w:rPr>
      </w:pPr>
      <w:r w:rsidRPr="008D7EB7">
        <w:rPr>
          <w:rFonts w:asciiTheme="minorHAnsi" w:hAnsiTheme="minorHAnsi" w:cs="Calibri Light"/>
          <w:color w:val="0D0D0D"/>
        </w:rPr>
        <w:t>Cette</w:t>
      </w:r>
      <w:r w:rsidRPr="008D7EB7">
        <w:rPr>
          <w:rFonts w:asciiTheme="minorHAnsi" w:hAnsiTheme="minorHAnsi" w:cs="Calibri Light"/>
          <w:b/>
          <w:bCs/>
        </w:rPr>
        <w:t xml:space="preserve"> redevance ne s’oppose pas à l’application d’une taxe sur l’exploitation </w:t>
      </w:r>
      <w:r w:rsidRPr="00276F16">
        <w:rPr>
          <w:rFonts w:asciiTheme="minorHAnsi" w:hAnsiTheme="minorHAnsi" w:cs="Calibri Light"/>
          <w:bCs/>
        </w:rPr>
        <w:t>(cf.</w:t>
      </w:r>
      <w:r w:rsidRPr="008D7EB7">
        <w:rPr>
          <w:rFonts w:asciiTheme="minorHAnsi" w:hAnsiTheme="minorHAnsi" w:cs="Calibri Light"/>
          <w:bCs/>
          <w:sz w:val="22"/>
          <w:szCs w:val="22"/>
        </w:rPr>
        <w:t xml:space="preserve"> </w:t>
      </w:r>
      <w:r w:rsidRPr="008D7EB7">
        <w:rPr>
          <w:sz w:val="22"/>
          <w:szCs w:val="22"/>
        </w:rPr>
        <w:t>04002/364-48 : Commerce de frites (hot-dogs, beignets, etc.) à emporter)</w:t>
      </w:r>
      <w:r w:rsidR="00D1654E">
        <w:rPr>
          <w:sz w:val="22"/>
          <w:szCs w:val="22"/>
        </w:rPr>
        <w:t>.</w:t>
      </w:r>
      <w:r w:rsidRPr="008D7EB7">
        <w:rPr>
          <w:sz w:val="22"/>
          <w:szCs w:val="22"/>
        </w:rPr>
        <w:t xml:space="preserve"> </w:t>
      </w:r>
    </w:p>
    <w:p w14:paraId="56E0E5BB" w14:textId="69440150" w:rsidR="00E871D1" w:rsidRDefault="00E871D1" w:rsidP="008D7EB7">
      <w:pPr>
        <w:spacing w:before="120"/>
        <w:jc w:val="both"/>
        <w:textAlignment w:val="baseline"/>
        <w:rPr>
          <w:sz w:val="22"/>
          <w:szCs w:val="22"/>
        </w:rPr>
      </w:pPr>
    </w:p>
    <w:p w14:paraId="70F34163" w14:textId="3F205F50" w:rsidR="0094525A" w:rsidRDefault="0094525A" w:rsidP="008D7EB7">
      <w:pPr>
        <w:spacing w:before="120"/>
        <w:jc w:val="both"/>
        <w:textAlignment w:val="baseline"/>
        <w:rPr>
          <w:sz w:val="22"/>
          <w:szCs w:val="22"/>
        </w:rPr>
      </w:pPr>
    </w:p>
    <w:p w14:paraId="57F54CB7" w14:textId="6522517F" w:rsidR="0094525A" w:rsidRDefault="0094525A" w:rsidP="008D7EB7">
      <w:pPr>
        <w:spacing w:before="120"/>
        <w:jc w:val="both"/>
        <w:textAlignment w:val="baseline"/>
        <w:rPr>
          <w:sz w:val="22"/>
          <w:szCs w:val="22"/>
        </w:rPr>
      </w:pPr>
    </w:p>
    <w:p w14:paraId="709D7436" w14:textId="77777777" w:rsidR="0094525A" w:rsidRDefault="0094525A" w:rsidP="0094525A">
      <w:pPr>
        <w:spacing w:before="120" w:after="600"/>
        <w:jc w:val="both"/>
        <w:textAlignment w:val="baseline"/>
        <w:rPr>
          <w:sz w:val="22"/>
          <w:szCs w:val="22"/>
        </w:rPr>
      </w:pPr>
    </w:p>
    <w:p w14:paraId="0522A535" w14:textId="77777777" w:rsidR="00996D79" w:rsidRDefault="00996D79" w:rsidP="00581DAD">
      <w:pPr>
        <w:pStyle w:val="Sam2"/>
      </w:pPr>
      <w:bookmarkStart w:id="7509" w:name="_Toc40185608"/>
      <w:bookmarkStart w:id="7510" w:name="_Toc40186343"/>
      <w:bookmarkStart w:id="7511" w:name="_Toc40185609"/>
      <w:bookmarkStart w:id="7512" w:name="_Toc40186344"/>
      <w:bookmarkStart w:id="7513" w:name="_Toc40185610"/>
      <w:bookmarkStart w:id="7514" w:name="_Toc40186345"/>
      <w:bookmarkStart w:id="7515" w:name="_Toc74557809"/>
      <w:bookmarkEnd w:id="7509"/>
      <w:bookmarkEnd w:id="7510"/>
      <w:bookmarkEnd w:id="7511"/>
      <w:bookmarkEnd w:id="7512"/>
      <w:bookmarkEnd w:id="7513"/>
      <w:bookmarkEnd w:id="7514"/>
      <w:r>
        <w:lastRenderedPageBreak/>
        <w:t>Taxes sur le patrimoine</w:t>
      </w:r>
      <w:bookmarkEnd w:id="7515"/>
    </w:p>
    <w:p w14:paraId="1D289D00" w14:textId="77777777" w:rsidR="00705A12" w:rsidRDefault="00563663" w:rsidP="00256E9F">
      <w:pPr>
        <w:pStyle w:val="Sam3"/>
      </w:pPr>
      <w:bookmarkStart w:id="7516" w:name="_Toc74557810"/>
      <w:r>
        <w:t>04001/367-09 : Parcelles non bâties dans le périmètre d’urbanisation non périmé</w:t>
      </w:r>
      <w:bookmarkEnd w:id="7516"/>
      <w:r>
        <w:t xml:space="preserve"> </w:t>
      </w:r>
    </w:p>
    <w:p w14:paraId="3A1BCC10" w14:textId="77777777" w:rsidR="00563663" w:rsidRPr="00705A12" w:rsidRDefault="00705A12" w:rsidP="00256E9F">
      <w:pPr>
        <w:spacing w:before="120"/>
      </w:pPr>
      <w:r w:rsidRPr="00E063FD">
        <w:t>T</w:t>
      </w:r>
      <w:r w:rsidR="00563663" w:rsidRPr="00E063FD">
        <w:t>axe directe</w:t>
      </w:r>
      <w:r w:rsidRPr="00E063FD">
        <w:t>.</w:t>
      </w:r>
    </w:p>
    <w:p w14:paraId="57704B17" w14:textId="63CDA55A" w:rsidR="009B153C" w:rsidRPr="00DA6BD2" w:rsidRDefault="00671518" w:rsidP="00E063FD">
      <w:pPr>
        <w:spacing w:before="120"/>
        <w:jc w:val="both"/>
        <w:textAlignment w:val="baseline"/>
        <w:rPr>
          <w:rFonts w:asciiTheme="minorHAnsi" w:hAnsiTheme="minorHAnsi" w:cs="Calibri Light"/>
        </w:rPr>
      </w:pPr>
      <w:bookmarkStart w:id="7517" w:name="_Toc516229771"/>
      <w:bookmarkStart w:id="7518" w:name="_Toc516230066"/>
      <w:bookmarkStart w:id="7519" w:name="_Toc516230361"/>
      <w:bookmarkStart w:id="7520" w:name="_Toc516230655"/>
      <w:bookmarkStart w:id="7521" w:name="_Toc516230949"/>
      <w:bookmarkStart w:id="7522" w:name="_Toc516231244"/>
      <w:bookmarkStart w:id="7523" w:name="_Toc516231539"/>
      <w:bookmarkStart w:id="7524" w:name="_Toc516231836"/>
      <w:bookmarkStart w:id="7525" w:name="_Toc516242931"/>
      <w:bookmarkStart w:id="7526" w:name="_Toc516243235"/>
      <w:bookmarkStart w:id="7527" w:name="_Toc516245174"/>
      <w:bookmarkStart w:id="7528" w:name="_Toc516473745"/>
      <w:bookmarkStart w:id="7529" w:name="_Toc516474055"/>
      <w:bookmarkEnd w:id="7517"/>
      <w:bookmarkEnd w:id="7518"/>
      <w:bookmarkEnd w:id="7519"/>
      <w:bookmarkEnd w:id="7520"/>
      <w:bookmarkEnd w:id="7521"/>
      <w:bookmarkEnd w:id="7522"/>
      <w:bookmarkEnd w:id="7523"/>
      <w:bookmarkEnd w:id="7524"/>
      <w:bookmarkEnd w:id="7525"/>
      <w:bookmarkEnd w:id="7526"/>
      <w:bookmarkEnd w:id="7527"/>
      <w:bookmarkEnd w:id="7528"/>
      <w:bookmarkEnd w:id="7529"/>
      <w:r>
        <w:rPr>
          <w:rFonts w:asciiTheme="minorHAnsi" w:hAnsiTheme="minorHAnsi" w:cs="Calibri Light"/>
        </w:rPr>
        <w:t xml:space="preserve">Depuis le </w:t>
      </w:r>
      <w:r w:rsidRPr="00DA6BD2">
        <w:rPr>
          <w:rFonts w:asciiTheme="minorHAnsi" w:hAnsiTheme="minorHAnsi" w:cs="Calibri Light"/>
        </w:rPr>
        <w:t>1</w:t>
      </w:r>
      <w:r w:rsidRPr="00DA6BD2">
        <w:rPr>
          <w:rFonts w:asciiTheme="minorHAnsi" w:hAnsiTheme="minorHAnsi" w:cs="Calibri Light"/>
          <w:vertAlign w:val="superscript"/>
        </w:rPr>
        <w:t>er</w:t>
      </w:r>
      <w:r w:rsidRPr="00DA6BD2">
        <w:rPr>
          <w:rFonts w:asciiTheme="minorHAnsi" w:hAnsiTheme="minorHAnsi" w:cs="Calibri Light"/>
        </w:rPr>
        <w:t xml:space="preserve"> juin 2017 </w:t>
      </w:r>
      <w:r>
        <w:rPr>
          <w:rFonts w:asciiTheme="minorHAnsi" w:hAnsiTheme="minorHAnsi" w:cs="Calibri Light"/>
        </w:rPr>
        <w:t>c’est</w:t>
      </w:r>
      <w:r w:rsidRPr="00DA6BD2">
        <w:rPr>
          <w:rFonts w:asciiTheme="minorHAnsi" w:hAnsiTheme="minorHAnsi" w:cs="Calibri Light"/>
        </w:rPr>
        <w:t xml:space="preserve"> l’article D.VI.64 du Code de Développement Territorial (</w:t>
      </w:r>
      <w:proofErr w:type="spellStart"/>
      <w:r w:rsidRPr="00DA6BD2">
        <w:rPr>
          <w:rFonts w:asciiTheme="minorHAnsi" w:hAnsiTheme="minorHAnsi" w:cs="Calibri Light"/>
        </w:rPr>
        <w:t>CoDT</w:t>
      </w:r>
      <w:proofErr w:type="spellEnd"/>
      <w:r w:rsidRPr="00DA6BD2">
        <w:rPr>
          <w:rFonts w:asciiTheme="minorHAnsi" w:hAnsiTheme="minorHAnsi" w:cs="Calibri Light"/>
        </w:rPr>
        <w:t>)</w:t>
      </w:r>
      <w:r w:rsidR="00E01B3F">
        <w:rPr>
          <w:rFonts w:asciiTheme="minorHAnsi" w:hAnsiTheme="minorHAnsi" w:cs="Calibri Light"/>
        </w:rPr>
        <w:t xml:space="preserve"> </w:t>
      </w:r>
      <w:r>
        <w:rPr>
          <w:rFonts w:asciiTheme="minorHAnsi" w:hAnsiTheme="minorHAnsi" w:cs="Calibri Light"/>
        </w:rPr>
        <w:t xml:space="preserve">qui s’applique en la matière.  </w:t>
      </w:r>
    </w:p>
    <w:p w14:paraId="09FDA3ED" w14:textId="634D4F06"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Cette taxe s'applique aux parcelles non bâties comprises </w:t>
      </w:r>
      <w:r w:rsidR="00A91B91" w:rsidRPr="003E13A2">
        <w:rPr>
          <w:rFonts w:asciiTheme="minorHAnsi" w:hAnsiTheme="minorHAnsi" w:cs="Calibri Light"/>
        </w:rPr>
        <w:t>dans le périmètre d’urbanisation non périmé.</w:t>
      </w:r>
    </w:p>
    <w:p w14:paraId="62866428" w14:textId="77777777" w:rsidR="00A91B91" w:rsidRPr="003E13A2" w:rsidRDefault="00A91B91" w:rsidP="00A91B91">
      <w:pPr>
        <w:spacing w:before="120"/>
        <w:jc w:val="both"/>
        <w:textAlignment w:val="baseline"/>
        <w:rPr>
          <w:rFonts w:asciiTheme="minorHAnsi" w:hAnsiTheme="minorHAnsi" w:cs="Calibri Light"/>
        </w:rPr>
      </w:pPr>
      <w:r w:rsidRPr="003E13A2">
        <w:rPr>
          <w:rFonts w:asciiTheme="minorHAnsi" w:hAnsiTheme="minorHAnsi" w:cs="Calibri Light"/>
        </w:rPr>
        <w:t>Je préconise une modulation du taux de la taxe en fonction du nombre de mètre courant de façade à front de voirie.</w:t>
      </w:r>
    </w:p>
    <w:p w14:paraId="073985F6" w14:textId="6E65FE36" w:rsidR="007A10F4" w:rsidRDefault="007A10F4" w:rsidP="007A10F4">
      <w:pPr>
        <w:spacing w:before="120"/>
        <w:jc w:val="both"/>
        <w:textAlignment w:val="baseline"/>
        <w:rPr>
          <w:rFonts w:asciiTheme="minorHAnsi" w:hAnsiTheme="minorHAnsi" w:cs="Calibri Light"/>
        </w:rPr>
      </w:pPr>
      <w:r w:rsidRPr="003E13A2">
        <w:rPr>
          <w:rFonts w:asciiTheme="minorHAnsi" w:hAnsiTheme="minorHAnsi" w:cs="Calibri Light"/>
        </w:rPr>
        <w:t xml:space="preserve">Taux recommandé : je recommande pour l’article D.VI.64. § 1er, 1° un taux de </w:t>
      </w:r>
      <w:r w:rsidR="000C0420" w:rsidRPr="00D1654E">
        <w:rPr>
          <w:rFonts w:asciiTheme="minorHAnsi" w:hAnsiTheme="minorHAnsi" w:cs="Calibri Light"/>
        </w:rPr>
        <w:t>60</w:t>
      </w:r>
      <w:r w:rsidR="00D1654E" w:rsidRPr="008D7EB7">
        <w:rPr>
          <w:rFonts w:asciiTheme="minorHAnsi" w:hAnsiTheme="minorHAnsi" w:cs="Calibri Light"/>
        </w:rPr>
        <w:t>,00</w:t>
      </w:r>
      <w:r w:rsidR="000C0420" w:rsidRPr="00D1654E">
        <w:rPr>
          <w:rFonts w:asciiTheme="minorHAnsi" w:hAnsiTheme="minorHAnsi" w:cs="Calibri Light"/>
        </w:rPr>
        <w:t xml:space="preserve"> </w:t>
      </w:r>
      <w:r w:rsidRPr="00D1654E">
        <w:rPr>
          <w:rFonts w:asciiTheme="minorHAnsi" w:hAnsiTheme="minorHAnsi" w:cs="Calibri Light"/>
        </w:rPr>
        <w:t xml:space="preserve">euros </w:t>
      </w:r>
      <w:r w:rsidRPr="003E13A2">
        <w:rPr>
          <w:rFonts w:asciiTheme="minorHAnsi" w:hAnsiTheme="minorHAnsi" w:cs="Calibri Light"/>
        </w:rPr>
        <w:t xml:space="preserve">maximum par mètre courant de longueur de terrain à front de voirie </w:t>
      </w:r>
      <w:r w:rsidR="002A73C1">
        <w:rPr>
          <w:rFonts w:asciiTheme="minorHAnsi" w:hAnsiTheme="minorHAnsi" w:cs="Calibri Light"/>
        </w:rPr>
        <w:t xml:space="preserve">avec un maximum de 900,00 euros </w:t>
      </w:r>
      <w:r w:rsidRPr="003E13A2">
        <w:rPr>
          <w:rFonts w:asciiTheme="minorHAnsi" w:hAnsiTheme="minorHAnsi" w:cs="Calibri Light"/>
        </w:rPr>
        <w:t>par parcelle non bâtie</w:t>
      </w:r>
      <w:r w:rsidR="002A73C1">
        <w:rPr>
          <w:rFonts w:asciiTheme="minorHAnsi" w:hAnsiTheme="minorHAnsi" w:cs="Calibri Light"/>
        </w:rPr>
        <w:t xml:space="preserve"> (pour rappel, les taux pour les parcelles non bâties ne peuvent être supérieures à 50% du taux des terrains non bâti)</w:t>
      </w:r>
      <w:r w:rsidRPr="003E13A2">
        <w:rPr>
          <w:rFonts w:asciiTheme="minorHAnsi" w:hAnsiTheme="minorHAnsi" w:cs="Calibri Light"/>
        </w:rPr>
        <w:t>.</w:t>
      </w:r>
    </w:p>
    <w:p w14:paraId="3AA10DC0" w14:textId="0B6B3AEC" w:rsidR="00D1654E" w:rsidRDefault="00D1654E" w:rsidP="00DA6694">
      <w:pPr>
        <w:rPr>
          <w:rFonts w:cs="Calibri Light"/>
        </w:rPr>
      </w:pPr>
    </w:p>
    <w:p w14:paraId="2BC01D5E" w14:textId="0E43149A" w:rsidR="00B914C9" w:rsidRDefault="00B914C9" w:rsidP="00DA6694">
      <w:pPr>
        <w:rPr>
          <w:rFonts w:cs="Calibri Light"/>
        </w:rPr>
      </w:pPr>
      <w:r>
        <w:rPr>
          <w:rFonts w:cs="Calibri Light"/>
        </w:rPr>
        <w:t>Je vous invite également à être très attentifs aux changements d’affectation des parcelles non bâties.</w:t>
      </w:r>
    </w:p>
    <w:p w14:paraId="4384CCCD" w14:textId="77777777" w:rsidR="00B914C9" w:rsidRDefault="00B914C9" w:rsidP="00DA6694">
      <w:pPr>
        <w:rPr>
          <w:rFonts w:cs="Calibri Light"/>
        </w:rPr>
      </w:pPr>
    </w:p>
    <w:p w14:paraId="3FD0BA6D" w14:textId="587FD1D0" w:rsidR="00DA6694" w:rsidRPr="00DA6694" w:rsidRDefault="00DA6694" w:rsidP="00DA6694">
      <w:pPr>
        <w:rPr>
          <w:rFonts w:cs="Calibri Light"/>
        </w:rPr>
      </w:pPr>
      <w:r w:rsidRPr="00DA6694">
        <w:rPr>
          <w:rFonts w:cs="Calibri Light"/>
        </w:rPr>
        <w:t>L’article D.VI.64 du Code de Développement Territorial (</w:t>
      </w:r>
      <w:proofErr w:type="spellStart"/>
      <w:r w:rsidRPr="00DA6694">
        <w:rPr>
          <w:rFonts w:cs="Calibri Light"/>
        </w:rPr>
        <w:t>CoDT</w:t>
      </w:r>
      <w:proofErr w:type="spellEnd"/>
      <w:r w:rsidRPr="00DA6694">
        <w:rPr>
          <w:rFonts w:cs="Calibri Light"/>
        </w:rPr>
        <w:t>) précise que :</w:t>
      </w:r>
    </w:p>
    <w:p w14:paraId="458CB6DF" w14:textId="2DC05A5E" w:rsidR="00DA6694" w:rsidRDefault="00DA6694" w:rsidP="00D1654E">
      <w:pPr>
        <w:spacing w:before="120"/>
        <w:ind w:left="709"/>
        <w:jc w:val="both"/>
        <w:textAlignment w:val="baseline"/>
        <w:rPr>
          <w:rFonts w:cs="Calibri Light"/>
          <w:i/>
        </w:rPr>
      </w:pPr>
      <w:r w:rsidRPr="008D7EB7">
        <w:rPr>
          <w:rFonts w:cs="Calibri Light"/>
          <w:i/>
        </w:rPr>
        <w:t>« § 1</w:t>
      </w:r>
      <w:r w:rsidRPr="008D7EB7">
        <w:rPr>
          <w:rFonts w:cs="Calibri Light"/>
          <w:i/>
          <w:vertAlign w:val="superscript"/>
        </w:rPr>
        <w:t>er</w:t>
      </w:r>
      <w:r w:rsidRPr="008D7EB7">
        <w:rPr>
          <w:rFonts w:cs="Calibri Light"/>
          <w:i/>
        </w:rPr>
        <w:t>. Les communes sont autorisées à établir, outre les centimes additionnels au précompte immobilier, une taxe annuelle sur les parcelles non bâties situées :</w:t>
      </w:r>
    </w:p>
    <w:p w14:paraId="665CF0C7" w14:textId="77777777" w:rsidR="00D1654E" w:rsidRPr="008D7EB7" w:rsidRDefault="00D1654E" w:rsidP="008D7EB7">
      <w:pPr>
        <w:spacing w:before="120"/>
        <w:ind w:left="709"/>
        <w:jc w:val="both"/>
        <w:textAlignment w:val="baseline"/>
        <w:rPr>
          <w:rFonts w:cs="Calibri Light"/>
          <w:i/>
        </w:rPr>
      </w:pPr>
    </w:p>
    <w:p w14:paraId="42506998" w14:textId="77777777" w:rsidR="00DA6694" w:rsidRPr="008D7EB7" w:rsidRDefault="00DA6694" w:rsidP="008D7EB7">
      <w:pPr>
        <w:ind w:left="709"/>
        <w:jc w:val="both"/>
        <w:textAlignment w:val="baseline"/>
        <w:rPr>
          <w:rFonts w:cs="Calibri Light"/>
          <w:i/>
        </w:rPr>
      </w:pPr>
      <w:r w:rsidRPr="008D7EB7">
        <w:rPr>
          <w:rFonts w:cs="Calibri Light"/>
          <w:i/>
        </w:rPr>
        <w:t xml:space="preserve">1° </w:t>
      </w:r>
      <w:r w:rsidRPr="008D7EB7">
        <w:rPr>
          <w:rFonts w:cs="Calibri Light"/>
          <w:i/>
          <w:u w:val="single"/>
        </w:rPr>
        <w:t>dans le périmètre d’urbanisation non périmé au sein d’une zone d’enjeu communal</w:t>
      </w:r>
      <w:r w:rsidRPr="008D7EB7">
        <w:rPr>
          <w:rFonts w:cs="Calibri Light"/>
          <w:i/>
        </w:rPr>
        <w:t xml:space="preserve"> ;</w:t>
      </w:r>
    </w:p>
    <w:p w14:paraId="21EFCB3B" w14:textId="77777777" w:rsidR="00DA6694" w:rsidRPr="008D7EB7" w:rsidRDefault="00DA6694" w:rsidP="008D7EB7">
      <w:pPr>
        <w:ind w:left="709"/>
        <w:jc w:val="both"/>
        <w:textAlignment w:val="baseline"/>
        <w:rPr>
          <w:rFonts w:cs="Calibri Light"/>
          <w:i/>
        </w:rPr>
      </w:pPr>
      <w:r w:rsidRPr="008D7EB7">
        <w:rPr>
          <w:rFonts w:cs="Calibri Light"/>
          <w:i/>
        </w:rPr>
        <w:t>2° …</w:t>
      </w:r>
    </w:p>
    <w:p w14:paraId="07545634" w14:textId="77777777" w:rsidR="00DA6694" w:rsidRPr="008D7EB7" w:rsidRDefault="00DA6694" w:rsidP="008D7EB7">
      <w:pPr>
        <w:ind w:left="709"/>
        <w:jc w:val="both"/>
        <w:textAlignment w:val="baseline"/>
        <w:rPr>
          <w:rFonts w:cs="Calibri Light"/>
          <w:i/>
          <w:u w:val="single"/>
        </w:rPr>
      </w:pPr>
      <w:r w:rsidRPr="008D7EB7">
        <w:rPr>
          <w:rFonts w:cs="Calibri Light"/>
          <w:i/>
        </w:rPr>
        <w:t xml:space="preserve">3° </w:t>
      </w:r>
      <w:r w:rsidRPr="008D7EB7">
        <w:rPr>
          <w:rFonts w:cs="Calibri Light"/>
          <w:i/>
          <w:u w:val="single"/>
        </w:rPr>
        <w:t>dans le périmètre d’un permis d’urbanisation non périmé en dehors d’une zone d’enjeu communal ;</w:t>
      </w:r>
    </w:p>
    <w:p w14:paraId="497BAC1B" w14:textId="77777777" w:rsidR="00DA6694" w:rsidRPr="008D7EB7" w:rsidRDefault="00DA6694" w:rsidP="008D7EB7">
      <w:pPr>
        <w:ind w:left="709"/>
        <w:jc w:val="both"/>
        <w:textAlignment w:val="baseline"/>
        <w:rPr>
          <w:rFonts w:cs="Calibri Light"/>
          <w:i/>
        </w:rPr>
      </w:pPr>
      <w:r w:rsidRPr="008D7EB7">
        <w:rPr>
          <w:rFonts w:cs="Calibri Light"/>
          <w:i/>
        </w:rPr>
        <w:t>4° ….</w:t>
      </w:r>
    </w:p>
    <w:p w14:paraId="28866FE3" w14:textId="77777777" w:rsidR="00DA6694" w:rsidRPr="008D7EB7" w:rsidRDefault="00DA6694" w:rsidP="008D7EB7">
      <w:pPr>
        <w:spacing w:before="120"/>
        <w:ind w:left="709"/>
        <w:jc w:val="both"/>
        <w:textAlignment w:val="baseline"/>
        <w:rPr>
          <w:rFonts w:cs="Calibri Light"/>
          <w:b/>
          <w:i/>
        </w:rPr>
      </w:pPr>
      <w:r w:rsidRPr="008D7EB7">
        <w:rPr>
          <w:rFonts w:cs="Calibri Light"/>
          <w:b/>
          <w:i/>
        </w:rPr>
        <w:t>Le montant de la taxe annuelle visée à l’alinéa 1</w:t>
      </w:r>
      <w:r w:rsidRPr="008D7EB7">
        <w:rPr>
          <w:rFonts w:cs="Calibri Light"/>
          <w:b/>
          <w:i/>
          <w:vertAlign w:val="superscript"/>
        </w:rPr>
        <w:t>er</w:t>
      </w:r>
      <w:r w:rsidRPr="008D7EB7">
        <w:rPr>
          <w:rFonts w:cs="Calibri Light"/>
          <w:b/>
          <w:i/>
        </w:rPr>
        <w:t xml:space="preserve">, 3°, ne peut dépasser la moitié de celui fixé en application du 1°. </w:t>
      </w:r>
    </w:p>
    <w:p w14:paraId="487F1668" w14:textId="15128327" w:rsidR="00DA6694" w:rsidRDefault="00DA6694" w:rsidP="00D1654E">
      <w:pPr>
        <w:spacing w:before="120"/>
        <w:ind w:left="709"/>
        <w:jc w:val="both"/>
        <w:textAlignment w:val="baseline"/>
        <w:rPr>
          <w:rFonts w:cs="Calibri Light"/>
          <w:i/>
        </w:rPr>
      </w:pPr>
      <w:r w:rsidRPr="008D7EB7">
        <w:rPr>
          <w:rFonts w:cs="Calibri Light"/>
          <w:i/>
        </w:rPr>
        <w:t>§ 2.  Sont dispensés :</w:t>
      </w:r>
    </w:p>
    <w:p w14:paraId="4E8B5D6F" w14:textId="77777777" w:rsidR="00DA6694" w:rsidRPr="008D7EB7" w:rsidRDefault="00DA6694" w:rsidP="008D7EB7">
      <w:pPr>
        <w:ind w:left="709"/>
        <w:jc w:val="both"/>
        <w:textAlignment w:val="baseline"/>
        <w:rPr>
          <w:rFonts w:cs="Calibri Light"/>
          <w:i/>
        </w:rPr>
      </w:pPr>
      <w:r w:rsidRPr="008D7EB7">
        <w:rPr>
          <w:rFonts w:cs="Calibri Light"/>
          <w:i/>
        </w:rPr>
        <w:t>1° de la taxe visée au paragraphe 1</w:t>
      </w:r>
      <w:r w:rsidRPr="008D7EB7">
        <w:rPr>
          <w:rFonts w:cs="Calibri Light"/>
          <w:i/>
          <w:vertAlign w:val="superscript"/>
        </w:rPr>
        <w:t>er</w:t>
      </w:r>
      <w:r w:rsidRPr="008D7EB7">
        <w:rPr>
          <w:rFonts w:cs="Calibri Light"/>
          <w:i/>
        </w:rPr>
        <w:t>, 1° et 3°, les propriétaires d’une seule parcelle non bâtie à l’exclusion de tout autre bien immobilier ;</w:t>
      </w:r>
    </w:p>
    <w:p w14:paraId="538C5A5E" w14:textId="77777777" w:rsidR="00DA6694" w:rsidRPr="008D7EB7" w:rsidRDefault="00DA6694" w:rsidP="008D7EB7">
      <w:pPr>
        <w:ind w:left="709"/>
        <w:jc w:val="both"/>
        <w:textAlignment w:val="baseline"/>
        <w:rPr>
          <w:rFonts w:cs="Calibri Light"/>
          <w:i/>
        </w:rPr>
      </w:pPr>
      <w:r w:rsidRPr="008D7EB7">
        <w:rPr>
          <w:rFonts w:cs="Calibri Light"/>
          <w:i/>
        </w:rPr>
        <w:t>2° …</w:t>
      </w:r>
    </w:p>
    <w:p w14:paraId="4A73A955" w14:textId="77777777" w:rsidR="00DA6694" w:rsidRPr="008D7EB7" w:rsidRDefault="00DA6694" w:rsidP="008D7EB7">
      <w:pPr>
        <w:ind w:left="709"/>
        <w:jc w:val="both"/>
        <w:textAlignment w:val="baseline"/>
        <w:rPr>
          <w:rFonts w:cs="Calibri Light"/>
          <w:i/>
        </w:rPr>
      </w:pPr>
      <w:r w:rsidRPr="008D7EB7">
        <w:rPr>
          <w:rFonts w:cs="Calibri Light"/>
          <w:i/>
        </w:rPr>
        <w:t>3° de l’une et l’autre taxe, les sociétés de logement de service public.</w:t>
      </w:r>
    </w:p>
    <w:p w14:paraId="5233EBE8" w14:textId="77777777" w:rsidR="00DA6694" w:rsidRPr="008D7EB7" w:rsidRDefault="00DA6694" w:rsidP="008D7EB7">
      <w:pPr>
        <w:spacing w:before="120"/>
        <w:ind w:left="709"/>
        <w:jc w:val="both"/>
        <w:textAlignment w:val="baseline"/>
        <w:rPr>
          <w:rFonts w:cs="Calibri Light"/>
          <w:i/>
        </w:rPr>
      </w:pPr>
      <w:r w:rsidRPr="008D7EB7">
        <w:rPr>
          <w:rFonts w:cs="Calibri Light"/>
          <w:i/>
        </w:rPr>
        <w:t>La dispense prévue aux 1° et 2° ne vaut que durant les cinq exercices qui suivent l’acquisition du bien. Elle vaut durant les cinq exercices qui suivent l’entrée en vigueur du règlement-taxe, lorsque le bien est déjà acquis à ce moment. Ces délais sont suspendus durant tout le temps de la procédure lorsqu’un recours en annulation a été introduit à l’encontre d’un permis relatif audit bien devant le Conseil d’État ou qu’une demande d’interruption des travaux autorisés par le permis est pendante devant une juridiction de l’ordre judiciaire.</w:t>
      </w:r>
    </w:p>
    <w:p w14:paraId="2CEE0ECE" w14:textId="77777777" w:rsidR="00DA6694" w:rsidRPr="008D7EB7" w:rsidRDefault="00DA6694" w:rsidP="008D7EB7">
      <w:pPr>
        <w:spacing w:before="120"/>
        <w:ind w:left="709"/>
        <w:jc w:val="both"/>
        <w:textAlignment w:val="baseline"/>
        <w:rPr>
          <w:rFonts w:cs="Calibri Light"/>
          <w:i/>
        </w:rPr>
      </w:pPr>
      <w:r w:rsidRPr="008D7EB7">
        <w:rPr>
          <w:rFonts w:cs="Calibri Light"/>
          <w:i/>
        </w:rPr>
        <w:lastRenderedPageBreak/>
        <w:t>§ 3. La taxe visée au paragraphe 1</w:t>
      </w:r>
      <w:r w:rsidRPr="008D7EB7">
        <w:rPr>
          <w:rFonts w:cs="Calibri Light"/>
          <w:i/>
          <w:vertAlign w:val="superscript"/>
        </w:rPr>
        <w:t>er</w:t>
      </w:r>
      <w:r w:rsidRPr="008D7EB7">
        <w:rPr>
          <w:rFonts w:cs="Calibri Light"/>
          <w:i/>
        </w:rPr>
        <w:t>, 1° et 3°, n’est pas applicable aux parcelles qui, en raison des dispositions de la loi sur le bail à ferme, ne peuvent être affectées actuellement à la bâtisse.</w:t>
      </w:r>
    </w:p>
    <w:p w14:paraId="43BAC16A" w14:textId="77777777" w:rsidR="00DA6694" w:rsidRPr="008D7EB7" w:rsidRDefault="00DA6694" w:rsidP="008D7EB7">
      <w:pPr>
        <w:spacing w:before="120"/>
        <w:ind w:left="709"/>
        <w:jc w:val="both"/>
        <w:textAlignment w:val="baseline"/>
        <w:rPr>
          <w:rFonts w:cs="Calibri Light"/>
        </w:rPr>
      </w:pPr>
      <w:r w:rsidRPr="008D7EB7">
        <w:rPr>
          <w:rFonts w:cs="Calibri Light"/>
          <w:i/>
        </w:rPr>
        <w:t>…. »</w:t>
      </w:r>
      <w:r w:rsidRPr="008D7EB7">
        <w:rPr>
          <w:rFonts w:cs="Calibri Light"/>
        </w:rPr>
        <w:t>.</w:t>
      </w:r>
    </w:p>
    <w:p w14:paraId="6F75667D" w14:textId="0A7DF6B8"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Lorsqu'une parcelle jouxte la voirie de deux côtés, seul le plus grand côté est pris en considération pour le calcul de l'imposition.</w:t>
      </w:r>
    </w:p>
    <w:p w14:paraId="05E9B04A" w14:textId="77777777" w:rsidR="00A91B91" w:rsidRPr="003E13A2" w:rsidRDefault="00A91B91" w:rsidP="00A91B91">
      <w:pPr>
        <w:spacing w:before="120"/>
        <w:jc w:val="both"/>
        <w:textAlignment w:val="baseline"/>
        <w:rPr>
          <w:rFonts w:asciiTheme="minorHAnsi" w:hAnsiTheme="minorHAnsi" w:cs="Calibri Light"/>
        </w:rPr>
      </w:pPr>
      <w:r w:rsidRPr="003E13A2">
        <w:rPr>
          <w:rFonts w:asciiTheme="minorHAnsi" w:hAnsiTheme="minorHAnsi" w:cs="Calibri Light"/>
        </w:rPr>
        <w:t>La taxe est due par le propriétaire.</w:t>
      </w:r>
    </w:p>
    <w:p w14:paraId="711CC97E" w14:textId="77777777" w:rsidR="00A91B91" w:rsidRPr="003E13A2" w:rsidRDefault="00A91B91" w:rsidP="00A91B91">
      <w:pPr>
        <w:spacing w:before="120"/>
        <w:jc w:val="both"/>
        <w:textAlignment w:val="baseline"/>
        <w:rPr>
          <w:rFonts w:asciiTheme="minorHAnsi" w:hAnsiTheme="minorHAnsi" w:cs="Calibri Light"/>
        </w:rPr>
      </w:pPr>
      <w:r w:rsidRPr="003E13A2">
        <w:rPr>
          <w:rFonts w:asciiTheme="minorHAnsi" w:hAnsiTheme="minorHAnsi" w:cs="Calibri Light"/>
        </w:rPr>
        <w:t>Sont dispensés de la taxe :</w:t>
      </w:r>
    </w:p>
    <w:p w14:paraId="786AD2F7" w14:textId="61F71A24" w:rsidR="00A91B91" w:rsidRPr="008D7EB7" w:rsidRDefault="00A91B91"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8D7EB7">
        <w:rPr>
          <w:rFonts w:asciiTheme="minorHAnsi" w:hAnsiTheme="minorHAnsi" w:cs="Calibri Light"/>
        </w:rPr>
        <w:t>les</w:t>
      </w:r>
      <w:proofErr w:type="gramEnd"/>
      <w:r w:rsidRPr="008D7EB7">
        <w:rPr>
          <w:rFonts w:asciiTheme="minorHAnsi" w:hAnsiTheme="minorHAnsi" w:cs="Calibri Light"/>
        </w:rPr>
        <w:t xml:space="preserve"> propriétaires d’une seule parcelle non bâtie à l’exclusion de tout autre bien immobilier</w:t>
      </w:r>
      <w:r w:rsidR="003E13A2" w:rsidRPr="008D7EB7">
        <w:rPr>
          <w:rFonts w:asciiTheme="minorHAnsi" w:hAnsiTheme="minorHAnsi" w:cs="Calibri Light"/>
        </w:rPr>
        <w:t xml:space="preserve"> </w:t>
      </w:r>
      <w:r w:rsidRPr="008D7EB7">
        <w:rPr>
          <w:rFonts w:asciiTheme="minorHAnsi" w:hAnsiTheme="minorHAnsi" w:cs="Calibri Light"/>
        </w:rPr>
        <w:t>;</w:t>
      </w:r>
    </w:p>
    <w:p w14:paraId="352C5906" w14:textId="024FC3EC" w:rsidR="00A91B91" w:rsidRPr="008D7EB7" w:rsidRDefault="00A91B91"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8D7EB7">
        <w:rPr>
          <w:rFonts w:asciiTheme="minorHAnsi" w:hAnsiTheme="minorHAnsi" w:cs="Calibri Light"/>
        </w:rPr>
        <w:t>les</w:t>
      </w:r>
      <w:proofErr w:type="gramEnd"/>
      <w:r w:rsidRPr="008D7EB7">
        <w:rPr>
          <w:rFonts w:asciiTheme="minorHAnsi" w:hAnsiTheme="minorHAnsi" w:cs="Calibri Light"/>
        </w:rPr>
        <w:t xml:space="preserve"> sociétés de logement de service public</w:t>
      </w:r>
      <w:r w:rsidR="003E13A2" w:rsidRPr="008D7EB7">
        <w:rPr>
          <w:rFonts w:asciiTheme="minorHAnsi" w:hAnsiTheme="minorHAnsi" w:cs="Calibri Light"/>
        </w:rPr>
        <w:t>.</w:t>
      </w:r>
    </w:p>
    <w:p w14:paraId="0160086F" w14:textId="6FA7C493" w:rsidR="00A91B91" w:rsidRPr="003E13A2" w:rsidRDefault="00A91B91" w:rsidP="00A91B91">
      <w:pPr>
        <w:spacing w:before="120"/>
        <w:jc w:val="both"/>
        <w:textAlignment w:val="baseline"/>
        <w:rPr>
          <w:rFonts w:asciiTheme="minorHAnsi" w:hAnsiTheme="minorHAnsi" w:cs="Calibri Light"/>
          <w:spacing w:val="-1"/>
        </w:rPr>
      </w:pPr>
      <w:r w:rsidRPr="003E13A2">
        <w:rPr>
          <w:rFonts w:asciiTheme="minorHAnsi" w:hAnsiTheme="minorHAnsi" w:cs="Calibri Light"/>
          <w:spacing w:val="-1"/>
        </w:rPr>
        <w:t>La dispense ne vaut que durant les cinq exercices qui suivent l’acquisition du bien. Elle vaut durant les cinq exercices qui suivent l’entrée en vigueur du règlement-taxe, lorsque le bien est déjà acquis à ce moment. Ces délais sont suspendus durant tout le temps de la procédure lorsqu’un recours en annulation a été introduit à l’encontre d’un permis relatif audit bien devant le Conseil d’État ou qu’une demande d’interruption des travaux autorisés par le permis est pendante devant une juridiction de l’ordre judiciaire.</w:t>
      </w:r>
    </w:p>
    <w:p w14:paraId="434F412B" w14:textId="247674AE" w:rsidR="00A91B91" w:rsidRDefault="00A91B91" w:rsidP="00E063FD">
      <w:pPr>
        <w:spacing w:before="120"/>
        <w:jc w:val="both"/>
        <w:textAlignment w:val="baseline"/>
        <w:rPr>
          <w:rFonts w:asciiTheme="minorHAnsi" w:hAnsiTheme="minorHAnsi" w:cs="Calibri Light"/>
          <w:spacing w:val="-1"/>
        </w:rPr>
      </w:pPr>
      <w:r w:rsidRPr="003E13A2">
        <w:rPr>
          <w:rFonts w:asciiTheme="minorHAnsi" w:hAnsiTheme="minorHAnsi" w:cs="Calibri Light"/>
          <w:spacing w:val="-1"/>
        </w:rPr>
        <w:t>La taxe n’est pas applicable aux parcelles qui, en raison des dispositions de la loi sur le bail à ferme, ne peuvent être affectées actuellement à la bâtisse</w:t>
      </w:r>
    </w:p>
    <w:p w14:paraId="5283F619"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La taxe est due dans le chef du propriétaire lotisseur à partir du 1</w:t>
      </w:r>
      <w:r w:rsidRPr="00DA6BD2">
        <w:rPr>
          <w:rFonts w:asciiTheme="minorHAnsi" w:hAnsiTheme="minorHAnsi" w:cs="Calibri Light"/>
          <w:spacing w:val="-1"/>
          <w:vertAlign w:val="superscript"/>
        </w:rPr>
        <w:t>er</w:t>
      </w:r>
      <w:r w:rsidRPr="00DA6BD2">
        <w:rPr>
          <w:rFonts w:asciiTheme="minorHAnsi" w:hAnsiTheme="minorHAnsi" w:cs="Calibri Light"/>
          <w:spacing w:val="-1"/>
        </w:rPr>
        <w:t xml:space="preserve"> janvier de la deuxième année qui suit celle de la délivrance du permis d'urbanisation et elle frappe les parcelles non bâties qui n'ont pas encore trouvé acquéreur à cette date. La taxe est due dans le chef de l'acquéreur des parcelles à partir du 1</w:t>
      </w:r>
      <w:r w:rsidRPr="00DA6BD2">
        <w:rPr>
          <w:rFonts w:asciiTheme="minorHAnsi" w:hAnsiTheme="minorHAnsi" w:cs="Calibri Light"/>
          <w:spacing w:val="-1"/>
          <w:vertAlign w:val="superscript"/>
        </w:rPr>
        <w:t>er</w:t>
      </w:r>
      <w:r w:rsidRPr="00DA6BD2">
        <w:rPr>
          <w:rFonts w:asciiTheme="minorHAnsi" w:hAnsiTheme="minorHAnsi" w:cs="Calibri Light"/>
          <w:spacing w:val="-1"/>
        </w:rPr>
        <w:t xml:space="preserve"> janvier de la deuxième année qui suit celle de leur acquisition à la condition que les parcelles acquises soient toujours non bâties à cette date.</w:t>
      </w:r>
    </w:p>
    <w:p w14:paraId="2B84F101"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Les communes sont priées de se référer à l’article D.VI.64 du </w:t>
      </w:r>
      <w:proofErr w:type="spellStart"/>
      <w:r w:rsidRPr="00DA6BD2">
        <w:rPr>
          <w:rFonts w:asciiTheme="minorHAnsi" w:hAnsiTheme="minorHAnsi" w:cs="Calibri Light"/>
        </w:rPr>
        <w:t>CoDT</w:t>
      </w:r>
      <w:proofErr w:type="spellEnd"/>
      <w:r w:rsidRPr="00DA6BD2">
        <w:rPr>
          <w:rFonts w:asciiTheme="minorHAnsi" w:hAnsiTheme="minorHAnsi" w:cs="Calibri Light"/>
        </w:rPr>
        <w:t xml:space="preserve"> pour plus de précisions sur les conditions légales dans lesquelles cette imposition peut être levée.</w:t>
      </w:r>
    </w:p>
    <w:p w14:paraId="261E77A0" w14:textId="471DF917" w:rsidR="009B153C" w:rsidRDefault="00E01B3F" w:rsidP="00E063FD">
      <w:pPr>
        <w:spacing w:before="120"/>
        <w:jc w:val="both"/>
        <w:textAlignment w:val="baseline"/>
        <w:rPr>
          <w:rFonts w:asciiTheme="minorHAnsi" w:hAnsiTheme="minorHAnsi" w:cs="Calibri Light"/>
        </w:rPr>
      </w:pPr>
      <w:r>
        <w:rPr>
          <w:rFonts w:asciiTheme="minorHAnsi" w:hAnsiTheme="minorHAnsi" w:cs="Calibri Light"/>
        </w:rPr>
        <w:t>Au vu de la jurisprudence</w:t>
      </w:r>
      <w:r>
        <w:rPr>
          <w:rStyle w:val="Appelnotedebasdep"/>
          <w:rFonts w:asciiTheme="minorHAnsi" w:hAnsiTheme="minorHAnsi" w:cs="Calibri Light"/>
        </w:rPr>
        <w:footnoteReference w:id="180"/>
      </w:r>
      <w:r>
        <w:rPr>
          <w:rFonts w:asciiTheme="minorHAnsi" w:hAnsiTheme="minorHAnsi" w:cs="Calibri Light"/>
        </w:rPr>
        <w:t xml:space="preserve">, je </w:t>
      </w:r>
      <w:r w:rsidR="009B153C" w:rsidRPr="00DA6BD2">
        <w:rPr>
          <w:rFonts w:asciiTheme="minorHAnsi" w:hAnsiTheme="minorHAnsi" w:cs="Calibri Light"/>
        </w:rPr>
        <w:t>préconise une modulation du taux de la taxe en fonction du nombre de mètres courants de façade à front de voirie.</w:t>
      </w:r>
    </w:p>
    <w:p w14:paraId="7A13B49A" w14:textId="77777777" w:rsidR="00DA6694" w:rsidRPr="008D7EB7" w:rsidRDefault="00DA6694" w:rsidP="00DA6694">
      <w:pPr>
        <w:spacing w:before="120"/>
        <w:jc w:val="both"/>
        <w:textAlignment w:val="baseline"/>
        <w:rPr>
          <w:rFonts w:cs="Calibri Light"/>
        </w:rPr>
      </w:pPr>
      <w:r w:rsidRPr="008D7EB7">
        <w:rPr>
          <w:rFonts w:asciiTheme="minorHAnsi" w:hAnsiTheme="minorHAnsi" w:cs="Calibri Light"/>
        </w:rPr>
        <w:t xml:space="preserve">De plus, </w:t>
      </w:r>
      <w:r w:rsidRPr="008D7EB7">
        <w:rPr>
          <w:rFonts w:cs="Calibri Light"/>
        </w:rPr>
        <w:t>au vu de la jurisprudence du Conseil d'État</w:t>
      </w:r>
      <w:r w:rsidRPr="008D7EB7">
        <w:rPr>
          <w:rFonts w:cs="Calibri Light"/>
          <w:vertAlign w:val="superscript"/>
        </w:rPr>
        <w:footnoteReference w:id="181"/>
      </w:r>
      <w:r w:rsidRPr="008D7EB7">
        <w:rPr>
          <w:rFonts w:cs="Calibri Light"/>
        </w:rPr>
        <w:t xml:space="preserve">, la taxe sur les parcelles non bâties comprises dans un lotissement non périmé et sur les terrains non bâtis situés (hors lotissement) dans une zone d'habitat, d'habitat à caractère rural ou de constructions prévues par un plan d'aménagement en vigueur et en bordure d'une voie publique suffisamment équipée, en eau et électricité, pourvue d'un revêtement solide et d'une largeur suffisante, compte tenu de la situation des lieux sont deux taxes différentes qui peuvent être votées individuellement. </w:t>
      </w:r>
    </w:p>
    <w:p w14:paraId="610468EF" w14:textId="77777777" w:rsidR="00DA6694" w:rsidRPr="00DA6694" w:rsidRDefault="00DA6694" w:rsidP="00DA6694">
      <w:pPr>
        <w:spacing w:before="120"/>
        <w:jc w:val="both"/>
        <w:textAlignment w:val="baseline"/>
        <w:rPr>
          <w:rFonts w:cs="Calibri Light"/>
          <w:color w:val="FF0000"/>
        </w:rPr>
      </w:pPr>
      <w:r w:rsidRPr="008D7EB7">
        <w:rPr>
          <w:rFonts w:cs="Calibri Light"/>
        </w:rPr>
        <w:t>Je recommande aux communes de voter un règlement spécifique à chaque objet et d'inscrire les recettes provenant de la taxe sur les parcelles non bâties à l'article budgétaire 04001/367-09 et celles provenant de la taxe sur les terrains non bâtis au 04002/367-09</w:t>
      </w:r>
      <w:r w:rsidRPr="00DA6694">
        <w:rPr>
          <w:rFonts w:cs="Calibri Light"/>
          <w:color w:val="FF0000"/>
        </w:rPr>
        <w:t>.</w:t>
      </w:r>
    </w:p>
    <w:p w14:paraId="566852D2" w14:textId="77777777" w:rsidR="002B0522" w:rsidRPr="00DA6BD2" w:rsidRDefault="002B0522" w:rsidP="00E063FD">
      <w:pPr>
        <w:spacing w:before="120"/>
        <w:jc w:val="both"/>
        <w:textAlignment w:val="baseline"/>
        <w:rPr>
          <w:rFonts w:asciiTheme="minorHAnsi" w:hAnsiTheme="minorHAnsi" w:cs="Calibri Light"/>
        </w:rPr>
      </w:pPr>
    </w:p>
    <w:p w14:paraId="79DFFACE" w14:textId="43904483" w:rsidR="00705A12" w:rsidRDefault="008A21AC" w:rsidP="00256E9F">
      <w:pPr>
        <w:pStyle w:val="Sam3"/>
      </w:pPr>
      <w:bookmarkStart w:id="7530" w:name="_Toc516739941"/>
      <w:bookmarkStart w:id="7531" w:name="_Toc516751850"/>
      <w:bookmarkStart w:id="7532" w:name="_Toc516825938"/>
      <w:bookmarkStart w:id="7533" w:name="_Toc516826496"/>
      <w:bookmarkStart w:id="7534" w:name="_Toc516837816"/>
      <w:bookmarkStart w:id="7535" w:name="_Toc516838375"/>
      <w:bookmarkStart w:id="7536" w:name="_Toc516838934"/>
      <w:bookmarkStart w:id="7537" w:name="_Toc516839494"/>
      <w:bookmarkStart w:id="7538" w:name="_Toc517173590"/>
      <w:bookmarkStart w:id="7539" w:name="_Toc517175264"/>
      <w:bookmarkStart w:id="7540" w:name="_Toc517175851"/>
      <w:bookmarkStart w:id="7541" w:name="_Toc517176439"/>
      <w:bookmarkStart w:id="7542" w:name="_Toc517337764"/>
      <w:bookmarkStart w:id="7543" w:name="_Toc517360560"/>
      <w:bookmarkStart w:id="7544" w:name="_Toc74557811"/>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r>
        <w:lastRenderedPageBreak/>
        <w:t xml:space="preserve">04002/367-09 : </w:t>
      </w:r>
      <w:r w:rsidR="00A91B91" w:rsidRPr="0027625F">
        <w:t>Terrains non bâtis</w:t>
      </w:r>
      <w:r w:rsidR="00A91B91">
        <w:t xml:space="preserve"> </w:t>
      </w:r>
      <w:r w:rsidR="00996D79">
        <w:t>en bordure d’une voie publique suffisamment équipée</w:t>
      </w:r>
      <w:bookmarkEnd w:id="7544"/>
      <w:r w:rsidR="00996D79">
        <w:t xml:space="preserve"> </w:t>
      </w:r>
    </w:p>
    <w:p w14:paraId="20A5AE31" w14:textId="77777777" w:rsidR="009B153C" w:rsidRPr="00705A12" w:rsidRDefault="00705A12" w:rsidP="00256E9F">
      <w:pPr>
        <w:spacing w:before="120"/>
      </w:pPr>
      <w:r w:rsidRPr="00E063FD">
        <w:t>T</w:t>
      </w:r>
      <w:r w:rsidR="00996D79" w:rsidRPr="00E063FD">
        <w:t>axe directe</w:t>
      </w:r>
      <w:r w:rsidRPr="00E063FD">
        <w:t>.</w:t>
      </w:r>
    </w:p>
    <w:p w14:paraId="0F18634C" w14:textId="04EEBB1E" w:rsidR="00F300C5" w:rsidRPr="0027625F" w:rsidRDefault="00F300C5" w:rsidP="00F300C5">
      <w:pPr>
        <w:spacing w:before="120"/>
        <w:jc w:val="both"/>
        <w:textAlignment w:val="baseline"/>
      </w:pPr>
      <w:r w:rsidRPr="0027625F">
        <w:t>Cette taxe est régie par l’article D.VI.64</w:t>
      </w:r>
      <w:r w:rsidR="006A6899">
        <w:t>, §1</w:t>
      </w:r>
      <w:r w:rsidR="006A6899" w:rsidRPr="008D7EB7">
        <w:rPr>
          <w:vertAlign w:val="superscript"/>
        </w:rPr>
        <w:t>er</w:t>
      </w:r>
      <w:r w:rsidR="006A6899">
        <w:t>, 2° et 4</w:t>
      </w:r>
      <w:r w:rsidRPr="0027625F">
        <w:t xml:space="preserve"> du Code de Développement Territorial (</w:t>
      </w:r>
      <w:proofErr w:type="spellStart"/>
      <w:r w:rsidRPr="0027625F">
        <w:t>CoDT</w:t>
      </w:r>
      <w:proofErr w:type="spellEnd"/>
      <w:r w:rsidRPr="0027625F">
        <w:t>)</w:t>
      </w:r>
      <w:r w:rsidR="006A6899">
        <w:t>.</w:t>
      </w:r>
    </w:p>
    <w:p w14:paraId="0F81360C" w14:textId="77777777" w:rsidR="00903F42" w:rsidRPr="0027625F" w:rsidRDefault="00903F42" w:rsidP="008D7EB7">
      <w:pPr>
        <w:shd w:val="clear" w:color="auto" w:fill="FCFCFC"/>
        <w:spacing w:before="240" w:after="240"/>
      </w:pPr>
      <w:r w:rsidRPr="0027625F">
        <w:t>Cette taxe s’applique aux terrains non bâtis situés (hors permis d’urbanisation) en bordure d’une voie publique suffisamment équipée en eau et électricité, pourvue d’un revêtement solide et d’une largeur suffisante, compte tenu de la situation des lieux et :</w:t>
      </w:r>
    </w:p>
    <w:p w14:paraId="55AE173E" w14:textId="2D6BB9BA" w:rsidR="006A6899" w:rsidRDefault="00903F42">
      <w:pPr>
        <w:shd w:val="clear" w:color="auto" w:fill="FCFCFC"/>
        <w:spacing w:before="120"/>
        <w:ind w:left="568" w:hanging="284"/>
      </w:pPr>
      <w:r w:rsidRPr="0027625F">
        <w:t xml:space="preserve">a) </w:t>
      </w:r>
      <w:r w:rsidR="006A6899" w:rsidRPr="006A6899">
        <w:t>soit dans une zone d’enjeu communal</w:t>
      </w:r>
      <w:r w:rsidR="00EA5A41">
        <w:rPr>
          <w:rStyle w:val="Appelnotedebasdep"/>
        </w:rPr>
        <w:footnoteReference w:id="182"/>
      </w:r>
      <w:r w:rsidR="006A6899" w:rsidRPr="006A6899">
        <w:t xml:space="preserve"> ;</w:t>
      </w:r>
    </w:p>
    <w:p w14:paraId="6B031C2F" w14:textId="47E67084" w:rsidR="00903F42" w:rsidRPr="0027625F" w:rsidRDefault="006A6899" w:rsidP="008D7EB7">
      <w:pPr>
        <w:shd w:val="clear" w:color="auto" w:fill="FCFCFC"/>
        <w:spacing w:before="120"/>
        <w:ind w:left="568" w:hanging="284"/>
      </w:pPr>
      <w:r>
        <w:t xml:space="preserve">b) </w:t>
      </w:r>
      <w:r w:rsidR="00903F42" w:rsidRPr="0027625F">
        <w:t>soit dans une zone d’habitat ou d’habitat à caractère rural inscrite au plan de secteur ou dans le périmètre des plans visés à l’article D.II.66, §3, alinéas 1er et 2 et affectées à l’habitat ou à l’habitat à caractère rural</w:t>
      </w:r>
      <w:r w:rsidR="00EA5A41">
        <w:rPr>
          <w:rStyle w:val="Appelnotedebasdep"/>
        </w:rPr>
        <w:footnoteReference w:id="183"/>
      </w:r>
      <w:r w:rsidR="00EA5A41">
        <w:t xml:space="preserve"> </w:t>
      </w:r>
      <w:r w:rsidR="00903F42" w:rsidRPr="0027625F">
        <w:t>;</w:t>
      </w:r>
    </w:p>
    <w:p w14:paraId="715D2F42" w14:textId="50FDE37A" w:rsidR="00903F42" w:rsidRPr="0027625F" w:rsidRDefault="006A6899" w:rsidP="008D7EB7">
      <w:pPr>
        <w:shd w:val="clear" w:color="auto" w:fill="FCFCFC"/>
        <w:spacing w:before="120"/>
        <w:ind w:left="568" w:hanging="284"/>
      </w:pPr>
      <w:r>
        <w:t>c</w:t>
      </w:r>
      <w:r w:rsidR="00903F42" w:rsidRPr="0027625F">
        <w:t xml:space="preserve">) soit dans une zone d’aménagement communal concerté mise en </w:t>
      </w:r>
      <w:r w:rsidR="00AE36ED">
        <w:t>œu</w:t>
      </w:r>
      <w:r w:rsidR="00AE36ED" w:rsidRPr="0027625F">
        <w:t>vre</w:t>
      </w:r>
      <w:r w:rsidR="00903F42" w:rsidRPr="0027625F">
        <w:t xml:space="preserve"> au sens de l’article D.II.42 et affectées à l’habitat ou à l’habitat à caractère rural</w:t>
      </w:r>
      <w:r w:rsidR="00EA5A41">
        <w:rPr>
          <w:rStyle w:val="Appelnotedebasdep"/>
        </w:rPr>
        <w:footnoteReference w:id="184"/>
      </w:r>
      <w:r w:rsidR="00F57E6D" w:rsidRPr="00F57E6D">
        <w:t>.</w:t>
      </w:r>
    </w:p>
    <w:p w14:paraId="50DF7FCD" w14:textId="370C9989" w:rsidR="00D1654E" w:rsidRPr="00D1654E" w:rsidRDefault="00903F42" w:rsidP="00903F42">
      <w:pPr>
        <w:spacing w:before="120"/>
        <w:jc w:val="both"/>
        <w:textAlignment w:val="baseline"/>
      </w:pPr>
      <w:r w:rsidRPr="00D1654E">
        <w:t xml:space="preserve">Comme pour la taxe précédente, </w:t>
      </w:r>
      <w:r w:rsidR="00F57E6D" w:rsidRPr="00D1654E">
        <w:t>au vu de la jurisprudence</w:t>
      </w:r>
      <w:r w:rsidR="00F57E6D" w:rsidRPr="00D1654E">
        <w:rPr>
          <w:vertAlign w:val="superscript"/>
        </w:rPr>
        <w:footnoteReference w:id="185"/>
      </w:r>
      <w:r w:rsidR="00F57E6D" w:rsidRPr="00D1654E">
        <w:t xml:space="preserve">, </w:t>
      </w:r>
      <w:r w:rsidRPr="00D1654E">
        <w:t>je préconise une modulation du taux de la taxe en fonction du nombre de mètre courant de façade à front de voirie.</w:t>
      </w:r>
      <w:r w:rsidR="00F57E6D" w:rsidRPr="00D1654E">
        <w:rPr>
          <w:color w:val="0000FF"/>
        </w:rPr>
        <w:t xml:space="preserve"> </w:t>
      </w:r>
      <w:r w:rsidR="00F57E6D" w:rsidRPr="00D1654E">
        <w:t>Lorsqu'un terrain jouxte la voirie de deux côtés, seul le plus grand côté est pris en considération pour le calcul de l'imposition.</w:t>
      </w:r>
    </w:p>
    <w:p w14:paraId="64D55A32" w14:textId="6801DA2C" w:rsidR="007A10F4" w:rsidRDefault="007A10F4" w:rsidP="007A10F4">
      <w:pPr>
        <w:spacing w:before="120"/>
        <w:jc w:val="both"/>
        <w:textAlignment w:val="baseline"/>
      </w:pPr>
      <w:r w:rsidRPr="00D1654E">
        <w:t xml:space="preserve">Taux recommandé : </w:t>
      </w:r>
      <w:r w:rsidR="00D1654E">
        <w:t>l</w:t>
      </w:r>
      <w:r w:rsidR="00F57E6D" w:rsidRPr="00D1654E">
        <w:t>’alinéa 3 du §1</w:t>
      </w:r>
      <w:r w:rsidR="00F57E6D" w:rsidRPr="00D1654E">
        <w:rPr>
          <w:vertAlign w:val="superscript"/>
        </w:rPr>
        <w:t>er</w:t>
      </w:r>
      <w:r w:rsidR="00F57E6D" w:rsidRPr="00D1654E">
        <w:t xml:space="preserve"> de l’article D.VI.64 dispose que « Le montant de la taxe annuelle visée à l’alinéa 1</w:t>
      </w:r>
      <w:r w:rsidR="00F57E6D" w:rsidRPr="00D1654E">
        <w:rPr>
          <w:vertAlign w:val="superscript"/>
        </w:rPr>
        <w:t>er</w:t>
      </w:r>
      <w:r w:rsidR="00F57E6D" w:rsidRPr="00D1654E">
        <w:t>, 4° ne peut dépasser la moitié de celui fixé en application du 2</w:t>
      </w:r>
      <w:r w:rsidR="001044C0" w:rsidRPr="00D1654E">
        <w:t>° »</w:t>
      </w:r>
      <w:r w:rsidR="00F57E6D" w:rsidRPr="00D1654E">
        <w:t>. Aussi</w:t>
      </w:r>
      <w:r w:rsidRPr="00D1654E">
        <w:t xml:space="preserve"> je recommande pour l’article D.VI.64. § 1er, 2° un taux de </w:t>
      </w:r>
      <w:r w:rsidR="00547CAF" w:rsidRPr="00900C39">
        <w:t>120</w:t>
      </w:r>
      <w:r w:rsidR="00D1654E" w:rsidRPr="00900C39">
        <w:t>,00</w:t>
      </w:r>
      <w:r w:rsidR="00547CAF" w:rsidRPr="00900C39">
        <w:t xml:space="preserve"> </w:t>
      </w:r>
      <w:r w:rsidRPr="00900C39">
        <w:t>euros</w:t>
      </w:r>
      <w:r w:rsidR="00F500AC" w:rsidRPr="00D1654E">
        <w:t xml:space="preserve"> </w:t>
      </w:r>
      <w:r w:rsidRPr="00D1654E">
        <w:t xml:space="preserve">maximum par mètre courant de longueur de terrain à front de voirie avec un maximum de </w:t>
      </w:r>
      <w:r w:rsidR="00547CAF" w:rsidRPr="00D1654E">
        <w:t>1</w:t>
      </w:r>
      <w:r w:rsidR="00D1654E" w:rsidRPr="008D7EB7">
        <w:t>.</w:t>
      </w:r>
      <w:r w:rsidR="00547CAF" w:rsidRPr="00D1654E">
        <w:t>800</w:t>
      </w:r>
      <w:r w:rsidR="00D1654E" w:rsidRPr="008D7EB7">
        <w:t>,00</w:t>
      </w:r>
      <w:r w:rsidR="00547CAF" w:rsidRPr="00D1654E">
        <w:t xml:space="preserve"> </w:t>
      </w:r>
      <w:r w:rsidRPr="00D1654E">
        <w:t>euros</w:t>
      </w:r>
      <w:r w:rsidR="00F500AC" w:rsidRPr="00D1654E">
        <w:t xml:space="preserve"> </w:t>
      </w:r>
      <w:r w:rsidRPr="00D1654E">
        <w:t>par terrain non bâti.</w:t>
      </w:r>
    </w:p>
    <w:p w14:paraId="7F35727A" w14:textId="77777777" w:rsidR="00F57E6D" w:rsidRPr="00F57E6D" w:rsidRDefault="00F57E6D" w:rsidP="00F57E6D">
      <w:pPr>
        <w:spacing w:before="120"/>
        <w:jc w:val="both"/>
        <w:textAlignment w:val="baseline"/>
      </w:pPr>
      <w:r w:rsidRPr="00F57E6D">
        <w:t>La taxe est due par le propriétaire.</w:t>
      </w:r>
    </w:p>
    <w:p w14:paraId="40759D05" w14:textId="05ACDEB0" w:rsidR="00F57E6D" w:rsidRPr="00F57E6D" w:rsidRDefault="00F57E6D" w:rsidP="00F57E6D">
      <w:pPr>
        <w:spacing w:before="120"/>
        <w:jc w:val="both"/>
        <w:textAlignment w:val="baseline"/>
      </w:pPr>
      <w:r w:rsidRPr="00F57E6D">
        <w:t>Conformément au §2, 1° et 3° de l’article D.V</w:t>
      </w:r>
      <w:r w:rsidR="0032021A">
        <w:t>I</w:t>
      </w:r>
      <w:r w:rsidRPr="00F57E6D">
        <w:t xml:space="preserve">.64 susvisé : Sont dispensés de la </w:t>
      </w:r>
      <w:r w:rsidR="001044C0" w:rsidRPr="00F57E6D">
        <w:t>taxe :</w:t>
      </w:r>
    </w:p>
    <w:p w14:paraId="7B159577" w14:textId="2A1BC3D2" w:rsidR="00F57E6D" w:rsidRPr="00F57E6D" w:rsidRDefault="00F57E6D" w:rsidP="00F57E6D">
      <w:pPr>
        <w:numPr>
          <w:ilvl w:val="0"/>
          <w:numId w:val="70"/>
        </w:numPr>
        <w:spacing w:before="120"/>
        <w:jc w:val="both"/>
        <w:textAlignment w:val="baseline"/>
      </w:pPr>
      <w:r w:rsidRPr="00F57E6D">
        <w:t xml:space="preserve"> 1°. </w:t>
      </w:r>
      <w:proofErr w:type="gramStart"/>
      <w:r w:rsidRPr="00F57E6D">
        <w:t>les</w:t>
      </w:r>
      <w:proofErr w:type="gramEnd"/>
      <w:r w:rsidRPr="00F57E6D">
        <w:t xml:space="preserve"> propriétaires d’un seul terrain non bâti à l’exclusion de tout autre bien </w:t>
      </w:r>
      <w:r w:rsidR="001044C0" w:rsidRPr="00F57E6D">
        <w:t>immobilier ;</w:t>
      </w:r>
    </w:p>
    <w:p w14:paraId="0613EF78" w14:textId="77777777" w:rsidR="00F57E6D" w:rsidRPr="00F57E6D" w:rsidRDefault="00F57E6D" w:rsidP="00F57E6D">
      <w:pPr>
        <w:numPr>
          <w:ilvl w:val="0"/>
          <w:numId w:val="70"/>
        </w:numPr>
        <w:spacing w:before="120"/>
        <w:jc w:val="both"/>
        <w:textAlignment w:val="baseline"/>
      </w:pPr>
      <w:r w:rsidRPr="00F57E6D">
        <w:t xml:space="preserve"> 3°. </w:t>
      </w:r>
      <w:proofErr w:type="gramStart"/>
      <w:r w:rsidRPr="00F57E6D">
        <w:t>les</w:t>
      </w:r>
      <w:proofErr w:type="gramEnd"/>
      <w:r w:rsidRPr="00F57E6D">
        <w:t xml:space="preserve"> sociétés de logement de service public.</w:t>
      </w:r>
    </w:p>
    <w:p w14:paraId="45D67E2C" w14:textId="0634101B" w:rsidR="00F57E6D" w:rsidRPr="00F57E6D" w:rsidRDefault="00F57E6D" w:rsidP="00F57E6D">
      <w:pPr>
        <w:spacing w:before="120"/>
        <w:jc w:val="both"/>
        <w:textAlignment w:val="baseline"/>
      </w:pPr>
      <w:r w:rsidRPr="00F57E6D">
        <w:t>La dispense prévue au point 1° ne vaut que durant les cinq exercices qui suivent l’acquisition du bien. Elle vaut durant les cinq exercices qui suivent l’entrée en vigueur du règlement-taxe, lorsque le bien est déjà acquis à ce moment. Ces délais sont suspendus durant tout le temps de la procédure lorsqu’un recours en annulation a été introduit à l’encontre d’un permis relatif audit bien devant le Conseil d’État ou qu’une demande d’interruption des travaux autorisés par le permis est pendante devant une juridiction de l’ordre judiciaire.</w:t>
      </w:r>
    </w:p>
    <w:p w14:paraId="50B344EF" w14:textId="77777777" w:rsidR="00F57E6D" w:rsidRPr="00F57E6D" w:rsidRDefault="00F57E6D" w:rsidP="00F57E6D">
      <w:pPr>
        <w:spacing w:before="120"/>
        <w:jc w:val="both"/>
        <w:textAlignment w:val="baseline"/>
      </w:pPr>
      <w:r w:rsidRPr="00F57E6D">
        <w:t xml:space="preserve">Suivant le §3, alinéa 2 de l’article dont objet, la taxe n’est pas applicable aux terrains sur lesquels il n’est pas permis de bâtir en vertu d’une décision de l’autorité ou lorsqu’il n’est pas </w:t>
      </w:r>
      <w:r w:rsidRPr="00F57E6D">
        <w:lastRenderedPageBreak/>
        <w:t>possible de le faire ou lorsque le ou les terrains sont effectivement utilisés professionnellement à des fins agricoles ou horticoles.</w:t>
      </w:r>
    </w:p>
    <w:p w14:paraId="086874B2" w14:textId="25DA5F21" w:rsidR="00F57E6D" w:rsidRPr="00F57E6D" w:rsidRDefault="00F57E6D" w:rsidP="00F57E6D">
      <w:pPr>
        <w:spacing w:before="120"/>
        <w:jc w:val="both"/>
        <w:textAlignment w:val="baseline"/>
      </w:pPr>
      <w:r w:rsidRPr="00F57E6D">
        <w:t>Au vu de la jurisprudence du Conseil d'Etat</w:t>
      </w:r>
      <w:r w:rsidR="00F6098C">
        <w:rPr>
          <w:rStyle w:val="Appelnotedebasdep"/>
        </w:rPr>
        <w:footnoteReference w:id="186"/>
      </w:r>
      <w:r w:rsidRPr="00F57E6D">
        <w:t xml:space="preserve">, la taxe sur les parcelles non bâties comprises dans un lotissement non périmé et sur les terrains non bâtis situés (hors lotissement) dans une zone d'habitat, d'habitat à caractère rural ou de constructions prévues par un plan d'aménagement en vigueur et en bordure d'une voie publique suffisamment équipée, en eau et électricité, pourvue d'un revêtement solide et d'une largeur suffisante, compte tenu de la situation des lieux sont deux taxes différentes qui peuvent être votées individuellement. </w:t>
      </w:r>
    </w:p>
    <w:p w14:paraId="2A518B69" w14:textId="77777777" w:rsidR="00F57E6D" w:rsidRPr="00F57E6D" w:rsidRDefault="00F57E6D" w:rsidP="00F57E6D">
      <w:pPr>
        <w:spacing w:before="120"/>
        <w:jc w:val="both"/>
        <w:textAlignment w:val="baseline"/>
      </w:pPr>
      <w:r w:rsidRPr="00F57E6D">
        <w:t>Je recommande aux communes de voter un règlement spécifique à chaque objet et d'inscrire les recettes provenant de la taxe sur les parcelles non bâties à l'article budgétaire 04001/367-09 et celles provenant de la taxe sur les terrains non bâtis au 04002/367-09.</w:t>
      </w:r>
    </w:p>
    <w:p w14:paraId="155DFE35" w14:textId="4508974B" w:rsidR="00F57E6D" w:rsidRDefault="00F57E6D">
      <w:pPr>
        <w:spacing w:before="120" w:after="240"/>
        <w:jc w:val="both"/>
        <w:textAlignment w:val="baseline"/>
      </w:pPr>
      <w:r w:rsidRPr="00F57E6D">
        <w:t xml:space="preserve">Les communes sont priées de se référer à l’article D.VI.64 du </w:t>
      </w:r>
      <w:proofErr w:type="spellStart"/>
      <w:r w:rsidRPr="00F57E6D">
        <w:t>CoDT</w:t>
      </w:r>
      <w:proofErr w:type="spellEnd"/>
      <w:r w:rsidRPr="00F57E6D">
        <w:t xml:space="preserve"> pour plus de précisions sur les conditions légales dans lesquelles cette imposition peut être levée.</w:t>
      </w:r>
    </w:p>
    <w:p w14:paraId="32997519" w14:textId="77777777" w:rsidR="00371232" w:rsidRPr="00DA6BD2" w:rsidRDefault="008A21AC" w:rsidP="00256E9F">
      <w:pPr>
        <w:pStyle w:val="Sam3"/>
      </w:pPr>
      <w:bookmarkStart w:id="7545" w:name="_Toc6415836"/>
      <w:bookmarkStart w:id="7546" w:name="_Toc6416145"/>
      <w:bookmarkStart w:id="7547" w:name="_Toc6995750"/>
      <w:bookmarkStart w:id="7548" w:name="_Toc6996054"/>
      <w:bookmarkStart w:id="7549" w:name="_Toc6996349"/>
      <w:bookmarkStart w:id="7550" w:name="_Toc6997834"/>
      <w:bookmarkStart w:id="7551" w:name="_Toc7016610"/>
      <w:bookmarkStart w:id="7552" w:name="_Toc7020778"/>
      <w:bookmarkStart w:id="7553" w:name="_Toc7094850"/>
      <w:bookmarkStart w:id="7554" w:name="_Toc8121887"/>
      <w:bookmarkStart w:id="7555" w:name="_Toc8129828"/>
      <w:bookmarkStart w:id="7556" w:name="_Toc516739943"/>
      <w:bookmarkStart w:id="7557" w:name="_Toc516751852"/>
      <w:bookmarkStart w:id="7558" w:name="_Toc516825940"/>
      <w:bookmarkStart w:id="7559" w:name="_Toc516826498"/>
      <w:bookmarkStart w:id="7560" w:name="_Toc516837818"/>
      <w:bookmarkStart w:id="7561" w:name="_Toc516838377"/>
      <w:bookmarkStart w:id="7562" w:name="_Toc516838936"/>
      <w:bookmarkStart w:id="7563" w:name="_Toc516839496"/>
      <w:bookmarkStart w:id="7564" w:name="_Toc517173592"/>
      <w:bookmarkStart w:id="7565" w:name="_Toc517175266"/>
      <w:bookmarkStart w:id="7566" w:name="_Toc517175853"/>
      <w:bookmarkStart w:id="7567" w:name="_Toc517176441"/>
      <w:bookmarkStart w:id="7568" w:name="_Toc517337766"/>
      <w:bookmarkStart w:id="7569" w:name="_Toc517360562"/>
      <w:bookmarkStart w:id="7570" w:name="_Toc516245177"/>
      <w:bookmarkStart w:id="7571" w:name="_Toc516473748"/>
      <w:bookmarkStart w:id="7572" w:name="_Toc516474058"/>
      <w:bookmarkStart w:id="7573" w:name="_Toc516474366"/>
      <w:bookmarkStart w:id="7574" w:name="_Toc516474674"/>
      <w:bookmarkStart w:id="7575" w:name="_Toc516475006"/>
      <w:bookmarkStart w:id="7576" w:name="_Toc516479093"/>
      <w:bookmarkStart w:id="7577" w:name="_Toc516479504"/>
      <w:bookmarkStart w:id="7578" w:name="_Toc516479821"/>
      <w:bookmarkStart w:id="7579" w:name="_Toc516480143"/>
      <w:bookmarkStart w:id="7580" w:name="_Toc516480457"/>
      <w:bookmarkStart w:id="7581" w:name="_Toc516480771"/>
      <w:bookmarkStart w:id="7582" w:name="_Toc516481085"/>
      <w:bookmarkStart w:id="7583" w:name="_Toc516481399"/>
      <w:bookmarkStart w:id="7584" w:name="_Toc516481713"/>
      <w:bookmarkStart w:id="7585" w:name="_Toc516482027"/>
      <w:bookmarkStart w:id="7586" w:name="_Toc516482341"/>
      <w:bookmarkStart w:id="7587" w:name="_Toc516482655"/>
      <w:bookmarkStart w:id="7588" w:name="_Toc516739944"/>
      <w:bookmarkStart w:id="7589" w:name="_Toc516751853"/>
      <w:bookmarkStart w:id="7590" w:name="_Toc516825941"/>
      <w:bookmarkStart w:id="7591" w:name="_Toc516826499"/>
      <w:bookmarkStart w:id="7592" w:name="_Toc516837819"/>
      <w:bookmarkStart w:id="7593" w:name="_Toc516838378"/>
      <w:bookmarkStart w:id="7594" w:name="_Toc516838937"/>
      <w:bookmarkStart w:id="7595" w:name="_Toc516839497"/>
      <w:bookmarkStart w:id="7596" w:name="_Toc517173593"/>
      <w:bookmarkStart w:id="7597" w:name="_Toc517175267"/>
      <w:bookmarkStart w:id="7598" w:name="_Toc517175854"/>
      <w:bookmarkStart w:id="7599" w:name="_Toc517176442"/>
      <w:bookmarkStart w:id="7600" w:name="_Toc517337767"/>
      <w:bookmarkStart w:id="7601" w:name="_Toc517360563"/>
      <w:bookmarkStart w:id="7602" w:name="_Toc74557812"/>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r>
        <w:t>040/367-11 : A</w:t>
      </w:r>
      <w:r w:rsidR="00996D79">
        <w:t>bsence d’emplacement de parcage</w:t>
      </w:r>
      <w:bookmarkEnd w:id="7602"/>
    </w:p>
    <w:p w14:paraId="442E070A" w14:textId="48D8AB48" w:rsidR="00B866BD" w:rsidRDefault="00B866BD" w:rsidP="008D7EB7">
      <w:pPr>
        <w:tabs>
          <w:tab w:val="left" w:leader="dot" w:pos="6840"/>
        </w:tabs>
        <w:spacing w:before="120" w:after="240"/>
        <w:jc w:val="both"/>
        <w:textAlignment w:val="baseline"/>
        <w:rPr>
          <w:rFonts w:asciiTheme="minorHAnsi" w:hAnsiTheme="minorHAnsi" w:cs="Calibri Light"/>
        </w:rPr>
      </w:pPr>
      <w:r w:rsidRPr="00E063FD">
        <w:rPr>
          <w:rFonts w:asciiTheme="minorHAnsi" w:hAnsiTheme="minorHAnsi" w:cs="Calibri Light"/>
        </w:rPr>
        <w:t>Taux maximum recommandé</w:t>
      </w:r>
      <w:r>
        <w:rPr>
          <w:rFonts w:asciiTheme="minorHAnsi" w:hAnsiTheme="minorHAnsi" w:cs="Calibri Light"/>
        </w:rPr>
        <w:t xml:space="preserve"> </w:t>
      </w:r>
      <w:r w:rsidRPr="00E063FD">
        <w:rPr>
          <w:rFonts w:asciiTheme="minorHAnsi" w:hAnsiTheme="minorHAnsi" w:cs="Calibri Light"/>
        </w:rPr>
        <w:t xml:space="preserve">: </w:t>
      </w:r>
      <w:r w:rsidR="000C0420" w:rsidRPr="00F6098C">
        <w:rPr>
          <w:rFonts w:asciiTheme="minorHAnsi" w:hAnsiTheme="minorHAnsi" w:cs="Calibri Light"/>
        </w:rPr>
        <w:t>6.000</w:t>
      </w:r>
      <w:r w:rsidR="00F6098C" w:rsidRPr="008D7EB7">
        <w:rPr>
          <w:rFonts w:asciiTheme="minorHAnsi" w:hAnsiTheme="minorHAnsi" w:cs="Calibri Light"/>
        </w:rPr>
        <w:t>,00</w:t>
      </w:r>
      <w:r w:rsidR="000C0420" w:rsidRPr="00F6098C">
        <w:rPr>
          <w:rFonts w:asciiTheme="minorHAnsi" w:hAnsiTheme="minorHAnsi" w:cs="Calibri Light"/>
        </w:rPr>
        <w:t xml:space="preserve"> </w:t>
      </w:r>
      <w:r w:rsidRPr="00F6098C">
        <w:rPr>
          <w:rFonts w:asciiTheme="minorHAnsi" w:hAnsiTheme="minorHAnsi" w:cs="Calibri Light"/>
        </w:rPr>
        <w:t>euros</w:t>
      </w:r>
      <w:r w:rsidR="00F500AC">
        <w:rPr>
          <w:rFonts w:asciiTheme="minorHAnsi" w:hAnsiTheme="minorHAnsi" w:cs="Calibri Light"/>
        </w:rPr>
        <w:t xml:space="preserve"> </w:t>
      </w:r>
      <w:r w:rsidRPr="00E063FD">
        <w:rPr>
          <w:rFonts w:asciiTheme="minorHAnsi" w:hAnsiTheme="minorHAnsi" w:cs="Calibri Light"/>
        </w:rPr>
        <w:t>par emplacement de parcage manquant au vu du nombre d'emplacements exigés dans le permis d'urbanisme/d'urbanisation/unique. La taxe n'est due qu'une seule fois, au moment de la construction de l'immeuble. Elle est due par le promoteur.</w:t>
      </w:r>
    </w:p>
    <w:p w14:paraId="7F23AA3A" w14:textId="77777777" w:rsidR="00F915F6" w:rsidRDefault="000C1637" w:rsidP="00256E9F">
      <w:pPr>
        <w:tabs>
          <w:tab w:val="left" w:leader="dot" w:pos="6840"/>
        </w:tabs>
        <w:spacing w:before="120"/>
        <w:jc w:val="both"/>
        <w:textAlignment w:val="baseline"/>
        <w:rPr>
          <w:rFonts w:asciiTheme="minorHAnsi" w:hAnsiTheme="minorHAnsi" w:cs="Calibri Light"/>
        </w:rPr>
      </w:pPr>
      <w:r w:rsidRPr="00256E9F">
        <w:rPr>
          <w:rFonts w:asciiTheme="minorHAnsi" w:hAnsiTheme="minorHAnsi" w:cs="Calibri Light"/>
          <w:b/>
          <w:bCs/>
        </w:rPr>
        <w:t>Il est possible</w:t>
      </w:r>
      <w:r>
        <w:rPr>
          <w:rFonts w:asciiTheme="minorHAnsi" w:hAnsiTheme="minorHAnsi" w:cs="Calibri Light"/>
        </w:rPr>
        <w:t xml:space="preserve"> d’exonérer de la taxe les logements qui ont été réhabilités </w:t>
      </w:r>
      <w:proofErr w:type="gramStart"/>
      <w:r>
        <w:rPr>
          <w:rFonts w:asciiTheme="minorHAnsi" w:hAnsiTheme="minorHAnsi" w:cs="Calibri Light"/>
        </w:rPr>
        <w:t>suite à</w:t>
      </w:r>
      <w:proofErr w:type="gramEnd"/>
      <w:r>
        <w:rPr>
          <w:rFonts w:asciiTheme="minorHAnsi" w:hAnsiTheme="minorHAnsi" w:cs="Calibri Light"/>
        </w:rPr>
        <w:t xml:space="preserve"> l’AGW du 21 octobre 2021</w:t>
      </w:r>
      <w:r>
        <w:rPr>
          <w:rStyle w:val="Appelnotedebasdep"/>
          <w:rFonts w:asciiTheme="minorHAnsi" w:hAnsiTheme="minorHAnsi" w:cs="Calibri Light"/>
        </w:rPr>
        <w:footnoteReference w:id="187"/>
      </w:r>
      <w:r>
        <w:rPr>
          <w:rFonts w:asciiTheme="minorHAnsi" w:hAnsiTheme="minorHAnsi" w:cs="Calibri Light"/>
        </w:rPr>
        <w:t xml:space="preserve"> </w:t>
      </w:r>
      <w:r w:rsidRPr="000C1637">
        <w:rPr>
          <w:rFonts w:asciiTheme="minorHAnsi" w:hAnsiTheme="minorHAnsi" w:cs="Calibri Light"/>
        </w:rPr>
        <w:t>portant approbation du règlement visant à octroyer des</w:t>
      </w:r>
      <w:r>
        <w:rPr>
          <w:rFonts w:asciiTheme="minorHAnsi" w:hAnsiTheme="minorHAnsi" w:cs="Calibri Light"/>
        </w:rPr>
        <w:t xml:space="preserve"> </w:t>
      </w:r>
      <w:r w:rsidRPr="000C1637">
        <w:rPr>
          <w:rFonts w:asciiTheme="minorHAnsi" w:hAnsiTheme="minorHAnsi" w:cs="Calibri Light"/>
        </w:rPr>
        <w:t>aides sous forme de crédits et subventions, par le Fonds du logement des familles nombreuses de Wallonie, en</w:t>
      </w:r>
      <w:r>
        <w:rPr>
          <w:rFonts w:asciiTheme="minorHAnsi" w:hAnsiTheme="minorHAnsi" w:cs="Calibri Light"/>
        </w:rPr>
        <w:t xml:space="preserve"> </w:t>
      </w:r>
      <w:r w:rsidRPr="000C1637">
        <w:rPr>
          <w:rFonts w:asciiTheme="minorHAnsi" w:hAnsiTheme="minorHAnsi" w:cs="Calibri Light"/>
        </w:rPr>
        <w:t>vue d’effectuer des travaux de réhabilitation et de restructuration dans les étages inoccupés des rez-de-chaussée</w:t>
      </w:r>
      <w:r>
        <w:rPr>
          <w:rFonts w:asciiTheme="minorHAnsi" w:hAnsiTheme="minorHAnsi" w:cs="Calibri Light"/>
        </w:rPr>
        <w:t xml:space="preserve"> </w:t>
      </w:r>
      <w:r w:rsidRPr="000C1637">
        <w:rPr>
          <w:rFonts w:asciiTheme="minorHAnsi" w:hAnsiTheme="minorHAnsi" w:cs="Calibri Light"/>
        </w:rPr>
        <w:t>commerciaux pris en gestion ou en location par un opérateur</w:t>
      </w:r>
      <w:r>
        <w:rPr>
          <w:rFonts w:asciiTheme="minorHAnsi" w:hAnsiTheme="minorHAnsi" w:cs="Calibri Light"/>
        </w:rPr>
        <w:t>. Une telle exonération se justifie comme une aide supplémentaire à la création de logements dans de tels immeubles.</w:t>
      </w:r>
    </w:p>
    <w:p w14:paraId="02900B01" w14:textId="16467393" w:rsidR="00DB3B9D" w:rsidRDefault="00616120" w:rsidP="00F915F6">
      <w:pPr>
        <w:tabs>
          <w:tab w:val="left" w:leader="dot" w:pos="6840"/>
        </w:tabs>
        <w:spacing w:before="120"/>
        <w:jc w:val="both"/>
        <w:textAlignment w:val="baseline"/>
        <w:rPr>
          <w:rFonts w:asciiTheme="minorHAnsi" w:hAnsiTheme="minorHAnsi" w:cs="Calibri Light"/>
        </w:rPr>
      </w:pPr>
      <w:r w:rsidRPr="00A65F14">
        <w:rPr>
          <w:rFonts w:asciiTheme="minorHAnsi" w:hAnsiTheme="minorHAnsi" w:cs="Calibri Light"/>
          <w:b/>
          <w:bCs/>
          <w:u w:val="single"/>
        </w:rPr>
        <w:t>Remarque</w:t>
      </w:r>
      <w:r w:rsidRPr="00F915F6">
        <w:rPr>
          <w:rFonts w:asciiTheme="minorHAnsi" w:hAnsiTheme="minorHAnsi" w:cs="Calibri Light"/>
          <w:b/>
          <w:bCs/>
        </w:rPr>
        <w:t xml:space="preserve"> : </w:t>
      </w:r>
      <w:r w:rsidR="0020033A">
        <w:rPr>
          <w:rFonts w:asciiTheme="minorHAnsi" w:hAnsiTheme="minorHAnsi" w:cs="Calibri Light"/>
        </w:rPr>
        <w:t>C</w:t>
      </w:r>
      <w:r>
        <w:rPr>
          <w:rFonts w:asciiTheme="minorHAnsi" w:hAnsiTheme="minorHAnsi" w:cs="Calibri Light"/>
        </w:rPr>
        <w:t>oncernant une exonération éventuelle en faveur des bâtiments publics, j’attire fortement votre attention sur la jurisprudence</w:t>
      </w:r>
      <w:r w:rsidRPr="00616120">
        <w:t xml:space="preserve"> </w:t>
      </w:r>
      <w:r w:rsidRPr="00616120">
        <w:rPr>
          <w:rFonts w:asciiTheme="minorHAnsi" w:hAnsiTheme="minorHAnsi" w:cs="Calibri Light"/>
        </w:rPr>
        <w:t xml:space="preserve">qui considère qu’il est discriminatoire de faire une différence de traitement entre les logements privés et publics. La jurisprudence </w:t>
      </w:r>
      <w:r>
        <w:rPr>
          <w:rFonts w:asciiTheme="minorHAnsi" w:hAnsiTheme="minorHAnsi" w:cs="Calibri Light"/>
        </w:rPr>
        <w:t>rappelle ainsi</w:t>
      </w:r>
      <w:r w:rsidRPr="00616120">
        <w:rPr>
          <w:rFonts w:asciiTheme="minorHAnsi" w:hAnsiTheme="minorHAnsi" w:cs="Calibri Light"/>
        </w:rPr>
        <w:t xml:space="preserve"> que, selon le principe d'égalité des citoyens devant l'impôt, un régime fiscal différent peut être établi à l'égard de certaines catégories de contribuables à condition que ce régime soit objectivement et raisonnablement justifié. </w:t>
      </w:r>
    </w:p>
    <w:p w14:paraId="4E105E53" w14:textId="13D58D07" w:rsidR="00616120" w:rsidRDefault="00616120" w:rsidP="00256E9F">
      <w:pPr>
        <w:tabs>
          <w:tab w:val="left" w:leader="dot" w:pos="6840"/>
        </w:tabs>
        <w:spacing w:before="120" w:after="120"/>
        <w:jc w:val="both"/>
        <w:textAlignment w:val="baseline"/>
        <w:rPr>
          <w:rFonts w:asciiTheme="minorHAnsi" w:hAnsiTheme="minorHAnsi" w:cs="Calibri Light"/>
        </w:rPr>
      </w:pPr>
      <w:r w:rsidRPr="00616120">
        <w:rPr>
          <w:rFonts w:asciiTheme="minorHAnsi" w:hAnsiTheme="minorHAnsi" w:cs="Calibri Light"/>
        </w:rPr>
        <w:t>L'existence d'une pareille justification doit s'apprécier par rapport au but et aux effets de la taxe établie et aux liens de proportionnalité raisonnable entre les moyens utilisés et le but poursuivi.</w:t>
      </w:r>
      <w:r>
        <w:rPr>
          <w:rFonts w:asciiTheme="minorHAnsi" w:hAnsiTheme="minorHAnsi" w:cs="Calibri Light"/>
        </w:rPr>
        <w:t xml:space="preserve"> Il est donc primordial de justifier</w:t>
      </w:r>
      <w:r w:rsidR="0020033A">
        <w:rPr>
          <w:rFonts w:asciiTheme="minorHAnsi" w:hAnsiTheme="minorHAnsi" w:cs="Calibri Light"/>
        </w:rPr>
        <w:t xml:space="preserve"> en suffisance les raisons justifiant un traitement différencié.</w:t>
      </w:r>
    </w:p>
    <w:p w14:paraId="1D42B1B6" w14:textId="49306226" w:rsidR="0020033A" w:rsidRDefault="0020033A" w:rsidP="008D7EB7">
      <w:pPr>
        <w:tabs>
          <w:tab w:val="left" w:leader="dot" w:pos="6840"/>
        </w:tabs>
        <w:spacing w:before="120" w:after="240"/>
        <w:jc w:val="both"/>
        <w:textAlignment w:val="baseline"/>
        <w:rPr>
          <w:rFonts w:asciiTheme="minorHAnsi" w:hAnsiTheme="minorHAnsi" w:cs="Calibri Light"/>
        </w:rPr>
      </w:pPr>
      <w:r>
        <w:rPr>
          <w:rFonts w:asciiTheme="minorHAnsi" w:hAnsiTheme="minorHAnsi" w:cs="Calibri Light"/>
        </w:rPr>
        <w:t>Pour le surplus je vous renvoie au point VI.4.6 « Exonération en faveur des bâtiments publics ».</w:t>
      </w:r>
    </w:p>
    <w:p w14:paraId="60323A8C" w14:textId="77777777" w:rsidR="0094525A" w:rsidRDefault="0094525A" w:rsidP="008D7EB7">
      <w:pPr>
        <w:tabs>
          <w:tab w:val="left" w:leader="dot" w:pos="6840"/>
        </w:tabs>
        <w:spacing w:before="120" w:after="240"/>
        <w:jc w:val="both"/>
        <w:textAlignment w:val="baseline"/>
        <w:rPr>
          <w:rFonts w:asciiTheme="minorHAnsi" w:hAnsiTheme="minorHAnsi" w:cs="Calibri Light"/>
        </w:rPr>
      </w:pPr>
    </w:p>
    <w:p w14:paraId="6B941EFB" w14:textId="77777777" w:rsidR="00616120" w:rsidRPr="0094525A" w:rsidRDefault="00616120" w:rsidP="007C013F">
      <w:pPr>
        <w:tabs>
          <w:tab w:val="left" w:leader="dot" w:pos="6840"/>
        </w:tabs>
        <w:spacing w:before="120"/>
        <w:jc w:val="both"/>
        <w:textAlignment w:val="baseline"/>
        <w:rPr>
          <w:rFonts w:asciiTheme="minorHAnsi" w:hAnsiTheme="minorHAnsi" w:cs="Calibri Light"/>
          <w:sz w:val="2"/>
          <w:szCs w:val="2"/>
        </w:rPr>
      </w:pPr>
    </w:p>
    <w:p w14:paraId="34D0E4FF" w14:textId="77777777" w:rsidR="00705A12" w:rsidRDefault="008A21AC" w:rsidP="00256E9F">
      <w:pPr>
        <w:pStyle w:val="Sam3"/>
      </w:pPr>
      <w:bookmarkStart w:id="7603" w:name="_Toc516739946"/>
      <w:bookmarkStart w:id="7604" w:name="_Toc516751855"/>
      <w:bookmarkStart w:id="7605" w:name="_Toc516825943"/>
      <w:bookmarkStart w:id="7606" w:name="_Toc516826501"/>
      <w:bookmarkStart w:id="7607" w:name="_Toc516837821"/>
      <w:bookmarkStart w:id="7608" w:name="_Toc516838380"/>
      <w:bookmarkStart w:id="7609" w:name="_Toc516838939"/>
      <w:bookmarkStart w:id="7610" w:name="_Toc516839499"/>
      <w:bookmarkStart w:id="7611" w:name="_Toc517173595"/>
      <w:bookmarkStart w:id="7612" w:name="_Toc517175269"/>
      <w:bookmarkStart w:id="7613" w:name="_Toc517175856"/>
      <w:bookmarkStart w:id="7614" w:name="_Toc517176444"/>
      <w:bookmarkStart w:id="7615" w:name="_Toc517337769"/>
      <w:bookmarkStart w:id="7616" w:name="_Toc517360565"/>
      <w:bookmarkStart w:id="7617" w:name="_Toc74557813"/>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r>
        <w:lastRenderedPageBreak/>
        <w:t>040/367-13 : S</w:t>
      </w:r>
      <w:r w:rsidR="00996D79">
        <w:t>econdes résidences</w:t>
      </w:r>
      <w:bookmarkEnd w:id="7617"/>
      <w:r w:rsidR="00996D79">
        <w:t xml:space="preserve"> </w:t>
      </w:r>
    </w:p>
    <w:p w14:paraId="4CEDE6B9" w14:textId="77777777" w:rsidR="00996D79" w:rsidRPr="00E063FD" w:rsidRDefault="00705A12" w:rsidP="00256E9F">
      <w:pPr>
        <w:spacing w:before="120"/>
        <w:rPr>
          <w:lang w:val="fr-BE"/>
        </w:rPr>
      </w:pPr>
      <w:r w:rsidRPr="00E063FD">
        <w:rPr>
          <w:lang w:val="fr-BE"/>
        </w:rPr>
        <w:t>T</w:t>
      </w:r>
      <w:r w:rsidR="00996D79" w:rsidRPr="00E063FD">
        <w:rPr>
          <w:lang w:val="fr-BE"/>
        </w:rPr>
        <w:t>axe directe</w:t>
      </w:r>
      <w:r w:rsidRPr="006126A1">
        <w:t xml:space="preserve"> – Modèle disponible</w:t>
      </w:r>
      <w:r w:rsidRPr="00E063FD">
        <w:rPr>
          <w:lang w:val="fr-BE"/>
        </w:rPr>
        <w:t>.</w:t>
      </w:r>
    </w:p>
    <w:p w14:paraId="5DB92A1C" w14:textId="3C1A4A3C" w:rsidR="009B153C" w:rsidRPr="00DA6BD2" w:rsidRDefault="009B153C" w:rsidP="007A10F4">
      <w:pPr>
        <w:spacing w:before="120"/>
        <w:jc w:val="both"/>
        <w:textAlignment w:val="baseline"/>
        <w:rPr>
          <w:rFonts w:asciiTheme="minorHAnsi" w:hAnsiTheme="minorHAnsi" w:cs="Calibri Light"/>
        </w:rPr>
      </w:pPr>
      <w:r w:rsidRPr="00DA6BD2">
        <w:rPr>
          <w:rFonts w:asciiTheme="minorHAnsi" w:hAnsiTheme="minorHAnsi" w:cs="Calibri Light"/>
        </w:rPr>
        <w:t>Par seconde résidence, il faut entendre tout logement, existant au</w:t>
      </w:r>
      <w:r w:rsidR="007A10F4">
        <w:rPr>
          <w:rFonts w:asciiTheme="minorHAnsi" w:hAnsiTheme="minorHAnsi" w:cs="Calibri Light"/>
        </w:rPr>
        <w:t xml:space="preserve"> … </w:t>
      </w:r>
      <w:r w:rsidR="00C744AE">
        <w:rPr>
          <w:rFonts w:asciiTheme="minorHAnsi" w:hAnsiTheme="minorHAnsi" w:cs="Calibri Light"/>
        </w:rPr>
        <w:t>(date à fixer par la commune mais en général, c’est le 1</w:t>
      </w:r>
      <w:r w:rsidR="00C744AE" w:rsidRPr="008D7EB7">
        <w:rPr>
          <w:rFonts w:asciiTheme="minorHAnsi" w:hAnsiTheme="minorHAnsi" w:cs="Calibri Light"/>
          <w:vertAlign w:val="superscript"/>
        </w:rPr>
        <w:t>er</w:t>
      </w:r>
      <w:r w:rsidR="00C744AE">
        <w:rPr>
          <w:rFonts w:asciiTheme="minorHAnsi" w:hAnsiTheme="minorHAnsi" w:cs="Calibri Light"/>
        </w:rPr>
        <w:t xml:space="preserve"> janvier) </w:t>
      </w:r>
      <w:r w:rsidRPr="00DA6BD2">
        <w:rPr>
          <w:rFonts w:asciiTheme="minorHAnsi" w:hAnsiTheme="minorHAnsi" w:cs="Calibri Light"/>
        </w:rPr>
        <w:t>de</w:t>
      </w:r>
      <w:r w:rsidR="007A10F4">
        <w:rPr>
          <w:rFonts w:asciiTheme="minorHAnsi" w:hAnsiTheme="minorHAnsi" w:cs="Calibri Light"/>
        </w:rPr>
        <w:t xml:space="preserve"> </w:t>
      </w:r>
      <w:r w:rsidRPr="00DA6BD2">
        <w:rPr>
          <w:rFonts w:asciiTheme="minorHAnsi" w:hAnsiTheme="minorHAnsi" w:cs="Calibri Light"/>
        </w:rPr>
        <w:t>l'exercice d'imposition, dont la personne pouvant l'occuper à cette date n'est pas, à la même date, inscrite, pour ce logement, au registre de la population ou au registre des étrangers.</w:t>
      </w:r>
    </w:p>
    <w:p w14:paraId="23916B63" w14:textId="77777777" w:rsidR="00903F42" w:rsidRPr="0027625F" w:rsidRDefault="00903F42" w:rsidP="00903F42">
      <w:pPr>
        <w:tabs>
          <w:tab w:val="left" w:leader="dot" w:pos="6840"/>
        </w:tabs>
        <w:spacing w:before="120"/>
        <w:jc w:val="both"/>
        <w:textAlignment w:val="baseline"/>
        <w:rPr>
          <w:rFonts w:asciiTheme="minorHAnsi" w:hAnsiTheme="minorHAnsi" w:cs="Calibri Light"/>
        </w:rPr>
      </w:pPr>
      <w:r w:rsidRPr="0027625F">
        <w:rPr>
          <w:rFonts w:asciiTheme="minorHAnsi" w:hAnsiTheme="minorHAnsi" w:cs="Calibri Light"/>
        </w:rPr>
        <w:t>Au vu de cette définition la qualité de seconde résidence peut se concrétiser :</w:t>
      </w:r>
    </w:p>
    <w:p w14:paraId="1CD16812" w14:textId="5C2FBEC3" w:rsidR="00903F42" w:rsidRPr="0027625F" w:rsidRDefault="00903F42"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27625F">
        <w:rPr>
          <w:rFonts w:asciiTheme="minorHAnsi" w:hAnsiTheme="minorHAnsi" w:cs="Calibri Light"/>
        </w:rPr>
        <w:t>dans</w:t>
      </w:r>
      <w:proofErr w:type="gramEnd"/>
      <w:r w:rsidRPr="0027625F">
        <w:rPr>
          <w:rFonts w:asciiTheme="minorHAnsi" w:hAnsiTheme="minorHAnsi" w:cs="Calibri Light"/>
        </w:rPr>
        <w:t xml:space="preserve"> le chef d’un propriétaire (qui n’est pas inscrit, pour ce logement, au registre de la population ou au registre des étrangers et qui n’y a pas mis de locataire)</w:t>
      </w:r>
      <w:r w:rsidR="00F6098C">
        <w:rPr>
          <w:rFonts w:asciiTheme="minorHAnsi" w:hAnsiTheme="minorHAnsi" w:cs="Calibri Light"/>
        </w:rPr>
        <w:t> ;</w:t>
      </w:r>
      <w:r w:rsidRPr="0027625F">
        <w:rPr>
          <w:rFonts w:asciiTheme="minorHAnsi" w:hAnsiTheme="minorHAnsi" w:cs="Calibri Light"/>
        </w:rPr>
        <w:t xml:space="preserve"> </w:t>
      </w:r>
    </w:p>
    <w:p w14:paraId="544EC2EC" w14:textId="4EA0815F" w:rsidR="003B0359" w:rsidRPr="0027625F" w:rsidRDefault="00903F42"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27625F">
        <w:rPr>
          <w:rFonts w:asciiTheme="minorHAnsi" w:hAnsiTheme="minorHAnsi" w:cs="Calibri Light"/>
        </w:rPr>
        <w:t>dans</w:t>
      </w:r>
      <w:proofErr w:type="gramEnd"/>
      <w:r w:rsidRPr="0027625F">
        <w:rPr>
          <w:rFonts w:asciiTheme="minorHAnsi" w:hAnsiTheme="minorHAnsi" w:cs="Calibri Light"/>
        </w:rPr>
        <w:t xml:space="preserve"> le chef d’un locataire</w:t>
      </w:r>
      <w:r w:rsidR="00F6098C">
        <w:rPr>
          <w:rFonts w:asciiTheme="minorHAnsi" w:hAnsiTheme="minorHAnsi" w:cs="Calibri Light"/>
        </w:rPr>
        <w:t> :</w:t>
      </w:r>
    </w:p>
    <w:p w14:paraId="2892295F" w14:textId="101E1481" w:rsidR="00903F42" w:rsidRPr="0027625F" w:rsidRDefault="00CA4BFA"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F6098C">
        <w:rPr>
          <w:rFonts w:asciiTheme="minorHAnsi" w:hAnsiTheme="minorHAnsi" w:cs="Calibri Light"/>
        </w:rPr>
        <w:t>dans</w:t>
      </w:r>
      <w:proofErr w:type="gramEnd"/>
      <w:r w:rsidRPr="00F6098C">
        <w:rPr>
          <w:rFonts w:asciiTheme="minorHAnsi" w:hAnsiTheme="minorHAnsi" w:cs="Calibri Light"/>
        </w:rPr>
        <w:t xml:space="preserve"> le chef d’un titulaire de tout</w:t>
      </w:r>
      <w:r w:rsidRPr="0027625F">
        <w:rPr>
          <w:rFonts w:asciiTheme="minorHAnsi" w:hAnsiTheme="minorHAnsi" w:cs="Calibri Light"/>
        </w:rPr>
        <w:t xml:space="preserve"> droit réel </w:t>
      </w:r>
      <w:r w:rsidR="00903F42" w:rsidRPr="0027625F">
        <w:rPr>
          <w:rFonts w:asciiTheme="minorHAnsi" w:hAnsiTheme="minorHAnsi" w:cs="Calibri Light"/>
        </w:rPr>
        <w:t>(</w:t>
      </w:r>
      <w:r w:rsidRPr="0027625F">
        <w:rPr>
          <w:rFonts w:asciiTheme="minorHAnsi" w:hAnsiTheme="minorHAnsi" w:cs="Calibri Light"/>
        </w:rPr>
        <w:t>titulaire d’</w:t>
      </w:r>
      <w:r w:rsidR="006F5884" w:rsidRPr="0027625F">
        <w:rPr>
          <w:rFonts w:asciiTheme="minorHAnsi" w:hAnsiTheme="minorHAnsi" w:cs="Calibri Light"/>
        </w:rPr>
        <w:t>un droit réel démembré</w:t>
      </w:r>
      <w:r w:rsidRPr="0027625F">
        <w:rPr>
          <w:rFonts w:asciiTheme="minorHAnsi" w:hAnsiTheme="minorHAnsi" w:cs="Calibri Light"/>
        </w:rPr>
        <w:t xml:space="preserve">, copropriétaires, …, </w:t>
      </w:r>
      <w:r w:rsidR="00903F42" w:rsidRPr="0027625F">
        <w:rPr>
          <w:rFonts w:asciiTheme="minorHAnsi" w:hAnsiTheme="minorHAnsi" w:cs="Calibri Light"/>
        </w:rPr>
        <w:t>qui n’est pas inscrit, pour ce logement, au registre de la population ou au registre des étrangers et qui est domicilié ailleurs).</w:t>
      </w:r>
    </w:p>
    <w:p w14:paraId="5081FCCB" w14:textId="52D2C524"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biens taxés comme seconde résidence ne peuvent donner lieu à l'application d'une taxe pour le séjour des personnes qui les occupent.</w:t>
      </w:r>
    </w:p>
    <w:p w14:paraId="7AE1E498" w14:textId="7C03651B" w:rsidR="00970CB0" w:rsidRPr="00DA6BD2" w:rsidRDefault="00970CB0" w:rsidP="00E063FD">
      <w:pPr>
        <w:spacing w:before="120"/>
        <w:jc w:val="both"/>
        <w:textAlignment w:val="baseline"/>
        <w:rPr>
          <w:rFonts w:asciiTheme="minorHAnsi" w:hAnsiTheme="minorHAnsi" w:cs="Calibri Light"/>
        </w:rPr>
      </w:pPr>
      <w:r w:rsidRPr="00F915F6">
        <w:rPr>
          <w:rFonts w:asciiTheme="minorHAnsi" w:hAnsiTheme="minorHAnsi" w:cs="Calibri Light"/>
        </w:rPr>
        <w:t>Enfin, je vous recommande d’exonérer de la taxe la période couverte par une mise à disposition de la résidence pour des raisons humanitaires.</w:t>
      </w:r>
    </w:p>
    <w:p w14:paraId="4C70FC31" w14:textId="6460644A" w:rsidR="00693611" w:rsidRPr="00256E9F" w:rsidRDefault="00693611" w:rsidP="00E063FD">
      <w:pPr>
        <w:spacing w:before="120"/>
        <w:jc w:val="both"/>
        <w:textAlignment w:val="baseline"/>
        <w:rPr>
          <w:rFonts w:asciiTheme="minorHAnsi" w:hAnsiTheme="minorHAnsi" w:cs="Calibri Light"/>
          <w:b/>
          <w:bCs/>
          <w:spacing w:val="-1"/>
        </w:rPr>
      </w:pPr>
      <w:r w:rsidRPr="00256E9F">
        <w:rPr>
          <w:rFonts w:asciiTheme="minorHAnsi" w:hAnsiTheme="minorHAnsi" w:cs="Calibri Light"/>
          <w:b/>
          <w:bCs/>
          <w:spacing w:val="-1"/>
        </w:rPr>
        <w:t>Les taux maximums recommandés sont :</w:t>
      </w:r>
    </w:p>
    <w:p w14:paraId="71CBB429" w14:textId="6D11CED0" w:rsidR="00DB3B9D" w:rsidRDefault="00693611" w:rsidP="00E063FD">
      <w:pPr>
        <w:spacing w:before="120"/>
        <w:jc w:val="both"/>
        <w:textAlignment w:val="baseline"/>
        <w:rPr>
          <w:rFonts w:asciiTheme="minorHAnsi" w:hAnsiTheme="minorHAnsi" w:cs="Calibri Light"/>
          <w:spacing w:val="-1"/>
        </w:rPr>
      </w:pPr>
      <w:r>
        <w:rPr>
          <w:rFonts w:asciiTheme="minorHAnsi" w:hAnsiTheme="minorHAnsi" w:cs="Calibri Light"/>
          <w:spacing w:val="-1"/>
        </w:rPr>
        <w:t>-</w:t>
      </w:r>
      <w:r w:rsidR="009B153C" w:rsidRPr="00F6098C">
        <w:rPr>
          <w:rFonts w:asciiTheme="minorHAnsi" w:hAnsiTheme="minorHAnsi" w:cs="Calibri Light"/>
          <w:spacing w:val="-1"/>
        </w:rPr>
        <w:t xml:space="preserve"> </w:t>
      </w:r>
      <w:r w:rsidR="00D8637F">
        <w:rPr>
          <w:rFonts w:asciiTheme="minorHAnsi" w:hAnsiTheme="minorHAnsi" w:cs="Calibri Light"/>
          <w:spacing w:val="-1"/>
        </w:rPr>
        <w:t xml:space="preserve">de </w:t>
      </w:r>
      <w:r w:rsidR="000C0420" w:rsidRPr="00F6098C">
        <w:rPr>
          <w:rFonts w:asciiTheme="minorHAnsi" w:hAnsiTheme="minorHAnsi" w:cs="Calibri Light"/>
          <w:spacing w:val="-1"/>
        </w:rPr>
        <w:t>720</w:t>
      </w:r>
      <w:r w:rsidR="00F6098C" w:rsidRPr="008D7EB7">
        <w:rPr>
          <w:rFonts w:asciiTheme="minorHAnsi" w:hAnsiTheme="minorHAnsi" w:cs="Calibri Light"/>
          <w:spacing w:val="-1"/>
        </w:rPr>
        <w:t>,00</w:t>
      </w:r>
      <w:r w:rsidR="000C0420" w:rsidRPr="00F6098C">
        <w:rPr>
          <w:rFonts w:asciiTheme="minorHAnsi" w:hAnsiTheme="minorHAnsi" w:cs="Calibri Light"/>
          <w:spacing w:val="-1"/>
        </w:rPr>
        <w:t xml:space="preserve"> </w:t>
      </w:r>
      <w:r w:rsidR="009B153C" w:rsidRPr="00F6098C">
        <w:rPr>
          <w:rFonts w:asciiTheme="minorHAnsi" w:hAnsiTheme="minorHAnsi" w:cs="Calibri Light"/>
          <w:spacing w:val="-1"/>
        </w:rPr>
        <w:t>euros au maximum</w:t>
      </w:r>
      <w:r w:rsidR="007144A2" w:rsidRPr="00F6098C">
        <w:rPr>
          <w:rFonts w:asciiTheme="minorHAnsi" w:hAnsiTheme="minorHAnsi" w:cs="Calibri Light"/>
          <w:spacing w:val="-1"/>
        </w:rPr>
        <w:t xml:space="preserve"> (une variation selon </w:t>
      </w:r>
      <w:r>
        <w:rPr>
          <w:rFonts w:asciiTheme="minorHAnsi" w:hAnsiTheme="minorHAnsi" w:cs="Calibri Light"/>
          <w:spacing w:val="-1"/>
        </w:rPr>
        <w:t>la superficie</w:t>
      </w:r>
      <w:r w:rsidRPr="00F6098C">
        <w:rPr>
          <w:rFonts w:asciiTheme="minorHAnsi" w:hAnsiTheme="minorHAnsi" w:cs="Calibri Light"/>
          <w:spacing w:val="-1"/>
        </w:rPr>
        <w:t xml:space="preserve"> </w:t>
      </w:r>
      <w:r w:rsidR="007144A2" w:rsidRPr="00F6098C">
        <w:rPr>
          <w:rFonts w:asciiTheme="minorHAnsi" w:hAnsiTheme="minorHAnsi" w:cs="Calibri Light"/>
          <w:spacing w:val="-1"/>
        </w:rPr>
        <w:t>des secondes résidences est possible</w:t>
      </w:r>
      <w:r>
        <w:rPr>
          <w:rFonts w:asciiTheme="minorHAnsi" w:hAnsiTheme="minorHAnsi" w:cs="Calibri Light"/>
          <w:spacing w:val="-1"/>
        </w:rPr>
        <w:t xml:space="preserve">. </w:t>
      </w:r>
      <w:r w:rsidR="00D8637F">
        <w:rPr>
          <w:rFonts w:asciiTheme="minorHAnsi" w:hAnsiTheme="minorHAnsi" w:cs="Calibri Light"/>
          <w:spacing w:val="-1"/>
        </w:rPr>
        <w:t>Par ailleurs, i</w:t>
      </w:r>
      <w:r>
        <w:rPr>
          <w:rFonts w:asciiTheme="minorHAnsi" w:hAnsiTheme="minorHAnsi" w:cs="Calibri Light"/>
          <w:spacing w:val="-1"/>
        </w:rPr>
        <w:t>l serait tout à fait envisageable de prévoir</w:t>
      </w:r>
      <w:r w:rsidR="0021272A">
        <w:rPr>
          <w:rFonts w:asciiTheme="minorHAnsi" w:hAnsiTheme="minorHAnsi" w:cs="Calibri Light"/>
          <w:spacing w:val="-1"/>
        </w:rPr>
        <w:t>, pour exemple,</w:t>
      </w:r>
      <w:r>
        <w:rPr>
          <w:rFonts w:asciiTheme="minorHAnsi" w:hAnsiTheme="minorHAnsi" w:cs="Calibri Light"/>
          <w:spacing w:val="-1"/>
        </w:rPr>
        <w:t xml:space="preserve"> qu’à partir de 90 m² ce taux </w:t>
      </w:r>
      <w:r w:rsidR="00416909">
        <w:rPr>
          <w:rFonts w:asciiTheme="minorHAnsi" w:hAnsiTheme="minorHAnsi" w:cs="Calibri Light"/>
          <w:spacing w:val="-1"/>
        </w:rPr>
        <w:t xml:space="preserve">maximum </w:t>
      </w:r>
      <w:r>
        <w:rPr>
          <w:rFonts w:asciiTheme="minorHAnsi" w:hAnsiTheme="minorHAnsi" w:cs="Calibri Light"/>
          <w:spacing w:val="-1"/>
        </w:rPr>
        <w:t xml:space="preserve">est majoré de </w:t>
      </w:r>
      <w:r w:rsidR="00416909">
        <w:rPr>
          <w:rFonts w:asciiTheme="minorHAnsi" w:hAnsiTheme="minorHAnsi" w:cs="Calibri Light"/>
          <w:spacing w:val="-1"/>
        </w:rPr>
        <w:t>10%</w:t>
      </w:r>
      <w:r>
        <w:rPr>
          <w:rFonts w:asciiTheme="minorHAnsi" w:hAnsiTheme="minorHAnsi" w:cs="Calibri Light"/>
          <w:spacing w:val="-1"/>
        </w:rPr>
        <w:t xml:space="preserve"> par 10 m² supplémentaire (tout en sachant que tout m² commencé est compté en entier)</w:t>
      </w:r>
      <w:r w:rsidR="007144A2" w:rsidRPr="00F6098C">
        <w:rPr>
          <w:rFonts w:asciiTheme="minorHAnsi" w:hAnsiTheme="minorHAnsi" w:cs="Calibri Light"/>
          <w:spacing w:val="-1"/>
        </w:rPr>
        <w:t>)</w:t>
      </w:r>
      <w:r w:rsidR="001E10A5">
        <w:rPr>
          <w:rFonts w:asciiTheme="minorHAnsi" w:hAnsiTheme="minorHAnsi" w:cs="Calibri Light"/>
          <w:spacing w:val="-1"/>
        </w:rPr>
        <w:t xml:space="preserve">, avec un montant </w:t>
      </w:r>
      <w:r w:rsidR="00491632">
        <w:rPr>
          <w:rFonts w:asciiTheme="minorHAnsi" w:hAnsiTheme="minorHAnsi" w:cs="Calibri Light"/>
          <w:spacing w:val="-1"/>
        </w:rPr>
        <w:t xml:space="preserve">maximal </w:t>
      </w:r>
      <w:r w:rsidR="001E10A5">
        <w:rPr>
          <w:rFonts w:asciiTheme="minorHAnsi" w:hAnsiTheme="minorHAnsi" w:cs="Calibri Light"/>
          <w:spacing w:val="-1"/>
        </w:rPr>
        <w:t>plafonné à 1.</w:t>
      </w:r>
      <w:r w:rsidR="00491632">
        <w:rPr>
          <w:rFonts w:asciiTheme="minorHAnsi" w:hAnsiTheme="minorHAnsi" w:cs="Calibri Light"/>
          <w:spacing w:val="-1"/>
        </w:rPr>
        <w:t>080</w:t>
      </w:r>
      <w:r w:rsidR="001E10A5">
        <w:rPr>
          <w:rFonts w:asciiTheme="minorHAnsi" w:hAnsiTheme="minorHAnsi" w:cs="Calibri Light"/>
          <w:spacing w:val="-1"/>
        </w:rPr>
        <w:t xml:space="preserve"> euros</w:t>
      </w:r>
      <w:r w:rsidR="001E10A5" w:rsidRPr="001E10A5">
        <w:rPr>
          <w:rFonts w:asciiTheme="minorHAnsi" w:hAnsiTheme="minorHAnsi" w:cs="Calibri Light"/>
          <w:spacing w:val="-1"/>
        </w:rPr>
        <w:t>.</w:t>
      </w:r>
    </w:p>
    <w:p w14:paraId="25CBD51C" w14:textId="0D156042" w:rsidR="009B153C" w:rsidRPr="00DA6BD2" w:rsidRDefault="00DB3B9D" w:rsidP="00E063FD">
      <w:pPr>
        <w:spacing w:before="120"/>
        <w:jc w:val="both"/>
        <w:textAlignment w:val="baseline"/>
        <w:rPr>
          <w:rFonts w:asciiTheme="minorHAnsi" w:hAnsiTheme="minorHAnsi" w:cs="Calibri Light"/>
          <w:spacing w:val="-1"/>
        </w:rPr>
      </w:pPr>
      <w:r>
        <w:rPr>
          <w:rFonts w:asciiTheme="minorHAnsi" w:hAnsiTheme="minorHAnsi" w:cs="Calibri Light"/>
          <w:spacing w:val="-1"/>
        </w:rPr>
        <w:t>Quelle que soit la modulation, celle-ci devra être justifiée</w:t>
      </w:r>
      <w:r w:rsidR="00693611">
        <w:rPr>
          <w:rFonts w:asciiTheme="minorHAnsi" w:hAnsiTheme="minorHAnsi" w:cs="Calibri Light"/>
          <w:spacing w:val="-1"/>
        </w:rPr>
        <w:t xml:space="preserve"> expressément dans le préambule de la délibération ou dans le dossier administratif.</w:t>
      </w:r>
    </w:p>
    <w:p w14:paraId="3A248493" w14:textId="0C9963AD" w:rsidR="00693611" w:rsidRDefault="00693611" w:rsidP="00E063FD">
      <w:pPr>
        <w:spacing w:before="120"/>
        <w:jc w:val="both"/>
        <w:textAlignment w:val="baseline"/>
        <w:rPr>
          <w:rFonts w:asciiTheme="minorHAnsi" w:hAnsiTheme="minorHAnsi" w:cs="Calibri Light"/>
        </w:rPr>
      </w:pPr>
      <w:r>
        <w:rPr>
          <w:rFonts w:asciiTheme="minorHAnsi" w:hAnsiTheme="minorHAnsi" w:cs="Calibri Light"/>
        </w:rPr>
        <w:t xml:space="preserve">- </w:t>
      </w:r>
      <w:r w:rsidR="000C0420" w:rsidRPr="00F6098C">
        <w:rPr>
          <w:rFonts w:asciiTheme="minorHAnsi" w:hAnsiTheme="minorHAnsi" w:cs="Calibri Light"/>
        </w:rPr>
        <w:t>250</w:t>
      </w:r>
      <w:r w:rsidR="00F6098C" w:rsidRPr="008D7EB7">
        <w:rPr>
          <w:rFonts w:asciiTheme="minorHAnsi" w:hAnsiTheme="minorHAnsi" w:cs="Calibri Light"/>
        </w:rPr>
        <w:t>,00</w:t>
      </w:r>
      <w:r w:rsidR="000C0420" w:rsidRPr="00F6098C">
        <w:rPr>
          <w:rFonts w:asciiTheme="minorHAnsi" w:hAnsiTheme="minorHAnsi" w:cs="Calibri Light"/>
        </w:rPr>
        <w:t xml:space="preserve"> </w:t>
      </w:r>
      <w:r w:rsidR="009B153C" w:rsidRPr="00F6098C">
        <w:rPr>
          <w:rFonts w:asciiTheme="minorHAnsi" w:hAnsiTheme="minorHAnsi" w:cs="Calibri Light"/>
        </w:rPr>
        <w:t>euros</w:t>
      </w:r>
      <w:r w:rsidR="00F500AC" w:rsidRPr="00F6098C">
        <w:rPr>
          <w:rFonts w:asciiTheme="minorHAnsi" w:hAnsiTheme="minorHAnsi" w:cs="Calibri Light"/>
        </w:rPr>
        <w:t xml:space="preserve"> </w:t>
      </w:r>
      <w:r w:rsidR="009B153C" w:rsidRPr="00F6098C">
        <w:rPr>
          <w:rFonts w:asciiTheme="minorHAnsi" w:hAnsiTheme="minorHAnsi" w:cs="Calibri Light"/>
        </w:rPr>
        <w:t>lorsque</w:t>
      </w:r>
      <w:r w:rsidR="009B153C" w:rsidRPr="00DA6BD2">
        <w:rPr>
          <w:rFonts w:asciiTheme="minorHAnsi" w:hAnsiTheme="minorHAnsi" w:cs="Calibri Light"/>
        </w:rPr>
        <w:t xml:space="preserve"> la taxe vise les secondes résidences établies dans un camping agréé</w:t>
      </w:r>
      <w:r>
        <w:rPr>
          <w:rFonts w:asciiTheme="minorHAnsi" w:hAnsiTheme="minorHAnsi" w:cs="Calibri Light"/>
        </w:rPr>
        <w:t>,</w:t>
      </w:r>
    </w:p>
    <w:p w14:paraId="17BB5317" w14:textId="5CAFFCA1"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 </w:t>
      </w:r>
      <w:r w:rsidR="000C0420" w:rsidRPr="00F6098C">
        <w:rPr>
          <w:rFonts w:asciiTheme="minorHAnsi" w:hAnsiTheme="minorHAnsi" w:cs="Calibri Light"/>
        </w:rPr>
        <w:t>125</w:t>
      </w:r>
      <w:r w:rsidR="00F6098C" w:rsidRPr="008D7EB7">
        <w:rPr>
          <w:rFonts w:asciiTheme="minorHAnsi" w:hAnsiTheme="minorHAnsi" w:cs="Calibri Light"/>
        </w:rPr>
        <w:t>,00</w:t>
      </w:r>
      <w:r w:rsidR="000C0420" w:rsidRPr="00F6098C">
        <w:rPr>
          <w:rFonts w:asciiTheme="minorHAnsi" w:hAnsiTheme="minorHAnsi" w:cs="Calibri Light"/>
        </w:rPr>
        <w:t xml:space="preserve"> </w:t>
      </w:r>
      <w:r w:rsidRPr="00F6098C">
        <w:rPr>
          <w:rFonts w:asciiTheme="minorHAnsi" w:hAnsiTheme="minorHAnsi" w:cs="Calibri Light"/>
        </w:rPr>
        <w:t>euros</w:t>
      </w:r>
      <w:r w:rsidR="00F500AC" w:rsidRPr="00F6098C">
        <w:rPr>
          <w:rFonts w:asciiTheme="minorHAnsi" w:hAnsiTheme="minorHAnsi" w:cs="Calibri Light"/>
        </w:rPr>
        <w:t xml:space="preserve"> </w:t>
      </w:r>
      <w:r w:rsidRPr="00F6098C">
        <w:rPr>
          <w:rFonts w:asciiTheme="minorHAnsi" w:hAnsiTheme="minorHAnsi" w:cs="Calibri Light"/>
        </w:rPr>
        <w:t>lorsque</w:t>
      </w:r>
      <w:r w:rsidRPr="00DA6BD2">
        <w:rPr>
          <w:rFonts w:asciiTheme="minorHAnsi" w:hAnsiTheme="minorHAnsi" w:cs="Calibri Light"/>
        </w:rPr>
        <w:t xml:space="preserve"> la taxe vise les secondes résidences établies dans des logements pour étudiants (kots).</w:t>
      </w:r>
    </w:p>
    <w:p w14:paraId="086F4A83"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 taxe sur les secondes résidences ne peut s'appliquer aux gîtes ruraux, gîtes à la ferme, meublés de tourisme et chambres d'hôte visés par le Code wallon du Tourisme</w:t>
      </w:r>
      <w:r w:rsidR="00E35C91">
        <w:rPr>
          <w:rFonts w:asciiTheme="minorHAnsi" w:hAnsiTheme="minorHAnsi" w:cs="Calibri Light"/>
        </w:rPr>
        <w:t>,</w:t>
      </w:r>
      <w:r w:rsidRPr="00DA6BD2">
        <w:rPr>
          <w:rFonts w:asciiTheme="minorHAnsi" w:hAnsiTheme="minorHAnsi" w:cs="Calibri Light"/>
        </w:rPr>
        <w:t xml:space="preserve"> lesquels peuvent cependant faire l'objet d'une taxe de séjour (code 040/364-26).</w:t>
      </w:r>
    </w:p>
    <w:p w14:paraId="308A3D10" w14:textId="77777777" w:rsidR="00066CE8" w:rsidRDefault="009B153C" w:rsidP="00E063FD">
      <w:pPr>
        <w:spacing w:before="120"/>
        <w:jc w:val="both"/>
        <w:textAlignment w:val="baseline"/>
        <w:rPr>
          <w:rFonts w:asciiTheme="minorHAnsi" w:hAnsiTheme="minorHAnsi" w:cs="Calibri Light"/>
          <w:lang w:val="fr-BE"/>
        </w:rPr>
      </w:pPr>
      <w:r w:rsidRPr="00DA6BD2">
        <w:rPr>
          <w:rFonts w:asciiTheme="minorHAnsi" w:hAnsiTheme="minorHAnsi" w:cs="Calibri Light"/>
        </w:rPr>
        <w:t xml:space="preserve">Il y a lieu de rappeler </w:t>
      </w:r>
      <w:r w:rsidR="00066CE8">
        <w:rPr>
          <w:rFonts w:asciiTheme="minorHAnsi" w:hAnsiTheme="minorHAnsi" w:cs="Calibri Light"/>
        </w:rPr>
        <w:t>que</w:t>
      </w:r>
      <w:r w:rsidRPr="00DA6BD2">
        <w:rPr>
          <w:rFonts w:asciiTheme="minorHAnsi" w:hAnsiTheme="minorHAnsi" w:cs="Calibri Light"/>
        </w:rPr>
        <w:t xml:space="preserve"> la </w:t>
      </w:r>
      <w:r w:rsidRPr="00DA6BD2">
        <w:rPr>
          <w:rFonts w:asciiTheme="minorHAnsi" w:hAnsiTheme="minorHAnsi" w:cs="Calibri Light"/>
          <w:lang w:val="fr-BE"/>
        </w:rPr>
        <w:t>taxe sur les secondes résidences ne peut jamais viser que des occupants d’immeubles d’habitation. Si elle peut s’appliquer à des propriétaires ou titulaires de droits réels, c’est à la condition qu’ils soient aussi occupants de leurs biens et en cette qualité</w:t>
      </w:r>
      <w:r w:rsidR="00066CE8">
        <w:rPr>
          <w:rStyle w:val="Appelnotedebasdep"/>
          <w:rFonts w:asciiTheme="minorHAnsi" w:hAnsiTheme="minorHAnsi" w:cs="Calibri Light"/>
          <w:lang w:val="fr-BE"/>
        </w:rPr>
        <w:footnoteReference w:id="188"/>
      </w:r>
      <w:r w:rsidRPr="00DA6BD2">
        <w:rPr>
          <w:rFonts w:asciiTheme="minorHAnsi" w:hAnsiTheme="minorHAnsi" w:cs="Calibri Light"/>
          <w:lang w:val="fr-BE"/>
        </w:rPr>
        <w:t xml:space="preserve">. </w:t>
      </w:r>
    </w:p>
    <w:p w14:paraId="42554E80" w14:textId="77777777" w:rsidR="007144A2" w:rsidRDefault="00066CE8"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Les communes désignent le redevable de la taxe. </w:t>
      </w:r>
    </w:p>
    <w:p w14:paraId="09CC0188" w14:textId="169378C9" w:rsidR="00C744AE" w:rsidRPr="008D7EB7" w:rsidRDefault="00C744AE" w:rsidP="00C744AE">
      <w:pPr>
        <w:spacing w:before="120"/>
        <w:jc w:val="both"/>
        <w:textAlignment w:val="baseline"/>
        <w:rPr>
          <w:rFonts w:asciiTheme="minorHAnsi" w:hAnsiTheme="minorHAnsi" w:cs="Calibri Light"/>
        </w:rPr>
      </w:pPr>
      <w:r w:rsidRPr="008D7EB7">
        <w:rPr>
          <w:rFonts w:asciiTheme="minorHAnsi" w:hAnsiTheme="minorHAnsi" w:cs="Calibri Light"/>
        </w:rPr>
        <w:t>Vous trouverez plus de précisions ci-dessous</w:t>
      </w:r>
      <w:r w:rsidR="00F6098C">
        <w:rPr>
          <w:rFonts w:asciiTheme="minorHAnsi" w:hAnsiTheme="minorHAnsi" w:cs="Calibri Light"/>
        </w:rPr>
        <w:t>.</w:t>
      </w:r>
      <w:r w:rsidRPr="008D7EB7">
        <w:rPr>
          <w:rFonts w:asciiTheme="minorHAnsi" w:hAnsiTheme="minorHAnsi" w:cs="Calibri Light"/>
        </w:rPr>
        <w:t xml:space="preserve"> </w:t>
      </w:r>
    </w:p>
    <w:p w14:paraId="72636451" w14:textId="77777777" w:rsidR="00C744AE" w:rsidRPr="008D7EB7" w:rsidRDefault="00C744AE" w:rsidP="00C744AE">
      <w:pPr>
        <w:spacing w:before="120"/>
        <w:jc w:val="both"/>
        <w:textAlignment w:val="baseline"/>
        <w:rPr>
          <w:rFonts w:cs="Calibri Light"/>
        </w:rPr>
      </w:pPr>
      <w:r w:rsidRPr="008D7EB7">
        <w:rPr>
          <w:rFonts w:cs="Calibri Light"/>
        </w:rPr>
        <w:lastRenderedPageBreak/>
        <w:t>Les communes peuvent en cas de location du logement, prévoir une solidarité entre l’occupant (dans le chef duquel les conditions de la seconde résidence sont réunies) et le propriétaire.</w:t>
      </w:r>
    </w:p>
    <w:p w14:paraId="659AC376" w14:textId="77777777" w:rsidR="00F6098C" w:rsidRDefault="00C744AE" w:rsidP="00C744AE">
      <w:pPr>
        <w:spacing w:before="120"/>
        <w:jc w:val="both"/>
        <w:textAlignment w:val="baseline"/>
        <w:rPr>
          <w:rFonts w:cs="Calibri Light"/>
        </w:rPr>
      </w:pPr>
      <w:r w:rsidRPr="008D7EB7">
        <w:rPr>
          <w:rFonts w:cs="Calibri Light"/>
        </w:rPr>
        <w:t xml:space="preserve">En effet, selon le principe d’autonomie fiscale que leur confère l’article 170, §4, de la Constitution, les communes désignent le redevable de la taxe. Cela implique que ces dernières ont le pouvoir de prévoir des mécanismes de solidarité entre ces redevables. Ainsi, la solidarité peut être envisagée lorsqu’il y a une pluralité de titulaires d’un droit réel sur le bien concerné. </w:t>
      </w:r>
    </w:p>
    <w:p w14:paraId="6A0C742E" w14:textId="3C9CC768" w:rsidR="00C744AE" w:rsidRPr="008D7EB7" w:rsidRDefault="00C744AE" w:rsidP="00C744AE">
      <w:pPr>
        <w:spacing w:before="120"/>
        <w:jc w:val="both"/>
        <w:textAlignment w:val="baseline"/>
        <w:rPr>
          <w:rFonts w:cs="Calibri Light"/>
        </w:rPr>
      </w:pPr>
      <w:r w:rsidRPr="008D7EB7">
        <w:rPr>
          <w:rFonts w:cs="Calibri Light"/>
        </w:rPr>
        <w:t>Le Conseil d’État a déjà estimé</w:t>
      </w:r>
      <w:r w:rsidRPr="008D7EB7">
        <w:rPr>
          <w:rFonts w:cs="Calibri Light"/>
          <w:vertAlign w:val="superscript"/>
        </w:rPr>
        <w:footnoteReference w:id="189"/>
      </w:r>
      <w:r w:rsidRPr="008D7EB7">
        <w:rPr>
          <w:rFonts w:cs="Calibri Light"/>
        </w:rPr>
        <w:t xml:space="preserve"> que « </w:t>
      </w:r>
      <w:r w:rsidRPr="008D7EB7">
        <w:rPr>
          <w:rFonts w:cs="Calibri Light"/>
          <w:i/>
        </w:rPr>
        <w:t>tant le propriétaire que l’occupant des logements visés peuvent, à bon droit, être considérés comme redevables {…} ; qu’en l’espèce, il y a communauté d’intérêts entre les débiteurs tenus solidairement au paiement de la taxe, puisque le propriétaire et  son locataire participent à l’activité taxée, à savoir la location et l’occupation de secondes résidences, et que le propriétaire perçoit un loyer à charge de son locataire ; que cette communauté d’intérêts peut raisonnablement justifier le mécanisme de solidarité prévu dans le règlement-taxe litigieux</w:t>
      </w:r>
      <w:r w:rsidRPr="008D7EB7">
        <w:rPr>
          <w:rFonts w:cs="Calibri Light"/>
        </w:rPr>
        <w:t xml:space="preserve"> ». </w:t>
      </w:r>
    </w:p>
    <w:p w14:paraId="22245A4F" w14:textId="0EBA888E" w:rsidR="00C744AE" w:rsidRPr="008D7EB7" w:rsidRDefault="00F500AC" w:rsidP="00C744AE">
      <w:pPr>
        <w:spacing w:before="120"/>
        <w:jc w:val="both"/>
        <w:textAlignment w:val="baseline"/>
        <w:rPr>
          <w:rFonts w:cs="Calibri Light"/>
        </w:rPr>
      </w:pPr>
      <w:r w:rsidRPr="008D7EB7">
        <w:rPr>
          <w:rFonts w:cs="Calibri Light"/>
        </w:rPr>
        <w:t>L</w:t>
      </w:r>
      <w:r w:rsidR="00C744AE" w:rsidRPr="008D7EB7">
        <w:rPr>
          <w:rFonts w:cs="Calibri Light"/>
        </w:rPr>
        <w:t>a taxe sur les secondes résidences a pour objectif de frapper un objet de luxe dont la possession démontre dans le chef du redevable une certaine aisance et qui ne revêt pas un caractère de nécessité comme l'exercice d'une activité professionnelle ou la possession d'une première résidence. Cela ne correspond en rien à la situation des personnes hébergées dans un établissement pour aînés. Je vous invite dès lors de ne pas lever une telle taxe à charge des résidents hébergés dans les établissements visés à l'article 334, 2° du Code wallon de l'Action sociale et de la Santé.</w:t>
      </w:r>
    </w:p>
    <w:p w14:paraId="67A95D5E" w14:textId="77777777" w:rsidR="00C744AE" w:rsidRPr="008D7EB7" w:rsidRDefault="00C744AE" w:rsidP="00C744AE">
      <w:pPr>
        <w:spacing w:before="120"/>
        <w:jc w:val="both"/>
        <w:textAlignment w:val="baseline"/>
        <w:rPr>
          <w:rFonts w:cs="Calibri Light"/>
        </w:rPr>
      </w:pPr>
      <w:r w:rsidRPr="008D7EB7">
        <w:rPr>
          <w:rFonts w:cs="Calibri Light"/>
        </w:rPr>
        <w:t>Deux arrêts du Conseil d'État pris en la matière méritent d'être signalés :</w:t>
      </w:r>
    </w:p>
    <w:p w14:paraId="676FC2BA" w14:textId="328D78E2" w:rsidR="00C744AE" w:rsidRPr="008D7EB7" w:rsidRDefault="00C744AE" w:rsidP="00C744AE">
      <w:pPr>
        <w:spacing w:before="120"/>
        <w:jc w:val="both"/>
        <w:textAlignment w:val="baseline"/>
        <w:rPr>
          <w:rFonts w:cs="Calibri Light"/>
        </w:rPr>
      </w:pPr>
      <w:r w:rsidRPr="008D7EB7">
        <w:rPr>
          <w:rFonts w:cs="Calibri Light"/>
        </w:rPr>
        <w:t>Dans son arrêt n°66545 du 4 juin 1997, le Conseil d'État estime qu'il n'existe pas de justification raisonnable et adéquate de la différence de traitement entre, d'une part, les personnes domiciliées sur le territoire d'une commune et, d'autre part, les personnes qui ne sont pas inscrites dans les registres de la population de cette commune, les premières citées n'étant pas redevables de la taxe communale sur les secondes résidences à l'inverse des secondes citées. En conséquence, les communes ne peuvent donc pas exonérer une seconde résidence pour le motif que la personne qui peut en disposer serait déjà domiciliée à une autre adresse dans la commune.</w:t>
      </w:r>
    </w:p>
    <w:p w14:paraId="458E42C5" w14:textId="7152D54A" w:rsidR="00C744AE" w:rsidRPr="008D7EB7" w:rsidRDefault="00C744AE" w:rsidP="00C744AE">
      <w:pPr>
        <w:spacing w:before="120"/>
        <w:jc w:val="both"/>
        <w:textAlignment w:val="baseline"/>
        <w:rPr>
          <w:rFonts w:cs="Calibri Light"/>
        </w:rPr>
      </w:pPr>
      <w:r w:rsidRPr="008D7EB7">
        <w:rPr>
          <w:rFonts w:cs="Calibri Light"/>
        </w:rPr>
        <w:t xml:space="preserve">Dans son arrêt n°99.385 du 2 octobre 2001, le Conseil d'État estime que la taxe sur les secondes résidences n'est pas comparable au précompte immobilier et ce, notamment parce que cette taxe « </w:t>
      </w:r>
      <w:r w:rsidRPr="008D7EB7">
        <w:rPr>
          <w:rFonts w:cs="Calibri Light"/>
          <w:i/>
        </w:rPr>
        <w:t>n'a pas le même objet que le précompte immobilier établi sur le revenu cadastral et les centimes additionnels perçus par la commune sur ce dernier. » Par ailleurs</w:t>
      </w:r>
      <w:r w:rsidR="003B0359" w:rsidRPr="008D7EB7">
        <w:rPr>
          <w:rFonts w:cs="Calibri Light"/>
          <w:i/>
        </w:rPr>
        <w:t>,</w:t>
      </w:r>
      <w:r w:rsidRPr="008D7EB7">
        <w:rPr>
          <w:rFonts w:cs="Calibri Light"/>
          <w:i/>
        </w:rPr>
        <w:t xml:space="preserve"> la haute juridiction administrative rappelle que « l'objet premier de la taxe sur les secondes résidences est de frapper un objet de luxe dont la possession démontre dans le chef du redevable une certaine aisance et qui ne revêt pas un caractère de nécessité comme l'exercice d'une activité professionnelle ou la possession d'une première résidence ...</w:t>
      </w:r>
      <w:r w:rsidRPr="008D7EB7">
        <w:rPr>
          <w:rFonts w:cs="Calibri Light"/>
        </w:rPr>
        <w:t xml:space="preserve"> ».</w:t>
      </w:r>
    </w:p>
    <w:p w14:paraId="7DA45A4D" w14:textId="77777777" w:rsidR="00C744AE" w:rsidRPr="008D7EB7" w:rsidRDefault="00C744AE" w:rsidP="00C744AE">
      <w:pPr>
        <w:spacing w:before="120"/>
        <w:jc w:val="both"/>
        <w:rPr>
          <w:rFonts w:cs="Calibri Light"/>
        </w:rPr>
      </w:pPr>
      <w:r w:rsidRPr="008D7EB7">
        <w:rPr>
          <w:rFonts w:cs="Calibri Light"/>
        </w:rPr>
        <w:t xml:space="preserve">Il faut rappeler aux autorités communales qu’en matière de règlement sur les secondes résidences, il est important de </w:t>
      </w:r>
      <w:r w:rsidRPr="004C2BB2">
        <w:rPr>
          <w:rFonts w:cs="Calibri Light"/>
          <w:b/>
          <w:bCs/>
        </w:rPr>
        <w:t>soigner la motivation</w:t>
      </w:r>
      <w:r w:rsidRPr="008D7EB7">
        <w:rPr>
          <w:rFonts w:cs="Calibri Light"/>
        </w:rPr>
        <w:t xml:space="preserve"> qui a conduit à son adoption.</w:t>
      </w:r>
    </w:p>
    <w:p w14:paraId="25293AE7" w14:textId="77777777" w:rsidR="00C744AE" w:rsidRPr="008D7EB7" w:rsidRDefault="00C744AE" w:rsidP="00C744AE">
      <w:pPr>
        <w:spacing w:before="120"/>
        <w:jc w:val="both"/>
        <w:rPr>
          <w:rFonts w:cs="Calibri Light"/>
        </w:rPr>
      </w:pPr>
      <w:r w:rsidRPr="008D7EB7">
        <w:rPr>
          <w:rFonts w:cs="Calibri Light"/>
        </w:rPr>
        <w:t xml:space="preserve">Étant donné la multiplication des recours, sur base de la violation des articles 10 et 11 de la constitution, à l’encontre de ces règlements-taxes, une simple référence à la situation </w:t>
      </w:r>
      <w:r w:rsidRPr="008D7EB7">
        <w:rPr>
          <w:rFonts w:cs="Calibri Light"/>
        </w:rPr>
        <w:lastRenderedPageBreak/>
        <w:t>financière de la commune n’est pas suffisante pour justifier la taxation des secondes résidences. Ce constat est encore plus vrai en cas de différenciation du taux de la taxe et/ou de plusieurs exonérations dans un règlement-taxe de ce type. </w:t>
      </w:r>
    </w:p>
    <w:p w14:paraId="39C57E5E" w14:textId="042E45D1" w:rsidR="00C744AE" w:rsidRDefault="00C744AE" w:rsidP="00C744AE">
      <w:pPr>
        <w:spacing w:before="120"/>
        <w:jc w:val="both"/>
        <w:rPr>
          <w:rFonts w:cs="Calibri Light"/>
        </w:rPr>
      </w:pPr>
      <w:r w:rsidRPr="008D7EB7">
        <w:rPr>
          <w:rFonts w:cs="Calibri Light"/>
        </w:rPr>
        <w:t xml:space="preserve">Ces différentes justifications sont les suivantes : </w:t>
      </w:r>
    </w:p>
    <w:p w14:paraId="2863E080" w14:textId="130D5899" w:rsidR="00F6098C" w:rsidRPr="008D7EB7" w:rsidRDefault="00EA5A41"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00C744AE" w:rsidRPr="008D7EB7">
        <w:rPr>
          <w:rFonts w:asciiTheme="minorHAnsi" w:hAnsiTheme="minorHAnsi" w:cs="Calibri Light"/>
        </w:rPr>
        <w:t>e</w:t>
      </w:r>
      <w:proofErr w:type="gramEnd"/>
      <w:r w:rsidR="00C744AE" w:rsidRPr="008D7EB7">
        <w:rPr>
          <w:rFonts w:asciiTheme="minorHAnsi" w:hAnsiTheme="minorHAnsi" w:cs="Calibri Light"/>
        </w:rPr>
        <w:t xml:space="preserve"> caractère compensatoire de la taxe fait référence aux dépenses engagées au bénéfice des personnes qui ont des intérêts dans la commune, y sont présents ou y habitent, à des fins de sécurité et pour les services communaux et leur amélioration. </w:t>
      </w:r>
    </w:p>
    <w:p w14:paraId="209110D1" w14:textId="020CAF17" w:rsidR="00C744AE" w:rsidRPr="008D7EB7" w:rsidRDefault="00F6098C"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C</w:t>
      </w:r>
      <w:r w:rsidR="00C744AE" w:rsidRPr="008D7EB7">
        <w:rPr>
          <w:rFonts w:asciiTheme="minorHAnsi" w:hAnsiTheme="minorHAnsi" w:cs="Calibri Light"/>
        </w:rPr>
        <w:t xml:space="preserve">ette justification n’est pertinente que s’il est prouvé que les contribuables de cette taxe engendrent plus de frais pour la commune ou participent moins dans le financement de ces frais que les habitants de la commune. Par conséquent, cette justification exige un lien entre la hauteur de la taxe sur les secondes résidences et les taxes qui sont dues par ceux qui ont leur domicile dans la commune. </w:t>
      </w:r>
    </w:p>
    <w:p w14:paraId="783EDD91" w14:textId="77777777"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Par ailleurs, le fait de se référer à l’effet compensatoire pour justifier un taux différencié prévu en fonction de l’emplacement de la seconde résidence n’est pas une justification objective et raisonnable.</w:t>
      </w:r>
    </w:p>
    <w:p w14:paraId="1EC6F3FF" w14:textId="77777777"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Le caractère compensatoire de la taxe peut soulever des difficultés notamment si la seconde résidence est utilisée par un tiers.</w:t>
      </w:r>
    </w:p>
    <w:p w14:paraId="518B3BE7" w14:textId="3BA5C01A"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 xml:space="preserve">Le recours à l’objectif compensatoire pour justifier la taxation des secondes résidences dans le chef du propriétaire n’est pas conforme au principe d’égalité. En effet, c’est celui qui dispose de la seconde résidence qui profite des dépenses communales ET ce sont ces dépenses qui doivent être </w:t>
      </w:r>
      <w:r w:rsidR="001935CF" w:rsidRPr="008D7EB7">
        <w:rPr>
          <w:rFonts w:asciiTheme="minorHAnsi" w:hAnsiTheme="minorHAnsi" w:cs="Calibri Light"/>
        </w:rPr>
        <w:t xml:space="preserve">compensées </w:t>
      </w:r>
      <w:r w:rsidRPr="008D7EB7">
        <w:rPr>
          <w:rFonts w:asciiTheme="minorHAnsi" w:hAnsiTheme="minorHAnsi" w:cs="Calibri Light"/>
        </w:rPr>
        <w:t xml:space="preserve">par la taxe sur les secondes résidences. </w:t>
      </w:r>
    </w:p>
    <w:p w14:paraId="6585E495" w14:textId="60C76882"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La désignation du propriétaire comme redevable de la taxe entraine une violation du principe d’égalité et de non-discrimination puisque l’on va traiter de manière identique deux catégories de personnes qui se trouvent dans une situation différente. D’une part, le propriétaire de la seconde résidence qui dispose lui-même de cette seconde résidence ET le propriétaire d’une seconde résidence qui met à disposition d’un tiers sa seconde résidence. Il n’existe donc pas de justification objective et raisonnable pour ce traitement identique des situations, qui à la lumière de l’objectif compensatoire, sont différentes</w:t>
      </w:r>
      <w:r w:rsidR="00EA5A41">
        <w:rPr>
          <w:rFonts w:asciiTheme="minorHAnsi" w:hAnsiTheme="minorHAnsi" w:cs="Calibri Light"/>
        </w:rPr>
        <w:t> ;</w:t>
      </w:r>
      <w:r w:rsidRPr="008D7EB7">
        <w:rPr>
          <w:rFonts w:asciiTheme="minorHAnsi" w:hAnsiTheme="minorHAnsi" w:cs="Calibri Light"/>
        </w:rPr>
        <w:t xml:space="preserve"> </w:t>
      </w:r>
    </w:p>
    <w:p w14:paraId="5C9F15E6" w14:textId="5D012382" w:rsidR="00C744AE" w:rsidRPr="008D7EB7" w:rsidRDefault="00EA5A41"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t>l</w:t>
      </w:r>
      <w:r w:rsidR="00C744AE" w:rsidRPr="008D7EB7">
        <w:rPr>
          <w:rFonts w:asciiTheme="minorHAnsi" w:hAnsiTheme="minorHAnsi" w:cs="Calibri Light"/>
        </w:rPr>
        <w:t>a</w:t>
      </w:r>
      <w:proofErr w:type="gramEnd"/>
      <w:r w:rsidR="00C744AE" w:rsidRPr="008D7EB7">
        <w:rPr>
          <w:rFonts w:asciiTheme="minorHAnsi" w:hAnsiTheme="minorHAnsi" w:cs="Calibri Light"/>
        </w:rPr>
        <w:t xml:space="preserve"> taxe sur la richesse qui permet de justifier la taxation des secondes résidences comme un produit de luxe qui suppose l’existence d’une certaine aisance dans le chef de celui qui utilise le bien immeuble comme seconde résidence. </w:t>
      </w:r>
    </w:p>
    <w:p w14:paraId="5E17F65D" w14:textId="77777777"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Les secondes résidences comme produit de luxe ne concernent que ceux qui utilisent le bien immobilier comme seconde résidence (occupant). Le recours à cette justification permet seulement de justifier de manière objective et raisonnable la taxation du propriétaire de l’immeuble si celui-ci utilise effectivement l’immeuble comme seconde résidence.</w:t>
      </w:r>
    </w:p>
    <w:p w14:paraId="58533782" w14:textId="77777777"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 xml:space="preserve">Les communes pourraient, notamment prévoir sur base de cette justification, un taux différencié en fonction de l’emplacement de la seconde résidence. Un taux unique est difficile à défendre puisque selon l’emplacement, le degré d’aisance n’est pas le même. </w:t>
      </w:r>
    </w:p>
    <w:p w14:paraId="0B855B62" w14:textId="0FBC1BBB"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Néanmoins, il n’est pas possible d’exonérer de cette taxe, les habitants qui ont leur domicile sur la commune et qui sont redevables des additionnels à l’IPP puisque l’on taxe un produit de luxe et donc cela n’a aucun rapport avec la contribution déjà existante aux finances de la commune</w:t>
      </w:r>
      <w:r w:rsidR="00EA5A41">
        <w:rPr>
          <w:rFonts w:asciiTheme="minorHAnsi" w:hAnsiTheme="minorHAnsi" w:cs="Calibri Light"/>
        </w:rPr>
        <w:t> ;</w:t>
      </w:r>
    </w:p>
    <w:p w14:paraId="6AD46CB6" w14:textId="3E807ED2" w:rsidR="00C744AE" w:rsidRPr="008D7EB7" w:rsidRDefault="00EA5A41"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Pr>
          <w:rFonts w:asciiTheme="minorHAnsi" w:hAnsiTheme="minorHAnsi" w:cs="Calibri Light"/>
        </w:rPr>
        <w:lastRenderedPageBreak/>
        <w:t>l</w:t>
      </w:r>
      <w:r w:rsidR="00C744AE" w:rsidRPr="008D7EB7">
        <w:rPr>
          <w:rFonts w:asciiTheme="minorHAnsi" w:hAnsiTheme="minorHAnsi" w:cs="Calibri Light"/>
        </w:rPr>
        <w:t>’incitation</w:t>
      </w:r>
      <w:proofErr w:type="gramEnd"/>
      <w:r w:rsidR="00C744AE" w:rsidRPr="008D7EB7">
        <w:rPr>
          <w:rFonts w:asciiTheme="minorHAnsi" w:hAnsiTheme="minorHAnsi" w:cs="Calibri Light"/>
        </w:rPr>
        <w:t xml:space="preserve"> pour les habitants de fixer leur résidence principale dans la commune. L’objectif de cette taxe est de protéger l’habitation résidentielle, éviter l’inoccupation prolongée d’un immeuble. </w:t>
      </w:r>
    </w:p>
    <w:p w14:paraId="725B628C" w14:textId="77777777" w:rsidR="00C744AE" w:rsidRPr="008D7EB7" w:rsidRDefault="00C744AE" w:rsidP="008D7EB7">
      <w:pPr>
        <w:tabs>
          <w:tab w:val="left" w:pos="144"/>
        </w:tabs>
        <w:spacing w:before="120"/>
        <w:ind w:left="504"/>
        <w:jc w:val="both"/>
        <w:textAlignment w:val="baseline"/>
        <w:rPr>
          <w:rFonts w:asciiTheme="minorHAnsi" w:hAnsiTheme="minorHAnsi" w:cs="Calibri Light"/>
        </w:rPr>
      </w:pPr>
      <w:r w:rsidRPr="008D7EB7">
        <w:rPr>
          <w:rFonts w:asciiTheme="minorHAnsi" w:hAnsiTheme="minorHAnsi" w:cs="Calibri Light"/>
        </w:rPr>
        <w:t xml:space="preserve">Cet objectif peut entrainer une justification objective et raisonnable pour l’instauration de cette taxe à des charges des secondes résidences pour autant que l’existence de ce motif apparaisse raisonnable. </w:t>
      </w:r>
    </w:p>
    <w:p w14:paraId="36E08C5F" w14:textId="77777777" w:rsidR="00C744AE" w:rsidRPr="008D7EB7" w:rsidRDefault="00C744AE" w:rsidP="008D7EB7">
      <w:pPr>
        <w:spacing w:before="120" w:after="240"/>
        <w:jc w:val="both"/>
        <w:rPr>
          <w:rFonts w:cs="Calibri Light"/>
        </w:rPr>
      </w:pPr>
      <w:r w:rsidRPr="008D7EB7">
        <w:rPr>
          <w:rFonts w:cs="Calibri Light"/>
        </w:rPr>
        <w:t xml:space="preserve">Je rappelle aux autorités communales que chaque motivation a ses propres limites (choix du redevable et taux de la taxe). </w:t>
      </w:r>
    </w:p>
    <w:p w14:paraId="7AC1A726" w14:textId="7E94E933" w:rsidR="00705A12" w:rsidRDefault="008A21AC" w:rsidP="00256E9F">
      <w:pPr>
        <w:pStyle w:val="Sam3"/>
      </w:pPr>
      <w:bookmarkStart w:id="7618" w:name="_Toc516739948"/>
      <w:bookmarkStart w:id="7619" w:name="_Toc516751857"/>
      <w:bookmarkStart w:id="7620" w:name="_Toc516825945"/>
      <w:bookmarkStart w:id="7621" w:name="_Toc516826503"/>
      <w:bookmarkStart w:id="7622" w:name="_Toc516837823"/>
      <w:bookmarkStart w:id="7623" w:name="_Toc516838382"/>
      <w:bookmarkStart w:id="7624" w:name="_Toc516838941"/>
      <w:bookmarkStart w:id="7625" w:name="_Toc516839501"/>
      <w:bookmarkStart w:id="7626" w:name="_Toc517173597"/>
      <w:bookmarkStart w:id="7627" w:name="_Toc517175271"/>
      <w:bookmarkStart w:id="7628" w:name="_Toc517175858"/>
      <w:bookmarkStart w:id="7629" w:name="_Toc517176446"/>
      <w:bookmarkStart w:id="7630" w:name="_Toc517337771"/>
      <w:bookmarkStart w:id="7631" w:name="_Toc517360567"/>
      <w:bookmarkStart w:id="7632" w:name="_Toc516739949"/>
      <w:bookmarkStart w:id="7633" w:name="_Toc516751858"/>
      <w:bookmarkStart w:id="7634" w:name="_Toc516825946"/>
      <w:bookmarkStart w:id="7635" w:name="_Toc516826504"/>
      <w:bookmarkStart w:id="7636" w:name="_Toc516837824"/>
      <w:bookmarkStart w:id="7637" w:name="_Toc516838383"/>
      <w:bookmarkStart w:id="7638" w:name="_Toc516838942"/>
      <w:bookmarkStart w:id="7639" w:name="_Toc516839502"/>
      <w:bookmarkStart w:id="7640" w:name="_Toc517173598"/>
      <w:bookmarkStart w:id="7641" w:name="_Toc517175272"/>
      <w:bookmarkStart w:id="7642" w:name="_Toc517175859"/>
      <w:bookmarkStart w:id="7643" w:name="_Toc517176447"/>
      <w:bookmarkStart w:id="7644" w:name="_Toc517337772"/>
      <w:bookmarkStart w:id="7645" w:name="_Toc517360568"/>
      <w:bookmarkStart w:id="7646" w:name="_Toc516739950"/>
      <w:bookmarkStart w:id="7647" w:name="_Toc516751859"/>
      <w:bookmarkStart w:id="7648" w:name="_Toc516825947"/>
      <w:bookmarkStart w:id="7649" w:name="_Toc516826505"/>
      <w:bookmarkStart w:id="7650" w:name="_Toc516837825"/>
      <w:bookmarkStart w:id="7651" w:name="_Toc516838384"/>
      <w:bookmarkStart w:id="7652" w:name="_Toc516838943"/>
      <w:bookmarkStart w:id="7653" w:name="_Toc516839503"/>
      <w:bookmarkStart w:id="7654" w:name="_Toc517173599"/>
      <w:bookmarkStart w:id="7655" w:name="_Toc517175273"/>
      <w:bookmarkStart w:id="7656" w:name="_Toc517175860"/>
      <w:bookmarkStart w:id="7657" w:name="_Toc517176448"/>
      <w:bookmarkStart w:id="7658" w:name="_Toc517337773"/>
      <w:bookmarkStart w:id="7659" w:name="_Toc517360569"/>
      <w:bookmarkStart w:id="7660" w:name="_Toc516739951"/>
      <w:bookmarkStart w:id="7661" w:name="_Toc516751860"/>
      <w:bookmarkStart w:id="7662" w:name="_Toc516825948"/>
      <w:bookmarkStart w:id="7663" w:name="_Toc516826506"/>
      <w:bookmarkStart w:id="7664" w:name="_Toc516837826"/>
      <w:bookmarkStart w:id="7665" w:name="_Toc516838385"/>
      <w:bookmarkStart w:id="7666" w:name="_Toc516838944"/>
      <w:bookmarkStart w:id="7667" w:name="_Toc516839504"/>
      <w:bookmarkStart w:id="7668" w:name="_Toc517173600"/>
      <w:bookmarkStart w:id="7669" w:name="_Toc517175274"/>
      <w:bookmarkStart w:id="7670" w:name="_Toc517175861"/>
      <w:bookmarkStart w:id="7671" w:name="_Toc517176449"/>
      <w:bookmarkStart w:id="7672" w:name="_Toc517337774"/>
      <w:bookmarkStart w:id="7673" w:name="_Toc517360570"/>
      <w:bookmarkStart w:id="7674" w:name="_Toc516739952"/>
      <w:bookmarkStart w:id="7675" w:name="_Toc516751861"/>
      <w:bookmarkStart w:id="7676" w:name="_Toc516825949"/>
      <w:bookmarkStart w:id="7677" w:name="_Toc516826507"/>
      <w:bookmarkStart w:id="7678" w:name="_Toc516837827"/>
      <w:bookmarkStart w:id="7679" w:name="_Toc516838386"/>
      <w:bookmarkStart w:id="7680" w:name="_Toc516838945"/>
      <w:bookmarkStart w:id="7681" w:name="_Toc516839505"/>
      <w:bookmarkStart w:id="7682" w:name="_Toc517173601"/>
      <w:bookmarkStart w:id="7683" w:name="_Toc517175275"/>
      <w:bookmarkStart w:id="7684" w:name="_Toc517175862"/>
      <w:bookmarkStart w:id="7685" w:name="_Toc517176450"/>
      <w:bookmarkStart w:id="7686" w:name="_Toc517337775"/>
      <w:bookmarkStart w:id="7687" w:name="_Toc517360571"/>
      <w:bookmarkStart w:id="7688" w:name="_Toc516739953"/>
      <w:bookmarkStart w:id="7689" w:name="_Toc516751862"/>
      <w:bookmarkStart w:id="7690" w:name="_Toc516825950"/>
      <w:bookmarkStart w:id="7691" w:name="_Toc516826508"/>
      <w:bookmarkStart w:id="7692" w:name="_Toc516837828"/>
      <w:bookmarkStart w:id="7693" w:name="_Toc516838387"/>
      <w:bookmarkStart w:id="7694" w:name="_Toc516838946"/>
      <w:bookmarkStart w:id="7695" w:name="_Toc516839506"/>
      <w:bookmarkStart w:id="7696" w:name="_Toc517173602"/>
      <w:bookmarkStart w:id="7697" w:name="_Toc517175276"/>
      <w:bookmarkStart w:id="7698" w:name="_Toc517175863"/>
      <w:bookmarkStart w:id="7699" w:name="_Toc517176451"/>
      <w:bookmarkStart w:id="7700" w:name="_Toc517337776"/>
      <w:bookmarkStart w:id="7701" w:name="_Toc517360572"/>
      <w:bookmarkStart w:id="7702" w:name="_Toc516739954"/>
      <w:bookmarkStart w:id="7703" w:name="_Toc516751863"/>
      <w:bookmarkStart w:id="7704" w:name="_Toc516825951"/>
      <w:bookmarkStart w:id="7705" w:name="_Toc516826509"/>
      <w:bookmarkStart w:id="7706" w:name="_Toc516837829"/>
      <w:bookmarkStart w:id="7707" w:name="_Toc516838388"/>
      <w:bookmarkStart w:id="7708" w:name="_Toc516838947"/>
      <w:bookmarkStart w:id="7709" w:name="_Toc516839507"/>
      <w:bookmarkStart w:id="7710" w:name="_Toc517173603"/>
      <w:bookmarkStart w:id="7711" w:name="_Toc517175277"/>
      <w:bookmarkStart w:id="7712" w:name="_Toc517175864"/>
      <w:bookmarkStart w:id="7713" w:name="_Toc517176452"/>
      <w:bookmarkStart w:id="7714" w:name="_Toc517337777"/>
      <w:bookmarkStart w:id="7715" w:name="_Toc517360573"/>
      <w:bookmarkStart w:id="7716" w:name="_Toc516739955"/>
      <w:bookmarkStart w:id="7717" w:name="_Toc516751864"/>
      <w:bookmarkStart w:id="7718" w:name="_Toc516825952"/>
      <w:bookmarkStart w:id="7719" w:name="_Toc516826510"/>
      <w:bookmarkStart w:id="7720" w:name="_Toc516837830"/>
      <w:bookmarkStart w:id="7721" w:name="_Toc516838389"/>
      <w:bookmarkStart w:id="7722" w:name="_Toc516838948"/>
      <w:bookmarkStart w:id="7723" w:name="_Toc516839508"/>
      <w:bookmarkStart w:id="7724" w:name="_Toc517173604"/>
      <w:bookmarkStart w:id="7725" w:name="_Toc517175278"/>
      <w:bookmarkStart w:id="7726" w:name="_Toc517175865"/>
      <w:bookmarkStart w:id="7727" w:name="_Toc517176453"/>
      <w:bookmarkStart w:id="7728" w:name="_Toc517337778"/>
      <w:bookmarkStart w:id="7729" w:name="_Toc517360574"/>
      <w:bookmarkStart w:id="7730" w:name="_Toc516739956"/>
      <w:bookmarkStart w:id="7731" w:name="_Toc516751865"/>
      <w:bookmarkStart w:id="7732" w:name="_Toc516825953"/>
      <w:bookmarkStart w:id="7733" w:name="_Toc516826511"/>
      <w:bookmarkStart w:id="7734" w:name="_Toc516837831"/>
      <w:bookmarkStart w:id="7735" w:name="_Toc516838390"/>
      <w:bookmarkStart w:id="7736" w:name="_Toc516838949"/>
      <w:bookmarkStart w:id="7737" w:name="_Toc516839509"/>
      <w:bookmarkStart w:id="7738" w:name="_Toc517173605"/>
      <w:bookmarkStart w:id="7739" w:name="_Toc517175279"/>
      <w:bookmarkStart w:id="7740" w:name="_Toc517175866"/>
      <w:bookmarkStart w:id="7741" w:name="_Toc517176454"/>
      <w:bookmarkStart w:id="7742" w:name="_Toc517337779"/>
      <w:bookmarkStart w:id="7743" w:name="_Toc517360575"/>
      <w:bookmarkStart w:id="7744" w:name="_Toc516739957"/>
      <w:bookmarkStart w:id="7745" w:name="_Toc516751866"/>
      <w:bookmarkStart w:id="7746" w:name="_Toc516825954"/>
      <w:bookmarkStart w:id="7747" w:name="_Toc516826512"/>
      <w:bookmarkStart w:id="7748" w:name="_Toc516837832"/>
      <w:bookmarkStart w:id="7749" w:name="_Toc516838391"/>
      <w:bookmarkStart w:id="7750" w:name="_Toc516838950"/>
      <w:bookmarkStart w:id="7751" w:name="_Toc516839510"/>
      <w:bookmarkStart w:id="7752" w:name="_Toc517173606"/>
      <w:bookmarkStart w:id="7753" w:name="_Toc517175280"/>
      <w:bookmarkStart w:id="7754" w:name="_Toc517175867"/>
      <w:bookmarkStart w:id="7755" w:name="_Toc517176455"/>
      <w:bookmarkStart w:id="7756" w:name="_Toc517337780"/>
      <w:bookmarkStart w:id="7757" w:name="_Toc517360576"/>
      <w:bookmarkStart w:id="7758" w:name="_Toc516739958"/>
      <w:bookmarkStart w:id="7759" w:name="_Toc516751867"/>
      <w:bookmarkStart w:id="7760" w:name="_Toc516825955"/>
      <w:bookmarkStart w:id="7761" w:name="_Toc516826513"/>
      <w:bookmarkStart w:id="7762" w:name="_Toc516837833"/>
      <w:bookmarkStart w:id="7763" w:name="_Toc516838392"/>
      <w:bookmarkStart w:id="7764" w:name="_Toc516838951"/>
      <w:bookmarkStart w:id="7765" w:name="_Toc516839511"/>
      <w:bookmarkStart w:id="7766" w:name="_Toc517173607"/>
      <w:bookmarkStart w:id="7767" w:name="_Toc517175281"/>
      <w:bookmarkStart w:id="7768" w:name="_Toc517175868"/>
      <w:bookmarkStart w:id="7769" w:name="_Toc517176456"/>
      <w:bookmarkStart w:id="7770" w:name="_Toc517337781"/>
      <w:bookmarkStart w:id="7771" w:name="_Toc517360577"/>
      <w:bookmarkStart w:id="7772" w:name="_Toc516739959"/>
      <w:bookmarkStart w:id="7773" w:name="_Toc516751868"/>
      <w:bookmarkStart w:id="7774" w:name="_Toc516825956"/>
      <w:bookmarkStart w:id="7775" w:name="_Toc516826514"/>
      <w:bookmarkStart w:id="7776" w:name="_Toc516837834"/>
      <w:bookmarkStart w:id="7777" w:name="_Toc516838393"/>
      <w:bookmarkStart w:id="7778" w:name="_Toc516838952"/>
      <w:bookmarkStart w:id="7779" w:name="_Toc516839512"/>
      <w:bookmarkStart w:id="7780" w:name="_Toc517173608"/>
      <w:bookmarkStart w:id="7781" w:name="_Toc517175282"/>
      <w:bookmarkStart w:id="7782" w:name="_Toc517175869"/>
      <w:bookmarkStart w:id="7783" w:name="_Toc517176457"/>
      <w:bookmarkStart w:id="7784" w:name="_Toc517337782"/>
      <w:bookmarkStart w:id="7785" w:name="_Toc517360578"/>
      <w:bookmarkStart w:id="7786" w:name="_Toc516739960"/>
      <w:bookmarkStart w:id="7787" w:name="_Toc516751869"/>
      <w:bookmarkStart w:id="7788" w:name="_Toc516825957"/>
      <w:bookmarkStart w:id="7789" w:name="_Toc516826515"/>
      <w:bookmarkStart w:id="7790" w:name="_Toc516837835"/>
      <w:bookmarkStart w:id="7791" w:name="_Toc516838394"/>
      <w:bookmarkStart w:id="7792" w:name="_Toc516838953"/>
      <w:bookmarkStart w:id="7793" w:name="_Toc516839513"/>
      <w:bookmarkStart w:id="7794" w:name="_Toc517173609"/>
      <w:bookmarkStart w:id="7795" w:name="_Toc517175283"/>
      <w:bookmarkStart w:id="7796" w:name="_Toc517175870"/>
      <w:bookmarkStart w:id="7797" w:name="_Toc517176458"/>
      <w:bookmarkStart w:id="7798" w:name="_Toc517337783"/>
      <w:bookmarkStart w:id="7799" w:name="_Toc517360579"/>
      <w:bookmarkStart w:id="7800" w:name="_Toc516739961"/>
      <w:bookmarkStart w:id="7801" w:name="_Toc516751870"/>
      <w:bookmarkStart w:id="7802" w:name="_Toc516825958"/>
      <w:bookmarkStart w:id="7803" w:name="_Toc516826516"/>
      <w:bookmarkStart w:id="7804" w:name="_Toc516837836"/>
      <w:bookmarkStart w:id="7805" w:name="_Toc516838395"/>
      <w:bookmarkStart w:id="7806" w:name="_Toc516838954"/>
      <w:bookmarkStart w:id="7807" w:name="_Toc516839514"/>
      <w:bookmarkStart w:id="7808" w:name="_Toc517173610"/>
      <w:bookmarkStart w:id="7809" w:name="_Toc517175284"/>
      <w:bookmarkStart w:id="7810" w:name="_Toc517175871"/>
      <w:bookmarkStart w:id="7811" w:name="_Toc517176459"/>
      <w:bookmarkStart w:id="7812" w:name="_Toc517337784"/>
      <w:bookmarkStart w:id="7813" w:name="_Toc517360580"/>
      <w:bookmarkStart w:id="7814" w:name="_Toc516739962"/>
      <w:bookmarkStart w:id="7815" w:name="_Toc516751871"/>
      <w:bookmarkStart w:id="7816" w:name="_Toc516825959"/>
      <w:bookmarkStart w:id="7817" w:name="_Toc516826517"/>
      <w:bookmarkStart w:id="7818" w:name="_Toc516837837"/>
      <w:bookmarkStart w:id="7819" w:name="_Toc516838396"/>
      <w:bookmarkStart w:id="7820" w:name="_Toc516838955"/>
      <w:bookmarkStart w:id="7821" w:name="_Toc516839515"/>
      <w:bookmarkStart w:id="7822" w:name="_Toc517173611"/>
      <w:bookmarkStart w:id="7823" w:name="_Toc517175285"/>
      <w:bookmarkStart w:id="7824" w:name="_Toc517175872"/>
      <w:bookmarkStart w:id="7825" w:name="_Toc517176460"/>
      <w:bookmarkStart w:id="7826" w:name="_Toc517337785"/>
      <w:bookmarkStart w:id="7827" w:name="_Toc517360581"/>
      <w:bookmarkStart w:id="7828" w:name="_Toc516739963"/>
      <w:bookmarkStart w:id="7829" w:name="_Toc516751872"/>
      <w:bookmarkStart w:id="7830" w:name="_Toc516825960"/>
      <w:bookmarkStart w:id="7831" w:name="_Toc516826518"/>
      <w:bookmarkStart w:id="7832" w:name="_Toc516837838"/>
      <w:bookmarkStart w:id="7833" w:name="_Toc516838397"/>
      <w:bookmarkStart w:id="7834" w:name="_Toc516838956"/>
      <w:bookmarkStart w:id="7835" w:name="_Toc516839516"/>
      <w:bookmarkStart w:id="7836" w:name="_Toc517173612"/>
      <w:bookmarkStart w:id="7837" w:name="_Toc517175286"/>
      <w:bookmarkStart w:id="7838" w:name="_Toc517175873"/>
      <w:bookmarkStart w:id="7839" w:name="_Toc517176461"/>
      <w:bookmarkStart w:id="7840" w:name="_Toc517337786"/>
      <w:bookmarkStart w:id="7841" w:name="_Toc517360582"/>
      <w:bookmarkStart w:id="7842" w:name="_Toc516739964"/>
      <w:bookmarkStart w:id="7843" w:name="_Toc516751873"/>
      <w:bookmarkStart w:id="7844" w:name="_Toc516825961"/>
      <w:bookmarkStart w:id="7845" w:name="_Toc516826519"/>
      <w:bookmarkStart w:id="7846" w:name="_Toc516837839"/>
      <w:bookmarkStart w:id="7847" w:name="_Toc516838398"/>
      <w:bookmarkStart w:id="7848" w:name="_Toc516838957"/>
      <w:bookmarkStart w:id="7849" w:name="_Toc516839517"/>
      <w:bookmarkStart w:id="7850" w:name="_Toc517173613"/>
      <w:bookmarkStart w:id="7851" w:name="_Toc517175287"/>
      <w:bookmarkStart w:id="7852" w:name="_Toc517175874"/>
      <w:bookmarkStart w:id="7853" w:name="_Toc517176462"/>
      <w:bookmarkStart w:id="7854" w:name="_Toc517337787"/>
      <w:bookmarkStart w:id="7855" w:name="_Toc517360583"/>
      <w:bookmarkStart w:id="7856" w:name="_Toc516739965"/>
      <w:bookmarkStart w:id="7857" w:name="_Toc516751874"/>
      <w:bookmarkStart w:id="7858" w:name="_Toc516825962"/>
      <w:bookmarkStart w:id="7859" w:name="_Toc516826520"/>
      <w:bookmarkStart w:id="7860" w:name="_Toc516837840"/>
      <w:bookmarkStart w:id="7861" w:name="_Toc516838399"/>
      <w:bookmarkStart w:id="7862" w:name="_Toc516838958"/>
      <w:bookmarkStart w:id="7863" w:name="_Toc516839518"/>
      <w:bookmarkStart w:id="7864" w:name="_Toc517173614"/>
      <w:bookmarkStart w:id="7865" w:name="_Toc517175288"/>
      <w:bookmarkStart w:id="7866" w:name="_Toc517175875"/>
      <w:bookmarkStart w:id="7867" w:name="_Toc517176463"/>
      <w:bookmarkStart w:id="7868" w:name="_Toc517337788"/>
      <w:bookmarkStart w:id="7869" w:name="_Toc517360584"/>
      <w:bookmarkStart w:id="7870" w:name="_Toc516739966"/>
      <w:bookmarkStart w:id="7871" w:name="_Toc516751875"/>
      <w:bookmarkStart w:id="7872" w:name="_Toc516825963"/>
      <w:bookmarkStart w:id="7873" w:name="_Toc516826521"/>
      <w:bookmarkStart w:id="7874" w:name="_Toc516837841"/>
      <w:bookmarkStart w:id="7875" w:name="_Toc516838400"/>
      <w:bookmarkStart w:id="7876" w:name="_Toc516838959"/>
      <w:bookmarkStart w:id="7877" w:name="_Toc516839519"/>
      <w:bookmarkStart w:id="7878" w:name="_Toc517173615"/>
      <w:bookmarkStart w:id="7879" w:name="_Toc517175289"/>
      <w:bookmarkStart w:id="7880" w:name="_Toc517175876"/>
      <w:bookmarkStart w:id="7881" w:name="_Toc517176464"/>
      <w:bookmarkStart w:id="7882" w:name="_Toc517337789"/>
      <w:bookmarkStart w:id="7883" w:name="_Toc517360585"/>
      <w:bookmarkStart w:id="7884" w:name="_Toc516739967"/>
      <w:bookmarkStart w:id="7885" w:name="_Toc516751876"/>
      <w:bookmarkStart w:id="7886" w:name="_Toc516825964"/>
      <w:bookmarkStart w:id="7887" w:name="_Toc516826522"/>
      <w:bookmarkStart w:id="7888" w:name="_Toc516837842"/>
      <w:bookmarkStart w:id="7889" w:name="_Toc516838401"/>
      <w:bookmarkStart w:id="7890" w:name="_Toc516838960"/>
      <w:bookmarkStart w:id="7891" w:name="_Toc516839520"/>
      <w:bookmarkStart w:id="7892" w:name="_Toc517173616"/>
      <w:bookmarkStart w:id="7893" w:name="_Toc517175290"/>
      <w:bookmarkStart w:id="7894" w:name="_Toc517175877"/>
      <w:bookmarkStart w:id="7895" w:name="_Toc517176465"/>
      <w:bookmarkStart w:id="7896" w:name="_Toc517337790"/>
      <w:bookmarkStart w:id="7897" w:name="_Toc517360586"/>
      <w:bookmarkStart w:id="7898" w:name="_Toc516739968"/>
      <w:bookmarkStart w:id="7899" w:name="_Toc516751877"/>
      <w:bookmarkStart w:id="7900" w:name="_Toc516825965"/>
      <w:bookmarkStart w:id="7901" w:name="_Toc516826523"/>
      <w:bookmarkStart w:id="7902" w:name="_Toc516837843"/>
      <w:bookmarkStart w:id="7903" w:name="_Toc516838402"/>
      <w:bookmarkStart w:id="7904" w:name="_Toc516838961"/>
      <w:bookmarkStart w:id="7905" w:name="_Toc516839521"/>
      <w:bookmarkStart w:id="7906" w:name="_Toc517173617"/>
      <w:bookmarkStart w:id="7907" w:name="_Toc517175291"/>
      <w:bookmarkStart w:id="7908" w:name="_Toc517175878"/>
      <w:bookmarkStart w:id="7909" w:name="_Toc517176466"/>
      <w:bookmarkStart w:id="7910" w:name="_Toc517337791"/>
      <w:bookmarkStart w:id="7911" w:name="_Toc517360587"/>
      <w:bookmarkStart w:id="7912" w:name="_Toc516739969"/>
      <w:bookmarkStart w:id="7913" w:name="_Toc516751878"/>
      <w:bookmarkStart w:id="7914" w:name="_Toc516825966"/>
      <w:bookmarkStart w:id="7915" w:name="_Toc516826524"/>
      <w:bookmarkStart w:id="7916" w:name="_Toc516837844"/>
      <w:bookmarkStart w:id="7917" w:name="_Toc516838403"/>
      <w:bookmarkStart w:id="7918" w:name="_Toc516838962"/>
      <w:bookmarkStart w:id="7919" w:name="_Toc516839522"/>
      <w:bookmarkStart w:id="7920" w:name="_Toc517173618"/>
      <w:bookmarkStart w:id="7921" w:name="_Toc517175292"/>
      <w:bookmarkStart w:id="7922" w:name="_Toc517175879"/>
      <w:bookmarkStart w:id="7923" w:name="_Toc517176467"/>
      <w:bookmarkStart w:id="7924" w:name="_Toc517337792"/>
      <w:bookmarkStart w:id="7925" w:name="_Toc517360588"/>
      <w:bookmarkStart w:id="7926" w:name="_Toc516739970"/>
      <w:bookmarkStart w:id="7927" w:name="_Toc516751879"/>
      <w:bookmarkStart w:id="7928" w:name="_Toc516825967"/>
      <w:bookmarkStart w:id="7929" w:name="_Toc516826525"/>
      <w:bookmarkStart w:id="7930" w:name="_Toc516837845"/>
      <w:bookmarkStart w:id="7931" w:name="_Toc516838404"/>
      <w:bookmarkStart w:id="7932" w:name="_Toc516838963"/>
      <w:bookmarkStart w:id="7933" w:name="_Toc516839523"/>
      <w:bookmarkStart w:id="7934" w:name="_Toc517173619"/>
      <w:bookmarkStart w:id="7935" w:name="_Toc517175293"/>
      <w:bookmarkStart w:id="7936" w:name="_Toc517175880"/>
      <w:bookmarkStart w:id="7937" w:name="_Toc517176468"/>
      <w:bookmarkStart w:id="7938" w:name="_Toc517337793"/>
      <w:bookmarkStart w:id="7939" w:name="_Toc517360589"/>
      <w:bookmarkStart w:id="7940" w:name="_Toc516739971"/>
      <w:bookmarkStart w:id="7941" w:name="_Toc516751880"/>
      <w:bookmarkStart w:id="7942" w:name="_Toc516825968"/>
      <w:bookmarkStart w:id="7943" w:name="_Toc516826526"/>
      <w:bookmarkStart w:id="7944" w:name="_Toc516837846"/>
      <w:bookmarkStart w:id="7945" w:name="_Toc516838405"/>
      <w:bookmarkStart w:id="7946" w:name="_Toc516838964"/>
      <w:bookmarkStart w:id="7947" w:name="_Toc516839524"/>
      <w:bookmarkStart w:id="7948" w:name="_Toc517173620"/>
      <w:bookmarkStart w:id="7949" w:name="_Toc517175294"/>
      <w:bookmarkStart w:id="7950" w:name="_Toc517175881"/>
      <w:bookmarkStart w:id="7951" w:name="_Toc517176469"/>
      <w:bookmarkStart w:id="7952" w:name="_Toc517337794"/>
      <w:bookmarkStart w:id="7953" w:name="_Toc517360590"/>
      <w:bookmarkStart w:id="7954" w:name="_Toc516739972"/>
      <w:bookmarkStart w:id="7955" w:name="_Toc516751881"/>
      <w:bookmarkStart w:id="7956" w:name="_Toc516825969"/>
      <w:bookmarkStart w:id="7957" w:name="_Toc516826527"/>
      <w:bookmarkStart w:id="7958" w:name="_Toc516837847"/>
      <w:bookmarkStart w:id="7959" w:name="_Toc516838406"/>
      <w:bookmarkStart w:id="7960" w:name="_Toc516838965"/>
      <w:bookmarkStart w:id="7961" w:name="_Toc516839525"/>
      <w:bookmarkStart w:id="7962" w:name="_Toc517173621"/>
      <w:bookmarkStart w:id="7963" w:name="_Toc517175295"/>
      <w:bookmarkStart w:id="7964" w:name="_Toc517175882"/>
      <w:bookmarkStart w:id="7965" w:name="_Toc517176470"/>
      <w:bookmarkStart w:id="7966" w:name="_Toc517337795"/>
      <w:bookmarkStart w:id="7967" w:name="_Toc517360591"/>
      <w:bookmarkStart w:id="7968" w:name="_Toc516739973"/>
      <w:bookmarkStart w:id="7969" w:name="_Toc516751882"/>
      <w:bookmarkStart w:id="7970" w:name="_Toc516825970"/>
      <w:bookmarkStart w:id="7971" w:name="_Toc516826528"/>
      <w:bookmarkStart w:id="7972" w:name="_Toc516837848"/>
      <w:bookmarkStart w:id="7973" w:name="_Toc516838407"/>
      <w:bookmarkStart w:id="7974" w:name="_Toc516838966"/>
      <w:bookmarkStart w:id="7975" w:name="_Toc516839526"/>
      <w:bookmarkStart w:id="7976" w:name="_Toc517173622"/>
      <w:bookmarkStart w:id="7977" w:name="_Toc517175296"/>
      <w:bookmarkStart w:id="7978" w:name="_Toc517175883"/>
      <w:bookmarkStart w:id="7979" w:name="_Toc517176471"/>
      <w:bookmarkStart w:id="7980" w:name="_Toc517337796"/>
      <w:bookmarkStart w:id="7981" w:name="_Toc517360592"/>
      <w:bookmarkStart w:id="7982" w:name="_Toc516739974"/>
      <w:bookmarkStart w:id="7983" w:name="_Toc516751883"/>
      <w:bookmarkStart w:id="7984" w:name="_Toc516825971"/>
      <w:bookmarkStart w:id="7985" w:name="_Toc516826529"/>
      <w:bookmarkStart w:id="7986" w:name="_Toc516837849"/>
      <w:bookmarkStart w:id="7987" w:name="_Toc516838408"/>
      <w:bookmarkStart w:id="7988" w:name="_Toc516838967"/>
      <w:bookmarkStart w:id="7989" w:name="_Toc516839527"/>
      <w:bookmarkStart w:id="7990" w:name="_Toc517173623"/>
      <w:bookmarkStart w:id="7991" w:name="_Toc517175297"/>
      <w:bookmarkStart w:id="7992" w:name="_Toc517175884"/>
      <w:bookmarkStart w:id="7993" w:name="_Toc517176472"/>
      <w:bookmarkStart w:id="7994" w:name="_Toc517337797"/>
      <w:bookmarkStart w:id="7995" w:name="_Toc517360593"/>
      <w:bookmarkStart w:id="7996" w:name="_Toc74557814"/>
      <w:bookmarkStart w:id="7997" w:name="_Hlk39039940"/>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r>
        <w:t>040/367-15 : I</w:t>
      </w:r>
      <w:r w:rsidR="00CD234B">
        <w:t xml:space="preserve">mmeubles </w:t>
      </w:r>
      <w:r w:rsidR="00CD234B" w:rsidRPr="00F6098C">
        <w:t xml:space="preserve">inoccupés </w:t>
      </w:r>
      <w:r w:rsidR="00EF0C5E" w:rsidRPr="00F6098C">
        <w:t>et/ou délabrés</w:t>
      </w:r>
      <w:bookmarkEnd w:id="7996"/>
    </w:p>
    <w:bookmarkEnd w:id="7997"/>
    <w:p w14:paraId="72366818" w14:textId="77777777" w:rsidR="00996D79" w:rsidRPr="00705A12" w:rsidRDefault="00705A12" w:rsidP="00256E9F">
      <w:pPr>
        <w:spacing w:before="120"/>
      </w:pPr>
      <w:r w:rsidRPr="00E063FD">
        <w:t>T</w:t>
      </w:r>
      <w:r w:rsidR="00CD234B" w:rsidRPr="00E063FD">
        <w:t>axe directe</w:t>
      </w:r>
      <w:r w:rsidRPr="00E063FD">
        <w:t xml:space="preserve"> – Modèle disponible.</w:t>
      </w:r>
    </w:p>
    <w:p w14:paraId="2C445456" w14:textId="77777777" w:rsidR="009B153C" w:rsidRPr="00E063FD" w:rsidRDefault="009B153C" w:rsidP="00E063FD">
      <w:pPr>
        <w:spacing w:before="120"/>
        <w:jc w:val="both"/>
        <w:textAlignment w:val="baseline"/>
        <w:rPr>
          <w:rFonts w:asciiTheme="minorHAnsi" w:hAnsiTheme="minorHAnsi" w:cs="Calibri Light"/>
        </w:rPr>
      </w:pPr>
      <w:r w:rsidRPr="00E063FD">
        <w:rPr>
          <w:rFonts w:asciiTheme="minorHAnsi" w:hAnsiTheme="minorHAnsi" w:cs="Calibri Light"/>
        </w:rPr>
        <w:t>Taux recommandés :</w:t>
      </w:r>
    </w:p>
    <w:p w14:paraId="54642535" w14:textId="6DB3B53E" w:rsidR="009B153C" w:rsidRPr="00F6098C" w:rsidRDefault="009B153C" w:rsidP="00E063FD">
      <w:pPr>
        <w:spacing w:before="120"/>
        <w:jc w:val="both"/>
        <w:textAlignment w:val="baseline"/>
        <w:rPr>
          <w:rFonts w:asciiTheme="minorHAnsi" w:hAnsiTheme="minorHAnsi" w:cs="Calibri Light"/>
        </w:rPr>
      </w:pPr>
      <w:r w:rsidRPr="00F6098C">
        <w:rPr>
          <w:rFonts w:asciiTheme="minorHAnsi" w:hAnsiTheme="minorHAnsi" w:cs="Calibri Light"/>
        </w:rPr>
        <w:t>Lors de la 1</w:t>
      </w:r>
      <w:r w:rsidRPr="00F6098C">
        <w:rPr>
          <w:rFonts w:asciiTheme="minorHAnsi" w:hAnsiTheme="minorHAnsi" w:cs="Calibri Light"/>
          <w:vertAlign w:val="superscript"/>
        </w:rPr>
        <w:t>ère</w:t>
      </w:r>
      <w:r w:rsidRPr="00F6098C">
        <w:rPr>
          <w:rFonts w:asciiTheme="minorHAnsi" w:hAnsiTheme="minorHAnsi" w:cs="Calibri Light"/>
        </w:rPr>
        <w:t xml:space="preserve"> taxation : taux minimum de </w:t>
      </w:r>
      <w:r w:rsidR="000C0420" w:rsidRPr="00F6098C">
        <w:rPr>
          <w:rFonts w:asciiTheme="minorHAnsi" w:hAnsiTheme="minorHAnsi" w:cs="Calibri Light"/>
        </w:rPr>
        <w:t>25</w:t>
      </w:r>
      <w:r w:rsidR="00F6098C" w:rsidRPr="008D7EB7">
        <w:rPr>
          <w:rFonts w:asciiTheme="minorHAnsi" w:hAnsiTheme="minorHAnsi" w:cs="Calibri Light"/>
        </w:rPr>
        <w:t>,00</w:t>
      </w:r>
      <w:r w:rsidR="000C0420" w:rsidRPr="00F6098C">
        <w:rPr>
          <w:rFonts w:asciiTheme="minorHAnsi" w:hAnsiTheme="minorHAnsi" w:cs="Calibri Light"/>
        </w:rPr>
        <w:t xml:space="preserve"> </w:t>
      </w:r>
      <w:r w:rsidRPr="00F6098C">
        <w:rPr>
          <w:rFonts w:asciiTheme="minorHAnsi" w:hAnsiTheme="minorHAnsi" w:cs="Calibri Light"/>
        </w:rPr>
        <w:t>euros par mètre courant de façade</w:t>
      </w:r>
    </w:p>
    <w:p w14:paraId="20F4446A" w14:textId="10896B2B" w:rsidR="009B153C" w:rsidRPr="00F6098C" w:rsidRDefault="009B153C" w:rsidP="00E063FD">
      <w:pPr>
        <w:spacing w:before="120"/>
        <w:jc w:val="both"/>
        <w:textAlignment w:val="baseline"/>
        <w:rPr>
          <w:rFonts w:asciiTheme="minorHAnsi" w:hAnsiTheme="minorHAnsi" w:cs="Calibri Light"/>
        </w:rPr>
      </w:pPr>
      <w:r w:rsidRPr="00F6098C">
        <w:rPr>
          <w:rFonts w:asciiTheme="minorHAnsi" w:hAnsiTheme="minorHAnsi" w:cs="Calibri Light"/>
        </w:rPr>
        <w:t>Lors de la 2</w:t>
      </w:r>
      <w:r w:rsidRPr="00F6098C">
        <w:rPr>
          <w:rFonts w:asciiTheme="minorHAnsi" w:hAnsiTheme="minorHAnsi" w:cs="Calibri Light"/>
          <w:vertAlign w:val="superscript"/>
        </w:rPr>
        <w:t>ème</w:t>
      </w:r>
      <w:r w:rsidRPr="00F6098C">
        <w:rPr>
          <w:rFonts w:asciiTheme="minorHAnsi" w:hAnsiTheme="minorHAnsi" w:cs="Calibri Light"/>
        </w:rPr>
        <w:t xml:space="preserve"> taxation : taux minimum de </w:t>
      </w:r>
      <w:r w:rsidR="000C0420" w:rsidRPr="00F6098C">
        <w:rPr>
          <w:rFonts w:asciiTheme="minorHAnsi" w:hAnsiTheme="minorHAnsi" w:cs="Calibri Light"/>
        </w:rPr>
        <w:t>50</w:t>
      </w:r>
      <w:r w:rsidR="00F6098C" w:rsidRPr="008D7EB7">
        <w:rPr>
          <w:rFonts w:asciiTheme="minorHAnsi" w:hAnsiTheme="minorHAnsi" w:cs="Calibri Light"/>
        </w:rPr>
        <w:t>,00</w:t>
      </w:r>
      <w:r w:rsidR="000C0420" w:rsidRPr="00F6098C">
        <w:rPr>
          <w:rFonts w:asciiTheme="minorHAnsi" w:hAnsiTheme="minorHAnsi" w:cs="Calibri Light"/>
        </w:rPr>
        <w:t xml:space="preserve"> </w:t>
      </w:r>
      <w:r w:rsidRPr="00F6098C">
        <w:rPr>
          <w:rFonts w:asciiTheme="minorHAnsi" w:hAnsiTheme="minorHAnsi" w:cs="Calibri Light"/>
        </w:rPr>
        <w:t>euros par mètre courant de façade</w:t>
      </w:r>
    </w:p>
    <w:p w14:paraId="55F14809" w14:textId="65F6D4A6" w:rsidR="009B153C" w:rsidRPr="00F6098C" w:rsidRDefault="009B153C" w:rsidP="00E063FD">
      <w:pPr>
        <w:spacing w:before="120"/>
        <w:jc w:val="both"/>
        <w:textAlignment w:val="baseline"/>
        <w:rPr>
          <w:rFonts w:asciiTheme="minorHAnsi" w:hAnsiTheme="minorHAnsi" w:cs="Calibri Light"/>
        </w:rPr>
      </w:pPr>
      <w:r w:rsidRPr="00F6098C">
        <w:rPr>
          <w:rFonts w:asciiTheme="minorHAnsi" w:hAnsiTheme="minorHAnsi" w:cs="Calibri Light"/>
        </w:rPr>
        <w:t>A partir de la 3</w:t>
      </w:r>
      <w:r w:rsidRPr="00F6098C">
        <w:rPr>
          <w:rFonts w:asciiTheme="minorHAnsi" w:hAnsiTheme="minorHAnsi" w:cs="Calibri Light"/>
          <w:vertAlign w:val="superscript"/>
        </w:rPr>
        <w:t>ème</w:t>
      </w:r>
      <w:r w:rsidRPr="00F6098C">
        <w:rPr>
          <w:rFonts w:asciiTheme="minorHAnsi" w:hAnsiTheme="minorHAnsi" w:cs="Calibri Light"/>
        </w:rPr>
        <w:t xml:space="preserve"> taxation : taux minimum de </w:t>
      </w:r>
      <w:r w:rsidR="000C0420" w:rsidRPr="00F6098C">
        <w:rPr>
          <w:rFonts w:asciiTheme="minorHAnsi" w:hAnsiTheme="minorHAnsi" w:cs="Calibri Light"/>
        </w:rPr>
        <w:t>200</w:t>
      </w:r>
      <w:r w:rsidR="00F6098C" w:rsidRPr="008D7EB7">
        <w:rPr>
          <w:rFonts w:asciiTheme="minorHAnsi" w:hAnsiTheme="minorHAnsi" w:cs="Calibri Light"/>
        </w:rPr>
        <w:t>,00</w:t>
      </w:r>
      <w:r w:rsidR="000C0420" w:rsidRPr="00F6098C">
        <w:rPr>
          <w:rFonts w:asciiTheme="minorHAnsi" w:hAnsiTheme="minorHAnsi" w:cs="Calibri Light"/>
        </w:rPr>
        <w:t xml:space="preserve"> </w:t>
      </w:r>
      <w:r w:rsidRPr="00F6098C">
        <w:rPr>
          <w:rFonts w:asciiTheme="minorHAnsi" w:hAnsiTheme="minorHAnsi" w:cs="Calibri Light"/>
        </w:rPr>
        <w:t>euros par mètre courant de façade</w:t>
      </w:r>
      <w:r w:rsidR="007C26EE">
        <w:rPr>
          <w:rFonts w:asciiTheme="minorHAnsi" w:hAnsiTheme="minorHAnsi" w:cs="Calibri Light"/>
        </w:rPr>
        <w:t xml:space="preserve"> </w:t>
      </w:r>
    </w:p>
    <w:p w14:paraId="24655D95" w14:textId="5CB6E8E0" w:rsidR="009B153C" w:rsidRDefault="009B153C" w:rsidP="00E063FD">
      <w:pPr>
        <w:spacing w:before="120"/>
        <w:jc w:val="both"/>
        <w:textAlignment w:val="baseline"/>
        <w:rPr>
          <w:rFonts w:asciiTheme="minorHAnsi" w:hAnsiTheme="minorHAnsi" w:cs="Calibri Light"/>
        </w:rPr>
      </w:pPr>
      <w:r w:rsidRPr="00F6098C">
        <w:rPr>
          <w:rFonts w:asciiTheme="minorHAnsi" w:hAnsiTheme="minorHAnsi" w:cs="Calibri Light"/>
        </w:rPr>
        <w:t xml:space="preserve">Le taux maximum recommandé est quant à lui de </w:t>
      </w:r>
      <w:r w:rsidR="000C0420" w:rsidRPr="00F6098C">
        <w:rPr>
          <w:rFonts w:asciiTheme="minorHAnsi" w:hAnsiTheme="minorHAnsi" w:cs="Calibri Light"/>
        </w:rPr>
        <w:t>270</w:t>
      </w:r>
      <w:r w:rsidR="00F6098C" w:rsidRPr="008D7EB7">
        <w:rPr>
          <w:rFonts w:asciiTheme="minorHAnsi" w:hAnsiTheme="minorHAnsi" w:cs="Calibri Light"/>
        </w:rPr>
        <w:t>,00</w:t>
      </w:r>
      <w:r w:rsidR="000C0420" w:rsidRPr="00F6098C">
        <w:rPr>
          <w:rFonts w:asciiTheme="minorHAnsi" w:hAnsiTheme="minorHAnsi" w:cs="Calibri Light"/>
        </w:rPr>
        <w:t xml:space="preserve"> </w:t>
      </w:r>
      <w:r w:rsidRPr="00F6098C">
        <w:rPr>
          <w:rFonts w:asciiTheme="minorHAnsi" w:hAnsiTheme="minorHAnsi" w:cs="Calibri Light"/>
        </w:rPr>
        <w:t>euros par mètre courant de façade.</w:t>
      </w:r>
      <w:r w:rsidR="007C26EE">
        <w:rPr>
          <w:rFonts w:asciiTheme="minorHAnsi" w:hAnsiTheme="minorHAnsi" w:cs="Calibri Light"/>
        </w:rPr>
        <w:t xml:space="preserve"> </w:t>
      </w:r>
    </w:p>
    <w:p w14:paraId="3C494EF2" w14:textId="20F2D4E6" w:rsidR="007C26EE" w:rsidRPr="00A65F14" w:rsidRDefault="007C26EE" w:rsidP="00E063FD">
      <w:pPr>
        <w:spacing w:before="120"/>
        <w:jc w:val="both"/>
        <w:textAlignment w:val="baseline"/>
        <w:rPr>
          <w:rFonts w:asciiTheme="minorHAnsi" w:hAnsiTheme="minorHAnsi" w:cs="Calibri Light"/>
          <w:b/>
          <w:bCs/>
        </w:rPr>
      </w:pPr>
      <w:proofErr w:type="gramStart"/>
      <w:r w:rsidRPr="00A65F14">
        <w:rPr>
          <w:rFonts w:asciiTheme="minorHAnsi" w:hAnsiTheme="minorHAnsi" w:cs="Calibri Light"/>
          <w:b/>
          <w:bCs/>
        </w:rPr>
        <w:t>OU</w:t>
      </w:r>
      <w:proofErr w:type="gramEnd"/>
    </w:p>
    <w:p w14:paraId="708697BD" w14:textId="08C762FA" w:rsidR="007C26EE" w:rsidRPr="007C26EE" w:rsidRDefault="007C26EE" w:rsidP="007C26EE">
      <w:pPr>
        <w:spacing w:before="120"/>
        <w:jc w:val="both"/>
        <w:textAlignment w:val="baseline"/>
        <w:rPr>
          <w:rFonts w:asciiTheme="minorHAnsi" w:hAnsiTheme="minorHAnsi" w:cs="Calibri Light"/>
        </w:rPr>
      </w:pPr>
      <w:bookmarkStart w:id="7998" w:name="_Hlk69137922"/>
      <w:r w:rsidRPr="007C26EE">
        <w:rPr>
          <w:rFonts w:asciiTheme="minorHAnsi" w:hAnsiTheme="minorHAnsi" w:cs="Calibri Light"/>
        </w:rPr>
        <w:t>Lors de la 1ère taxation : taux minimum de 5,00 euros par m²</w:t>
      </w:r>
    </w:p>
    <w:p w14:paraId="767822EC" w14:textId="769E5F30" w:rsidR="007C26EE" w:rsidRPr="007C26EE" w:rsidRDefault="007C26EE" w:rsidP="007C26EE">
      <w:pPr>
        <w:spacing w:before="120"/>
        <w:jc w:val="both"/>
        <w:textAlignment w:val="baseline"/>
        <w:rPr>
          <w:rFonts w:asciiTheme="minorHAnsi" w:hAnsiTheme="minorHAnsi" w:cs="Calibri Light"/>
        </w:rPr>
      </w:pPr>
      <w:r w:rsidRPr="007C26EE">
        <w:rPr>
          <w:rFonts w:asciiTheme="minorHAnsi" w:hAnsiTheme="minorHAnsi" w:cs="Calibri Light"/>
        </w:rPr>
        <w:t xml:space="preserve">Lors de la 2ème taxation : taux minimum de </w:t>
      </w:r>
      <w:r>
        <w:rPr>
          <w:rFonts w:asciiTheme="minorHAnsi" w:hAnsiTheme="minorHAnsi" w:cs="Calibri Light"/>
        </w:rPr>
        <w:t>1</w:t>
      </w:r>
      <w:r w:rsidRPr="007C26EE">
        <w:rPr>
          <w:rFonts w:asciiTheme="minorHAnsi" w:hAnsiTheme="minorHAnsi" w:cs="Calibri Light"/>
        </w:rPr>
        <w:t>0,00 euros par m²</w:t>
      </w:r>
    </w:p>
    <w:p w14:paraId="79E09BE9" w14:textId="27B5FDB4" w:rsidR="007C26EE" w:rsidRPr="007C26EE" w:rsidRDefault="007C26EE" w:rsidP="007C26EE">
      <w:pPr>
        <w:spacing w:before="120"/>
        <w:jc w:val="both"/>
        <w:textAlignment w:val="baseline"/>
        <w:rPr>
          <w:rFonts w:asciiTheme="minorHAnsi" w:hAnsiTheme="minorHAnsi" w:cs="Calibri Light"/>
        </w:rPr>
      </w:pPr>
      <w:r w:rsidRPr="007C26EE">
        <w:rPr>
          <w:rFonts w:asciiTheme="minorHAnsi" w:hAnsiTheme="minorHAnsi" w:cs="Calibri Light"/>
        </w:rPr>
        <w:t xml:space="preserve">A partir de la 3ème taxation : taux minimum de </w:t>
      </w:r>
      <w:r>
        <w:rPr>
          <w:rFonts w:asciiTheme="minorHAnsi" w:hAnsiTheme="minorHAnsi" w:cs="Calibri Light"/>
        </w:rPr>
        <w:t>4</w:t>
      </w:r>
      <w:r w:rsidRPr="007C26EE">
        <w:rPr>
          <w:rFonts w:asciiTheme="minorHAnsi" w:hAnsiTheme="minorHAnsi" w:cs="Calibri Light"/>
        </w:rPr>
        <w:t>0,00 euros par m²</w:t>
      </w:r>
    </w:p>
    <w:p w14:paraId="69B62457" w14:textId="7010CA11" w:rsidR="007C26EE" w:rsidRPr="00DA6BD2" w:rsidRDefault="007C26EE" w:rsidP="007C26EE">
      <w:pPr>
        <w:spacing w:before="120"/>
        <w:jc w:val="both"/>
        <w:textAlignment w:val="baseline"/>
        <w:rPr>
          <w:rFonts w:asciiTheme="minorHAnsi" w:hAnsiTheme="minorHAnsi" w:cs="Calibri Light"/>
        </w:rPr>
      </w:pPr>
      <w:r w:rsidRPr="007C26EE">
        <w:rPr>
          <w:rFonts w:asciiTheme="minorHAnsi" w:hAnsiTheme="minorHAnsi" w:cs="Calibri Light"/>
        </w:rPr>
        <w:t xml:space="preserve">Le taux maximum recommandé est quant à lui de </w:t>
      </w:r>
      <w:r>
        <w:rPr>
          <w:rFonts w:asciiTheme="minorHAnsi" w:hAnsiTheme="minorHAnsi" w:cs="Calibri Light"/>
        </w:rPr>
        <w:t>54</w:t>
      </w:r>
      <w:r w:rsidRPr="007C26EE">
        <w:rPr>
          <w:rFonts w:asciiTheme="minorHAnsi" w:hAnsiTheme="minorHAnsi" w:cs="Calibri Light"/>
        </w:rPr>
        <w:t xml:space="preserve">,00 euros par mètre m² </w:t>
      </w:r>
    </w:p>
    <w:p w14:paraId="3FE53E0A" w14:textId="2BFCB4C4" w:rsidR="00DA5118" w:rsidRDefault="00DA5118" w:rsidP="00E063FD">
      <w:pPr>
        <w:spacing w:before="120"/>
        <w:jc w:val="both"/>
        <w:textAlignment w:val="baseline"/>
        <w:rPr>
          <w:rFonts w:asciiTheme="minorHAnsi" w:hAnsiTheme="minorHAnsi" w:cs="Calibri Light"/>
          <w:color w:val="0D0D0D"/>
        </w:rPr>
      </w:pPr>
      <w:bookmarkStart w:id="7999" w:name="_Hlk102035473"/>
      <w:bookmarkEnd w:id="7998"/>
      <w:r>
        <w:rPr>
          <w:rFonts w:asciiTheme="minorHAnsi" w:hAnsiTheme="minorHAnsi" w:cs="Calibri Light"/>
          <w:color w:val="0D0D0D"/>
        </w:rPr>
        <w:t>J’attire spécialement votre attention sur les contraintes</w:t>
      </w:r>
      <w:r w:rsidR="006E5C80">
        <w:rPr>
          <w:rFonts w:asciiTheme="minorHAnsi" w:hAnsiTheme="minorHAnsi" w:cs="Calibri Light"/>
          <w:color w:val="0D0D0D"/>
        </w:rPr>
        <w:t xml:space="preserve">, voire les difficultés inhérentes </w:t>
      </w:r>
      <w:r>
        <w:rPr>
          <w:rFonts w:asciiTheme="minorHAnsi" w:hAnsiTheme="minorHAnsi" w:cs="Calibri Light"/>
          <w:color w:val="0D0D0D"/>
        </w:rPr>
        <w:t xml:space="preserve">à la taxation au </w:t>
      </w:r>
      <w:r w:rsidR="00E9403C">
        <w:rPr>
          <w:rFonts w:asciiTheme="minorHAnsi" w:hAnsiTheme="minorHAnsi" w:cs="Calibri Light"/>
          <w:color w:val="0D0D0D"/>
        </w:rPr>
        <w:t>m²</w:t>
      </w:r>
      <w:r>
        <w:rPr>
          <w:rFonts w:asciiTheme="minorHAnsi" w:hAnsiTheme="minorHAnsi" w:cs="Calibri Light"/>
          <w:color w:val="0D0D0D"/>
        </w:rPr>
        <w:t>. Si cette méthode est privilégiée, elle doit être mûrement réfléchie compte tenu des renseignements indispensables dont vous pouvez disposer</w:t>
      </w:r>
      <w:r w:rsidR="00E15B9C">
        <w:rPr>
          <w:rFonts w:asciiTheme="minorHAnsi" w:hAnsiTheme="minorHAnsi" w:cs="Calibri Light"/>
          <w:color w:val="0D0D0D"/>
        </w:rPr>
        <w:t xml:space="preserve"> et ceux à obtenir ainsi que des outils pour les obtenir.</w:t>
      </w:r>
    </w:p>
    <w:p w14:paraId="2C8B46D0" w14:textId="616DBF5D" w:rsidR="003F68B4" w:rsidRDefault="003F68B4" w:rsidP="00E063FD">
      <w:pPr>
        <w:spacing w:before="120"/>
        <w:jc w:val="both"/>
        <w:textAlignment w:val="baseline"/>
        <w:rPr>
          <w:rFonts w:asciiTheme="minorHAnsi" w:hAnsiTheme="minorHAnsi" w:cs="Calibri Light"/>
          <w:color w:val="0D0D0D"/>
        </w:rPr>
      </w:pPr>
      <w:r>
        <w:rPr>
          <w:rFonts w:asciiTheme="minorHAnsi" w:hAnsiTheme="minorHAnsi" w:cs="Calibri Light"/>
          <w:color w:val="0D0D0D"/>
        </w:rPr>
        <w:t>Le choix de l’une ou l’autre méthode doit être motivé spécifiquement dans le préambule du règlement-taxe ou dans le dossier administratif.</w:t>
      </w:r>
    </w:p>
    <w:p w14:paraId="5FC3EE93" w14:textId="384165A5" w:rsidR="009B153C" w:rsidRPr="00DA6BD2" w:rsidRDefault="009B153C" w:rsidP="00E063FD">
      <w:pPr>
        <w:spacing w:before="120"/>
        <w:jc w:val="both"/>
        <w:textAlignment w:val="baseline"/>
        <w:rPr>
          <w:rFonts w:asciiTheme="minorHAnsi" w:hAnsiTheme="minorHAnsi" w:cs="Calibri Light"/>
          <w:color w:val="0D0D0D"/>
        </w:rPr>
      </w:pPr>
      <w:r w:rsidRPr="00DA6BD2">
        <w:rPr>
          <w:rFonts w:asciiTheme="minorHAnsi" w:hAnsiTheme="minorHAnsi" w:cs="Calibri Light"/>
          <w:color w:val="0D0D0D"/>
        </w:rPr>
        <w:t>Il est fortement recommandé aux communes de veiller à ce que les règlements-taxes prévoient, les taux minima recommandés ci-dessus.</w:t>
      </w:r>
    </w:p>
    <w:p w14:paraId="6BA4719C" w14:textId="77777777" w:rsidR="009F4DF1" w:rsidRDefault="009B153C" w:rsidP="00E063FD">
      <w:pPr>
        <w:spacing w:before="120"/>
        <w:jc w:val="both"/>
        <w:textAlignment w:val="baseline"/>
      </w:pPr>
      <w:r w:rsidRPr="00E063FD">
        <w:rPr>
          <w:rFonts w:asciiTheme="minorHAnsi" w:hAnsiTheme="minorHAnsi" w:cs="Calibri Light"/>
          <w:spacing w:val="5"/>
        </w:rPr>
        <w:t xml:space="preserve">L'objectif de cette taxe, qui vise </w:t>
      </w:r>
      <w:r w:rsidR="007C26EE">
        <w:rPr>
          <w:rFonts w:asciiTheme="minorHAnsi" w:hAnsiTheme="minorHAnsi" w:cs="Calibri Light"/>
          <w:spacing w:val="5"/>
        </w:rPr>
        <w:t xml:space="preserve">tous </w:t>
      </w:r>
      <w:r w:rsidRPr="00E063FD">
        <w:rPr>
          <w:rFonts w:asciiTheme="minorHAnsi" w:hAnsiTheme="minorHAnsi" w:cs="Calibri Light"/>
          <w:spacing w:val="5"/>
        </w:rPr>
        <w:t>les</w:t>
      </w:r>
      <w:r w:rsidR="007C26EE">
        <w:rPr>
          <w:rFonts w:asciiTheme="minorHAnsi" w:hAnsiTheme="minorHAnsi" w:cs="Calibri Light"/>
          <w:spacing w:val="5"/>
        </w:rPr>
        <w:t xml:space="preserve"> immeubles affectés au logement et uniquement les</w:t>
      </w:r>
      <w:r w:rsidRPr="00E063FD">
        <w:rPr>
          <w:rFonts w:asciiTheme="minorHAnsi" w:hAnsiTheme="minorHAnsi" w:cs="Calibri Light"/>
          <w:spacing w:val="5"/>
        </w:rPr>
        <w:t xml:space="preserve"> sites </w:t>
      </w:r>
      <w:r w:rsidR="007C26EE">
        <w:rPr>
          <w:rFonts w:asciiTheme="minorHAnsi" w:hAnsiTheme="minorHAnsi" w:cs="Calibri Light"/>
          <w:spacing w:val="5"/>
        </w:rPr>
        <w:t xml:space="preserve">d’activité économique désaffectés </w:t>
      </w:r>
      <w:r w:rsidRPr="00E063FD">
        <w:rPr>
          <w:rFonts w:asciiTheme="minorHAnsi" w:hAnsiTheme="minorHAnsi" w:cs="Calibri Light"/>
          <w:spacing w:val="5"/>
        </w:rPr>
        <w:t xml:space="preserve">de 1.000 m² maximum, est d’inciter à la réhabilitation et la réintroduction sur le marché locatif </w:t>
      </w:r>
      <w:r w:rsidR="000F2BA6" w:rsidRPr="0027625F">
        <w:rPr>
          <w:rFonts w:asciiTheme="minorHAnsi" w:hAnsiTheme="minorHAnsi" w:cs="Calibri Light"/>
          <w:spacing w:val="5"/>
        </w:rPr>
        <w:t>des immeubles inoccupés</w:t>
      </w:r>
      <w:r w:rsidR="009661F5">
        <w:rPr>
          <w:rFonts w:asciiTheme="minorHAnsi" w:hAnsiTheme="minorHAnsi" w:cs="Calibri Light"/>
          <w:spacing w:val="5"/>
        </w:rPr>
        <w:t>,</w:t>
      </w:r>
      <w:r w:rsidR="000F2BA6" w:rsidRPr="0027625F">
        <w:rPr>
          <w:rFonts w:asciiTheme="minorHAnsi" w:hAnsiTheme="minorHAnsi" w:cs="Calibri Light"/>
          <w:spacing w:val="5"/>
        </w:rPr>
        <w:t xml:space="preserve"> de d</w:t>
      </w:r>
      <w:r w:rsidR="00587071" w:rsidRPr="0027625F">
        <w:rPr>
          <w:rFonts w:asciiTheme="minorHAnsi" w:hAnsiTheme="minorHAnsi" w:cs="Calibri Light"/>
          <w:spacing w:val="5"/>
        </w:rPr>
        <w:t>é</w:t>
      </w:r>
      <w:r w:rsidR="000F2BA6" w:rsidRPr="0027625F">
        <w:rPr>
          <w:rFonts w:asciiTheme="minorHAnsi" w:hAnsiTheme="minorHAnsi" w:cs="Calibri Light"/>
          <w:spacing w:val="5"/>
        </w:rPr>
        <w:t xml:space="preserve">velopper </w:t>
      </w:r>
      <w:proofErr w:type="spellStart"/>
      <w:r w:rsidR="00AE36ED" w:rsidRPr="0027625F">
        <w:rPr>
          <w:rFonts w:asciiTheme="minorHAnsi" w:hAnsiTheme="minorHAnsi" w:cs="Calibri Light"/>
          <w:spacing w:val="5"/>
        </w:rPr>
        <w:t>I</w:t>
      </w:r>
      <w:r w:rsidR="00E9403C">
        <w:rPr>
          <w:rFonts w:asciiTheme="minorHAnsi" w:hAnsiTheme="minorHAnsi" w:cs="Calibri Light"/>
          <w:spacing w:val="5"/>
        </w:rPr>
        <w:t>’</w:t>
      </w:r>
      <w:r w:rsidR="00AE36ED" w:rsidRPr="0027625F">
        <w:rPr>
          <w:rFonts w:asciiTheme="minorHAnsi" w:hAnsiTheme="minorHAnsi" w:cs="Calibri Light"/>
          <w:spacing w:val="5"/>
        </w:rPr>
        <w:t>aménagement</w:t>
      </w:r>
      <w:proofErr w:type="spellEnd"/>
      <w:r w:rsidR="000F2BA6" w:rsidRPr="0027625F">
        <w:rPr>
          <w:rFonts w:asciiTheme="minorHAnsi" w:hAnsiTheme="minorHAnsi" w:cs="Calibri Light"/>
          <w:spacing w:val="5"/>
        </w:rPr>
        <w:t xml:space="preserve"> de logements au-dessus de</w:t>
      </w:r>
      <w:r w:rsidR="000F2BA6" w:rsidRPr="0027625F">
        <w:rPr>
          <w:rFonts w:asciiTheme="minorHAnsi" w:hAnsiTheme="minorHAnsi" w:cs="Calibri Light"/>
        </w:rPr>
        <w:t xml:space="preserve"> commerces et/ou d'en faire procéder à la revente dans une optique d'habitation ou de développement d'activités économiques et </w:t>
      </w:r>
      <w:r w:rsidRPr="0027625F">
        <w:rPr>
          <w:rFonts w:asciiTheme="minorHAnsi" w:hAnsiTheme="minorHAnsi" w:cs="Calibri Light"/>
        </w:rPr>
        <w:t>des étages se situant au-dessus des immeubles commerciaux.</w:t>
      </w:r>
      <w:r w:rsidR="009F4DF1" w:rsidRPr="009F4DF1">
        <w:t xml:space="preserve"> </w:t>
      </w:r>
    </w:p>
    <w:p w14:paraId="7AA4683F" w14:textId="3A8DC3FC" w:rsidR="009B153C" w:rsidRDefault="009F4DF1" w:rsidP="00E063FD">
      <w:pPr>
        <w:spacing w:before="120"/>
        <w:jc w:val="both"/>
        <w:textAlignment w:val="baseline"/>
        <w:rPr>
          <w:rFonts w:asciiTheme="minorHAnsi" w:hAnsiTheme="minorHAnsi" w:cs="Calibri Light"/>
        </w:rPr>
      </w:pPr>
      <w:r w:rsidRPr="009F4DF1">
        <w:rPr>
          <w:rFonts w:asciiTheme="minorHAnsi" w:hAnsiTheme="minorHAnsi" w:cs="Calibri Light"/>
        </w:rPr>
        <w:t>Il est toutefois renvoyé aux commentaires repris au point I.15 et sous le n° de nomenclature 04001/377-01 « Sites d'activité économique désaffectés ».</w:t>
      </w:r>
    </w:p>
    <w:p w14:paraId="104039D7" w14:textId="1A71A42F"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Le </w:t>
      </w:r>
      <w:r w:rsidRPr="00DA6BD2">
        <w:rPr>
          <w:rFonts w:asciiTheme="minorHAnsi" w:hAnsiTheme="minorHAnsi" w:cs="Calibri Light"/>
          <w:u w:val="single"/>
        </w:rPr>
        <w:t>fait générateur de la taxe</w:t>
      </w:r>
      <w:r w:rsidRPr="00DA6BD2">
        <w:rPr>
          <w:rFonts w:asciiTheme="minorHAnsi" w:hAnsiTheme="minorHAnsi" w:cs="Calibri Light"/>
        </w:rPr>
        <w:t xml:space="preserve"> est le maintien en l'état d'un immeuble inoccupé ou délabré qui a fait l'objet d'un constat établi et notifié.</w:t>
      </w:r>
    </w:p>
    <w:bookmarkEnd w:id="7999"/>
    <w:p w14:paraId="494AC6D3" w14:textId="2276119C" w:rsidR="00052DA8" w:rsidRDefault="00052DA8">
      <w:pPr>
        <w:spacing w:before="120"/>
        <w:jc w:val="both"/>
        <w:textAlignment w:val="baseline"/>
        <w:rPr>
          <w:rFonts w:asciiTheme="minorHAnsi" w:hAnsiTheme="minorHAnsi" w:cs="Calibri Light"/>
        </w:rPr>
      </w:pPr>
      <w:r w:rsidRPr="00A65F14">
        <w:rPr>
          <w:rFonts w:asciiTheme="minorHAnsi" w:hAnsiTheme="minorHAnsi" w:cs="Calibri Light"/>
          <w:u w:val="single"/>
        </w:rPr>
        <w:lastRenderedPageBreak/>
        <w:t>Remarque</w:t>
      </w:r>
      <w:r>
        <w:rPr>
          <w:rFonts w:asciiTheme="minorHAnsi" w:hAnsiTheme="minorHAnsi" w:cs="Calibri Light"/>
        </w:rPr>
        <w:t> :</w:t>
      </w:r>
    </w:p>
    <w:p w14:paraId="668AFEC0" w14:textId="351C3E46" w:rsidR="006B499E" w:rsidRDefault="006B499E" w:rsidP="00A65F14">
      <w:pPr>
        <w:jc w:val="both"/>
        <w:textAlignment w:val="baseline"/>
        <w:rPr>
          <w:rFonts w:asciiTheme="minorHAnsi" w:hAnsiTheme="minorHAnsi" w:cs="Calibri Light"/>
        </w:rPr>
      </w:pPr>
      <w:r>
        <w:rPr>
          <w:rFonts w:asciiTheme="minorHAnsi" w:hAnsiTheme="minorHAnsi" w:cs="Calibri Light"/>
        </w:rPr>
        <w:t>D</w:t>
      </w:r>
      <w:r w:rsidR="00B61AA3">
        <w:rPr>
          <w:rFonts w:asciiTheme="minorHAnsi" w:hAnsiTheme="minorHAnsi" w:cs="Calibri Light"/>
        </w:rPr>
        <w:t>ans le cadre de la lutte contre les logements inoccupés</w:t>
      </w:r>
      <w:r>
        <w:rPr>
          <w:rFonts w:asciiTheme="minorHAnsi" w:hAnsiTheme="minorHAnsi" w:cs="Calibri Light"/>
        </w:rPr>
        <w:t>, le Gouvernement wallon a adopté :</w:t>
      </w:r>
    </w:p>
    <w:p w14:paraId="035BFD23" w14:textId="05D341AA" w:rsidR="008042F1" w:rsidRDefault="006B499E">
      <w:pPr>
        <w:pStyle w:val="Paragraphedeliste"/>
        <w:numPr>
          <w:ilvl w:val="0"/>
          <w:numId w:val="120"/>
        </w:numPr>
        <w:ind w:left="709"/>
        <w:jc w:val="both"/>
        <w:textAlignment w:val="baseline"/>
        <w:rPr>
          <w:rFonts w:asciiTheme="minorHAnsi" w:hAnsiTheme="minorHAnsi" w:cs="Calibri Light"/>
        </w:rPr>
      </w:pPr>
      <w:proofErr w:type="gramStart"/>
      <w:r>
        <w:rPr>
          <w:rFonts w:asciiTheme="minorHAnsi" w:hAnsiTheme="minorHAnsi" w:cs="Calibri Light"/>
        </w:rPr>
        <w:t>le</w:t>
      </w:r>
      <w:proofErr w:type="gramEnd"/>
      <w:r>
        <w:rPr>
          <w:rFonts w:asciiTheme="minorHAnsi" w:hAnsiTheme="minorHAnsi" w:cs="Calibri Light"/>
        </w:rPr>
        <w:t xml:space="preserve"> décret du </w:t>
      </w:r>
      <w:r w:rsidR="008042F1">
        <w:rPr>
          <w:rFonts w:asciiTheme="minorHAnsi" w:hAnsiTheme="minorHAnsi" w:cs="Calibri Light"/>
        </w:rPr>
        <w:t>1</w:t>
      </w:r>
      <w:r w:rsidR="008042F1" w:rsidRPr="00256E9F">
        <w:rPr>
          <w:rFonts w:asciiTheme="minorHAnsi" w:hAnsiTheme="minorHAnsi" w:cs="Calibri Light"/>
          <w:vertAlign w:val="superscript"/>
        </w:rPr>
        <w:t>er</w:t>
      </w:r>
      <w:r w:rsidR="008042F1">
        <w:rPr>
          <w:rFonts w:asciiTheme="minorHAnsi" w:hAnsiTheme="minorHAnsi" w:cs="Calibri Light"/>
        </w:rPr>
        <w:t xml:space="preserve"> octobre 2021 </w:t>
      </w:r>
      <w:r w:rsidR="008042F1" w:rsidRPr="008042F1">
        <w:rPr>
          <w:rFonts w:asciiTheme="minorHAnsi" w:hAnsiTheme="minorHAnsi" w:cs="Calibri Light"/>
        </w:rPr>
        <w:t>modifiant le Code wallon de l'habitation durable en vue de renforcer la lutte contre le logement inoccupé</w:t>
      </w:r>
      <w:r w:rsidR="003F68B4">
        <w:rPr>
          <w:rFonts w:asciiTheme="minorHAnsi" w:hAnsiTheme="minorHAnsi" w:cs="Calibri Light"/>
        </w:rPr>
        <w:t> ;</w:t>
      </w:r>
    </w:p>
    <w:p w14:paraId="13E57EEC" w14:textId="12463205" w:rsidR="008042F1" w:rsidRDefault="008042F1">
      <w:pPr>
        <w:pStyle w:val="Paragraphedeliste"/>
        <w:numPr>
          <w:ilvl w:val="0"/>
          <w:numId w:val="120"/>
        </w:numPr>
        <w:ind w:left="709"/>
        <w:jc w:val="both"/>
        <w:textAlignment w:val="baseline"/>
        <w:rPr>
          <w:rFonts w:asciiTheme="minorHAnsi" w:hAnsiTheme="minorHAnsi" w:cs="Calibri Light"/>
        </w:rPr>
      </w:pPr>
      <w:proofErr w:type="gramStart"/>
      <w:r>
        <w:rPr>
          <w:rFonts w:asciiTheme="minorHAnsi" w:hAnsiTheme="minorHAnsi" w:cs="Calibri Light"/>
        </w:rPr>
        <w:t>l’arrêté</w:t>
      </w:r>
      <w:proofErr w:type="gramEnd"/>
      <w:r>
        <w:rPr>
          <w:rFonts w:asciiTheme="minorHAnsi" w:hAnsiTheme="minorHAnsi" w:cs="Calibri Light"/>
        </w:rPr>
        <w:t xml:space="preserve"> du Gouvernement wallon du 19 janvier 2022 </w:t>
      </w:r>
      <w:r w:rsidRPr="008042F1">
        <w:rPr>
          <w:rFonts w:asciiTheme="minorHAnsi" w:hAnsiTheme="minorHAnsi" w:cs="Calibri Light"/>
        </w:rPr>
        <w:t>relatif à la fixation et à la gestion des données relatives aux consommations minimales d'eau et d'électricité pouvant réputer un logement inoccupé en vertu de l'article 80, 3°, du Code wallon de l'habitation durable ;</w:t>
      </w:r>
    </w:p>
    <w:p w14:paraId="564C585B" w14:textId="77777777" w:rsidR="003F68B4" w:rsidRPr="003F68B4" w:rsidRDefault="003F68B4" w:rsidP="00256E9F">
      <w:pPr>
        <w:pStyle w:val="Paragraphedeliste"/>
        <w:numPr>
          <w:ilvl w:val="0"/>
          <w:numId w:val="120"/>
        </w:numPr>
        <w:ind w:left="709"/>
        <w:jc w:val="both"/>
        <w:rPr>
          <w:rFonts w:asciiTheme="minorHAnsi" w:hAnsiTheme="minorHAnsi" w:cs="Calibri Light"/>
        </w:rPr>
      </w:pPr>
      <w:proofErr w:type="gramStart"/>
      <w:r w:rsidRPr="003F68B4">
        <w:rPr>
          <w:rFonts w:asciiTheme="minorHAnsi" w:hAnsiTheme="minorHAnsi" w:cs="Calibri Light"/>
        </w:rPr>
        <w:t>l’arrêté</w:t>
      </w:r>
      <w:proofErr w:type="gramEnd"/>
      <w:r w:rsidRPr="003F68B4">
        <w:rPr>
          <w:rFonts w:asciiTheme="minorHAnsi" w:hAnsiTheme="minorHAnsi" w:cs="Calibri Light"/>
        </w:rPr>
        <w:t xml:space="preserve"> du Gouvernement wallon 19 janvier 2022 relatif à l’agrément des associations visées à l’article 85 sexies du Code wallon de l’Habitation durable.</w:t>
      </w:r>
    </w:p>
    <w:p w14:paraId="62168F87" w14:textId="0C7B2FBE" w:rsidR="008042F1" w:rsidRDefault="008042F1">
      <w:pPr>
        <w:pStyle w:val="Paragraphedeliste"/>
        <w:numPr>
          <w:ilvl w:val="0"/>
          <w:numId w:val="120"/>
        </w:numPr>
        <w:ind w:left="709"/>
        <w:jc w:val="both"/>
        <w:textAlignment w:val="baseline"/>
        <w:rPr>
          <w:rFonts w:asciiTheme="minorHAnsi" w:hAnsiTheme="minorHAnsi" w:cs="Calibri Light"/>
        </w:rPr>
      </w:pPr>
      <w:bookmarkStart w:id="8000" w:name="_Hlk102050433"/>
      <w:proofErr w:type="gramStart"/>
      <w:r>
        <w:rPr>
          <w:rFonts w:asciiTheme="minorHAnsi" w:hAnsiTheme="minorHAnsi" w:cs="Calibri Light"/>
        </w:rPr>
        <w:t>l’arrêté</w:t>
      </w:r>
      <w:proofErr w:type="gramEnd"/>
      <w:r>
        <w:rPr>
          <w:rFonts w:asciiTheme="minorHAnsi" w:hAnsiTheme="minorHAnsi" w:cs="Calibri Light"/>
        </w:rPr>
        <w:t xml:space="preserve"> du Gouvernement wallon 19 janvier 2022 </w:t>
      </w:r>
      <w:r w:rsidRPr="008042F1">
        <w:rPr>
          <w:rFonts w:asciiTheme="minorHAnsi" w:hAnsiTheme="minorHAnsi" w:cs="Calibri Light"/>
        </w:rPr>
        <w:t>relatif</w:t>
      </w:r>
      <w:r w:rsidRPr="008042F1">
        <w:t xml:space="preserve"> </w:t>
      </w:r>
      <w:bookmarkEnd w:id="8000"/>
      <w:r w:rsidRPr="008042F1">
        <w:rPr>
          <w:rFonts w:asciiTheme="minorHAnsi" w:hAnsiTheme="minorHAnsi" w:cs="Calibri Light"/>
        </w:rPr>
        <w:t>aux amendes administratives visées à l’article 85 ter du Code wallon de l’Habitation durable</w:t>
      </w:r>
      <w:r w:rsidR="003F68B4">
        <w:rPr>
          <w:rFonts w:asciiTheme="minorHAnsi" w:hAnsiTheme="minorHAnsi" w:cs="Calibri Light"/>
        </w:rPr>
        <w:t> ;</w:t>
      </w:r>
    </w:p>
    <w:p w14:paraId="68213F7A" w14:textId="77777777" w:rsidR="00381B43" w:rsidRPr="00256E9F" w:rsidRDefault="00381B43" w:rsidP="00256E9F">
      <w:pPr>
        <w:pStyle w:val="Paragraphedeliste"/>
        <w:rPr>
          <w:rFonts w:asciiTheme="minorHAnsi" w:hAnsiTheme="minorHAnsi" w:cs="Calibri Light"/>
        </w:rPr>
      </w:pPr>
    </w:p>
    <w:p w14:paraId="57AE36F2" w14:textId="01C37C93" w:rsidR="002F0880" w:rsidRPr="002F0880" w:rsidRDefault="002F0880" w:rsidP="00256E9F">
      <w:pPr>
        <w:pStyle w:val="Paragraphedeliste"/>
        <w:ind w:left="709"/>
        <w:jc w:val="both"/>
        <w:textAlignment w:val="baseline"/>
        <w:rPr>
          <w:rFonts w:asciiTheme="minorHAnsi" w:hAnsiTheme="minorHAnsi" w:cs="Calibri Light"/>
        </w:rPr>
      </w:pPr>
      <w:r w:rsidRPr="002F0880">
        <w:rPr>
          <w:rFonts w:asciiTheme="minorHAnsi" w:hAnsiTheme="minorHAnsi" w:cs="Calibri Light"/>
        </w:rPr>
        <w:t>Ce</w:t>
      </w:r>
      <w:r w:rsidR="00381B43">
        <w:rPr>
          <w:rFonts w:asciiTheme="minorHAnsi" w:hAnsiTheme="minorHAnsi" w:cs="Calibri Light"/>
        </w:rPr>
        <w:t xml:space="preserve"> dernier</w:t>
      </w:r>
      <w:r w:rsidRPr="002F0880">
        <w:rPr>
          <w:rFonts w:asciiTheme="minorHAnsi" w:hAnsiTheme="minorHAnsi" w:cs="Calibri Light"/>
        </w:rPr>
        <w:t xml:space="preserve"> arrêté est très important pour les pouvoirs locaux et semble être un palliatif à la taxe communale dans la mesure où il prévoit les mesures d’exécution de cet article 85 ter </w:t>
      </w:r>
      <w:r w:rsidR="00381B43">
        <w:rPr>
          <w:rFonts w:asciiTheme="minorHAnsi" w:hAnsiTheme="minorHAnsi" w:cs="Calibri Light"/>
        </w:rPr>
        <w:t>lequel</w:t>
      </w:r>
      <w:r w:rsidRPr="002F0880">
        <w:rPr>
          <w:rFonts w:asciiTheme="minorHAnsi" w:hAnsiTheme="minorHAnsi" w:cs="Calibri Light"/>
        </w:rPr>
        <w:t xml:space="preserve"> prévoit que :</w:t>
      </w:r>
    </w:p>
    <w:p w14:paraId="517EC425" w14:textId="77777777" w:rsidR="002F0880" w:rsidRPr="00256E9F" w:rsidRDefault="002F0880" w:rsidP="002F0880">
      <w:pPr>
        <w:pStyle w:val="Paragraphedeliste"/>
        <w:ind w:left="360"/>
        <w:jc w:val="both"/>
        <w:textAlignment w:val="baseline"/>
        <w:rPr>
          <w:rFonts w:asciiTheme="minorHAnsi" w:hAnsiTheme="minorHAnsi" w:cs="Calibri Light"/>
          <w:sz w:val="10"/>
          <w:szCs w:val="10"/>
        </w:rPr>
      </w:pPr>
    </w:p>
    <w:p w14:paraId="07379E4E" w14:textId="0787D657" w:rsidR="002F0880" w:rsidRPr="002F0880" w:rsidRDefault="002F0880" w:rsidP="00381B43">
      <w:pPr>
        <w:pStyle w:val="Paragraphedeliste"/>
        <w:ind w:left="1134"/>
        <w:jc w:val="both"/>
        <w:textAlignment w:val="baseline"/>
        <w:rPr>
          <w:rFonts w:asciiTheme="minorHAnsi" w:hAnsiTheme="minorHAnsi" w:cs="Calibri Light"/>
        </w:rPr>
      </w:pPr>
      <w:r w:rsidRPr="002F0880">
        <w:rPr>
          <w:rFonts w:asciiTheme="minorHAnsi" w:hAnsiTheme="minorHAnsi" w:cs="Calibri Light"/>
        </w:rPr>
        <w:t>« §1er.</w:t>
      </w:r>
      <w:r w:rsidR="00152A61">
        <w:rPr>
          <w:rFonts w:asciiTheme="minorHAnsi" w:hAnsiTheme="minorHAnsi" w:cs="Calibri Light"/>
        </w:rPr>
        <w:t xml:space="preserve"> L</w:t>
      </w:r>
      <w:r w:rsidRPr="002F0880">
        <w:rPr>
          <w:rFonts w:asciiTheme="minorHAnsi" w:hAnsiTheme="minorHAnsi" w:cs="Calibri Light"/>
        </w:rPr>
        <w:t>e fait de maintenir un logement inoccupé, au sens de l'article 80, constitue une infraction administrative, pour le titulaire d'un droit réel principal" (décret du 17 juillet 2018, art. 382)</w:t>
      </w:r>
    </w:p>
    <w:p w14:paraId="7BC0C829" w14:textId="77777777" w:rsidR="002F0880" w:rsidRPr="00256E9F" w:rsidRDefault="002F0880" w:rsidP="00256E9F">
      <w:pPr>
        <w:pStyle w:val="Paragraphedeliste"/>
        <w:ind w:left="1134"/>
        <w:jc w:val="both"/>
        <w:textAlignment w:val="baseline"/>
        <w:rPr>
          <w:rFonts w:asciiTheme="minorHAnsi" w:hAnsiTheme="minorHAnsi" w:cs="Calibri Light"/>
          <w:sz w:val="10"/>
          <w:szCs w:val="10"/>
        </w:rPr>
      </w:pPr>
    </w:p>
    <w:p w14:paraId="2DCBC515" w14:textId="77777777"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 ter durant l'application des règles prévues aux sections 1/1 et 2.</w:t>
      </w:r>
    </w:p>
    <w:p w14:paraId="7D547797" w14:textId="77777777" w:rsidR="002F0880" w:rsidRPr="00256E9F" w:rsidRDefault="002F0880" w:rsidP="00256E9F">
      <w:pPr>
        <w:pStyle w:val="Paragraphedeliste"/>
        <w:ind w:left="1134"/>
        <w:jc w:val="both"/>
        <w:textAlignment w:val="baseline"/>
        <w:rPr>
          <w:rFonts w:asciiTheme="minorHAnsi" w:hAnsiTheme="minorHAnsi" w:cs="Calibri Light"/>
          <w:sz w:val="10"/>
          <w:szCs w:val="10"/>
        </w:rPr>
      </w:pPr>
    </w:p>
    <w:p w14:paraId="2C7CC834" w14:textId="77777777"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4A193F8B" w14:textId="77777777" w:rsidR="002F0880" w:rsidRPr="00256E9F" w:rsidRDefault="002F0880" w:rsidP="00256E9F">
      <w:pPr>
        <w:pStyle w:val="Paragraphedeliste"/>
        <w:ind w:left="1134"/>
        <w:jc w:val="both"/>
        <w:textAlignment w:val="baseline"/>
        <w:rPr>
          <w:rFonts w:asciiTheme="minorHAnsi" w:hAnsiTheme="minorHAnsi" w:cs="Calibri Light"/>
          <w:sz w:val="10"/>
          <w:szCs w:val="10"/>
        </w:rPr>
      </w:pPr>
    </w:p>
    <w:p w14:paraId="45A78A5E" w14:textId="77777777"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7740DF1" w14:textId="77777777" w:rsidR="002F0880" w:rsidRPr="00256E9F" w:rsidRDefault="002F0880" w:rsidP="00256E9F">
      <w:pPr>
        <w:pStyle w:val="Paragraphedeliste"/>
        <w:ind w:left="1134"/>
        <w:jc w:val="both"/>
        <w:textAlignment w:val="baseline"/>
        <w:rPr>
          <w:rFonts w:asciiTheme="minorHAnsi" w:hAnsiTheme="minorHAnsi" w:cs="Calibri Light"/>
          <w:sz w:val="10"/>
          <w:szCs w:val="10"/>
        </w:rPr>
      </w:pPr>
    </w:p>
    <w:p w14:paraId="4A47AF91" w14:textId="669CEF6A"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 xml:space="preserve">§3. </w:t>
      </w:r>
      <w:r w:rsidR="00152A61" w:rsidRPr="00152A61">
        <w:rPr>
          <w:rFonts w:asciiTheme="minorHAnsi" w:hAnsiTheme="minorHAnsi" w:cs="Calibri Light"/>
        </w:rPr>
        <w:t xml:space="preserve">(Si aucune taxe pour logement inoccupé n'a été levée sur le logement visé pour l'exercice en cours, - Décret du 12 novembre 2021, art.2) </w:t>
      </w:r>
      <w:r w:rsidRPr="002F0880">
        <w:rPr>
          <w:rFonts w:asciiTheme="minorHAnsi" w:hAnsiTheme="minorHAnsi" w:cs="Calibri Light"/>
        </w:rPr>
        <w:t xml:space="preserve">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w:t>
      </w:r>
      <w:proofErr w:type="gramStart"/>
      <w:r w:rsidRPr="002F0880">
        <w:rPr>
          <w:rFonts w:asciiTheme="minorHAnsi" w:hAnsiTheme="minorHAnsi" w:cs="Calibri Light"/>
        </w:rPr>
        <w:t>six mois précité</w:t>
      </w:r>
      <w:proofErr w:type="gramEnd"/>
      <w:r w:rsidRPr="002F0880">
        <w:rPr>
          <w:rFonts w:asciiTheme="minorHAnsi" w:hAnsiTheme="minorHAnsi" w:cs="Calibri Light"/>
        </w:rPr>
        <w:t>.</w:t>
      </w:r>
    </w:p>
    <w:p w14:paraId="3B271F6C" w14:textId="77777777" w:rsidR="002F0880" w:rsidRPr="00256E9F" w:rsidRDefault="002F0880" w:rsidP="00256E9F">
      <w:pPr>
        <w:pStyle w:val="Paragraphedeliste"/>
        <w:ind w:left="1134"/>
        <w:jc w:val="both"/>
        <w:textAlignment w:val="baseline"/>
        <w:rPr>
          <w:rFonts w:asciiTheme="minorHAnsi" w:hAnsiTheme="minorHAnsi" w:cs="Calibri Light"/>
          <w:sz w:val="10"/>
          <w:szCs w:val="10"/>
        </w:rPr>
      </w:pPr>
    </w:p>
    <w:p w14:paraId="66ED5297" w14:textId="77777777"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L'avertissement est notifié par envoi recommandé à la poste avec accusé de réception. Il mentionne :</w:t>
      </w:r>
    </w:p>
    <w:p w14:paraId="39865B53" w14:textId="77777777" w:rsidR="002F0880" w:rsidRPr="00256E9F" w:rsidRDefault="002F0880" w:rsidP="00256E9F">
      <w:pPr>
        <w:pStyle w:val="Paragraphedeliste"/>
        <w:ind w:left="1134"/>
        <w:jc w:val="both"/>
        <w:textAlignment w:val="baseline"/>
        <w:rPr>
          <w:rFonts w:asciiTheme="minorHAnsi" w:hAnsiTheme="minorHAnsi" w:cs="Calibri Light"/>
          <w:sz w:val="10"/>
          <w:szCs w:val="10"/>
        </w:rPr>
      </w:pPr>
    </w:p>
    <w:p w14:paraId="726A4B47" w14:textId="65EBA3FA"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1° le fait imputé et la disposition légale enfreinte</w:t>
      </w:r>
    </w:p>
    <w:p w14:paraId="36344063" w14:textId="27CC95A9"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2° le délai dans lequel il doit être mis fin à l'infraction</w:t>
      </w:r>
      <w:r w:rsidR="00F915F6">
        <w:rPr>
          <w:rFonts w:asciiTheme="minorHAnsi" w:hAnsiTheme="minorHAnsi" w:cs="Calibri Light"/>
        </w:rPr>
        <w:t xml:space="preserve"> </w:t>
      </w:r>
      <w:r w:rsidRPr="002F0880">
        <w:rPr>
          <w:rFonts w:asciiTheme="minorHAnsi" w:hAnsiTheme="minorHAnsi" w:cs="Calibri Light"/>
        </w:rPr>
        <w:t>;</w:t>
      </w:r>
    </w:p>
    <w:p w14:paraId="73047D4C" w14:textId="6E964444"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lastRenderedPageBreak/>
        <w:t>3° la sanction administrative encourue</w:t>
      </w:r>
      <w:r w:rsidR="00F915F6">
        <w:rPr>
          <w:rFonts w:asciiTheme="minorHAnsi" w:hAnsiTheme="minorHAnsi" w:cs="Calibri Light"/>
        </w:rPr>
        <w:t xml:space="preserve"> </w:t>
      </w:r>
      <w:r w:rsidRPr="002F0880">
        <w:rPr>
          <w:rFonts w:asciiTheme="minorHAnsi" w:hAnsiTheme="minorHAnsi" w:cs="Calibri Light"/>
        </w:rPr>
        <w:t>;</w:t>
      </w:r>
    </w:p>
    <w:p w14:paraId="7291E46E" w14:textId="15C5D6AC"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4° qu'en cas de non-paiement éventuel des amendes infligées, il peut être procédé à la vente publique du logement</w:t>
      </w:r>
      <w:r w:rsidR="00F915F6">
        <w:rPr>
          <w:rFonts w:asciiTheme="minorHAnsi" w:hAnsiTheme="minorHAnsi" w:cs="Calibri Light"/>
        </w:rPr>
        <w:t xml:space="preserve"> </w:t>
      </w:r>
      <w:r w:rsidRPr="002F0880">
        <w:rPr>
          <w:rFonts w:asciiTheme="minorHAnsi" w:hAnsiTheme="minorHAnsi" w:cs="Calibri Light"/>
        </w:rPr>
        <w:t>;</w:t>
      </w:r>
    </w:p>
    <w:p w14:paraId="17AA341E" w14:textId="61C94299"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5° une explication brève des mécanismes du droit de gestion publique et de la prise en gestion par un opérateur immobilier tels que prévus par le présent chapitre</w:t>
      </w:r>
      <w:r w:rsidR="00F915F6">
        <w:rPr>
          <w:rFonts w:asciiTheme="minorHAnsi" w:hAnsiTheme="minorHAnsi" w:cs="Calibri Light"/>
        </w:rPr>
        <w:t xml:space="preserve"> </w:t>
      </w:r>
      <w:r w:rsidRPr="002F0880">
        <w:rPr>
          <w:rFonts w:asciiTheme="minorHAnsi" w:hAnsiTheme="minorHAnsi" w:cs="Calibri Light"/>
        </w:rPr>
        <w:t>;</w:t>
      </w:r>
    </w:p>
    <w:p w14:paraId="09E3AEFC" w14:textId="77777777" w:rsidR="002F0880" w:rsidRPr="002F0880" w:rsidRDefault="002F0880" w:rsidP="00256E9F">
      <w:pPr>
        <w:pStyle w:val="Paragraphedeliste"/>
        <w:ind w:left="1134"/>
        <w:jc w:val="both"/>
        <w:textAlignment w:val="baseline"/>
        <w:rPr>
          <w:rFonts w:asciiTheme="minorHAnsi" w:hAnsiTheme="minorHAnsi" w:cs="Calibri Light"/>
        </w:rPr>
      </w:pPr>
      <w:r w:rsidRPr="002F0880">
        <w:rPr>
          <w:rFonts w:asciiTheme="minorHAnsi" w:hAnsiTheme="minorHAnsi" w:cs="Calibri Light"/>
        </w:rPr>
        <w:t>6° les voies et délais de recours. »</w:t>
      </w:r>
    </w:p>
    <w:p w14:paraId="7EBCBE41" w14:textId="77777777" w:rsidR="002F0880" w:rsidRPr="00256E9F" w:rsidRDefault="002F0880" w:rsidP="00256E9F">
      <w:pPr>
        <w:pStyle w:val="Paragraphedeliste"/>
        <w:ind w:left="709"/>
        <w:jc w:val="both"/>
        <w:textAlignment w:val="baseline"/>
        <w:rPr>
          <w:rFonts w:asciiTheme="minorHAnsi" w:hAnsiTheme="minorHAnsi" w:cs="Calibri Light"/>
          <w:sz w:val="10"/>
          <w:szCs w:val="10"/>
        </w:rPr>
      </w:pPr>
    </w:p>
    <w:p w14:paraId="29DBB31C" w14:textId="6F8DA933" w:rsidR="002F0880" w:rsidRPr="002F0880" w:rsidRDefault="002F0880" w:rsidP="00256E9F">
      <w:pPr>
        <w:pStyle w:val="Paragraphedeliste"/>
        <w:ind w:left="709"/>
        <w:jc w:val="both"/>
        <w:textAlignment w:val="baseline"/>
        <w:rPr>
          <w:rFonts w:asciiTheme="minorHAnsi" w:hAnsiTheme="minorHAnsi" w:cs="Calibri Light"/>
        </w:rPr>
      </w:pPr>
      <w:r w:rsidRPr="002F0880">
        <w:rPr>
          <w:rFonts w:asciiTheme="minorHAnsi" w:hAnsiTheme="minorHAnsi" w:cs="Calibri Light"/>
        </w:rPr>
        <w:t xml:space="preserve">Le </w:t>
      </w:r>
      <w:r>
        <w:rPr>
          <w:rFonts w:asciiTheme="minorHAnsi" w:hAnsiTheme="minorHAnsi" w:cs="Calibri Light"/>
        </w:rPr>
        <w:t xml:space="preserve">premier </w:t>
      </w:r>
      <w:r w:rsidRPr="002F0880">
        <w:rPr>
          <w:rFonts w:asciiTheme="minorHAnsi" w:hAnsiTheme="minorHAnsi" w:cs="Calibri Light"/>
        </w:rPr>
        <w:t>arrêté</w:t>
      </w:r>
      <w:r>
        <w:rPr>
          <w:rFonts w:asciiTheme="minorHAnsi" w:hAnsiTheme="minorHAnsi" w:cs="Calibri Light"/>
        </w:rPr>
        <w:t xml:space="preserve"> cité supra</w:t>
      </w:r>
      <w:r w:rsidRPr="002F0880">
        <w:rPr>
          <w:rFonts w:asciiTheme="minorHAnsi" w:hAnsiTheme="minorHAnsi" w:cs="Calibri Light"/>
        </w:rPr>
        <w:t xml:space="preserve"> définit les notions de consommation minimales d'eau ou d'électricité déterminées ou estimées pendant une durée d'au moins douze mois consécutifs, en deçà desquelles un logement est présumé inoccupé. Celles-ci sont de :</w:t>
      </w:r>
    </w:p>
    <w:p w14:paraId="6C72F76F" w14:textId="77777777" w:rsidR="002F0880" w:rsidRPr="002F0880" w:rsidRDefault="002F0880" w:rsidP="00902B4D">
      <w:pPr>
        <w:pStyle w:val="Paragraphedeliste"/>
        <w:ind w:left="1134"/>
        <w:jc w:val="both"/>
        <w:textAlignment w:val="baseline"/>
        <w:rPr>
          <w:rFonts w:asciiTheme="minorHAnsi" w:hAnsiTheme="minorHAnsi" w:cs="Calibri Light"/>
        </w:rPr>
      </w:pPr>
      <w:r w:rsidRPr="002F0880">
        <w:rPr>
          <w:rFonts w:asciiTheme="minorHAnsi" w:hAnsiTheme="minorHAnsi" w:cs="Calibri Light"/>
        </w:rPr>
        <w:t>-</w:t>
      </w:r>
      <w:r w:rsidRPr="002F0880">
        <w:rPr>
          <w:rFonts w:asciiTheme="minorHAnsi" w:hAnsiTheme="minorHAnsi" w:cs="Calibri Light"/>
        </w:rPr>
        <w:tab/>
        <w:t xml:space="preserve">quinze mètres </w:t>
      </w:r>
      <w:proofErr w:type="gramStart"/>
      <w:r w:rsidRPr="002F0880">
        <w:rPr>
          <w:rFonts w:asciiTheme="minorHAnsi" w:hAnsiTheme="minorHAnsi" w:cs="Calibri Light"/>
        </w:rPr>
        <w:t>cubes</w:t>
      </w:r>
      <w:proofErr w:type="gramEnd"/>
      <w:r w:rsidRPr="002F0880">
        <w:rPr>
          <w:rFonts w:asciiTheme="minorHAnsi" w:hAnsiTheme="minorHAnsi" w:cs="Calibri Light"/>
        </w:rPr>
        <w:t xml:space="preserve"> d'eau inclus ;</w:t>
      </w:r>
    </w:p>
    <w:p w14:paraId="118B5B5B" w14:textId="28A1011D" w:rsidR="002F0880" w:rsidRDefault="002F0880" w:rsidP="00902B4D">
      <w:pPr>
        <w:pStyle w:val="Paragraphedeliste"/>
        <w:ind w:left="1134"/>
        <w:jc w:val="both"/>
        <w:textAlignment w:val="baseline"/>
        <w:rPr>
          <w:rFonts w:asciiTheme="minorHAnsi" w:hAnsiTheme="minorHAnsi" w:cs="Calibri Light"/>
        </w:rPr>
      </w:pPr>
      <w:r w:rsidRPr="002F0880">
        <w:rPr>
          <w:rFonts w:asciiTheme="minorHAnsi" w:hAnsiTheme="minorHAnsi" w:cs="Calibri Light"/>
        </w:rPr>
        <w:t>-</w:t>
      </w:r>
      <w:r w:rsidRPr="002F0880">
        <w:rPr>
          <w:rFonts w:asciiTheme="minorHAnsi" w:hAnsiTheme="minorHAnsi" w:cs="Calibri Light"/>
        </w:rPr>
        <w:tab/>
        <w:t>Cent kilowattheures d'électricité inclus.</w:t>
      </w:r>
    </w:p>
    <w:p w14:paraId="43B48B7A" w14:textId="77777777" w:rsidR="002F0880" w:rsidRPr="002F0880" w:rsidRDefault="002F0880" w:rsidP="002F0880">
      <w:pPr>
        <w:pStyle w:val="Paragraphedeliste"/>
        <w:ind w:left="360"/>
        <w:jc w:val="both"/>
        <w:textAlignment w:val="baseline"/>
        <w:rPr>
          <w:rFonts w:asciiTheme="minorHAnsi" w:hAnsiTheme="minorHAnsi" w:cs="Calibri Light"/>
        </w:rPr>
      </w:pPr>
    </w:p>
    <w:p w14:paraId="2A3C799E" w14:textId="0057AE47" w:rsidR="002F0880" w:rsidRDefault="002F0880" w:rsidP="002F0880">
      <w:pPr>
        <w:pStyle w:val="Paragraphedeliste"/>
        <w:ind w:left="360"/>
        <w:jc w:val="both"/>
        <w:textAlignment w:val="baseline"/>
        <w:rPr>
          <w:rFonts w:asciiTheme="minorHAnsi" w:hAnsiTheme="minorHAnsi" w:cs="Calibri Light"/>
        </w:rPr>
      </w:pPr>
      <w:r w:rsidRPr="002F0880">
        <w:rPr>
          <w:rFonts w:asciiTheme="minorHAnsi" w:hAnsiTheme="minorHAnsi" w:cs="Calibri Light"/>
        </w:rPr>
        <w:t>Cet arrêté désigne aussi la commune comme responsable du traitement au sens du R.G.P.D. pour le traitement des données à caractère personnel visées à l'article 80, 3° du Code et prévoir que le rapport visé à l'article 80, 3°, alinéa 5 du Code contient :</w:t>
      </w:r>
    </w:p>
    <w:p w14:paraId="3EC57CEF" w14:textId="77777777" w:rsidR="002F0880" w:rsidRPr="00256E9F" w:rsidRDefault="002F0880" w:rsidP="002F0880">
      <w:pPr>
        <w:pStyle w:val="Paragraphedeliste"/>
        <w:ind w:left="360"/>
        <w:jc w:val="both"/>
        <w:textAlignment w:val="baseline"/>
        <w:rPr>
          <w:rFonts w:asciiTheme="minorHAnsi" w:hAnsiTheme="minorHAnsi" w:cs="Calibri Light"/>
          <w:sz w:val="10"/>
          <w:szCs w:val="10"/>
        </w:rPr>
      </w:pPr>
    </w:p>
    <w:p w14:paraId="6D1267C8" w14:textId="77777777" w:rsidR="002F0880" w:rsidRPr="002F0880" w:rsidRDefault="002F0880" w:rsidP="00256E9F">
      <w:pPr>
        <w:pStyle w:val="Paragraphedeliste"/>
        <w:tabs>
          <w:tab w:val="left" w:pos="709"/>
        </w:tabs>
        <w:ind w:left="426"/>
        <w:jc w:val="both"/>
        <w:textAlignment w:val="baseline"/>
        <w:rPr>
          <w:rFonts w:asciiTheme="minorHAnsi" w:hAnsiTheme="minorHAnsi" w:cs="Calibri Light"/>
        </w:rPr>
      </w:pPr>
      <w:r w:rsidRPr="002F0880">
        <w:rPr>
          <w:rFonts w:asciiTheme="minorHAnsi" w:hAnsiTheme="minorHAnsi" w:cs="Calibri Light"/>
        </w:rPr>
        <w:t>a)</w:t>
      </w:r>
      <w:r w:rsidRPr="002F0880">
        <w:rPr>
          <w:rFonts w:asciiTheme="minorHAnsi" w:hAnsiTheme="minorHAnsi" w:cs="Calibri Light"/>
        </w:rPr>
        <w:tab/>
        <w:t>Le nombre de logements inoccupés repris dans la liste visée à l'article 80, 3° du Code ;</w:t>
      </w:r>
    </w:p>
    <w:p w14:paraId="76244523" w14:textId="12EF9738" w:rsidR="002F0880" w:rsidRPr="002F0880" w:rsidRDefault="002F0880" w:rsidP="00256E9F">
      <w:pPr>
        <w:pStyle w:val="Paragraphedeliste"/>
        <w:tabs>
          <w:tab w:val="left" w:pos="709"/>
        </w:tabs>
        <w:ind w:left="709" w:hanging="284"/>
        <w:jc w:val="both"/>
        <w:textAlignment w:val="baseline"/>
        <w:rPr>
          <w:rFonts w:asciiTheme="minorHAnsi" w:hAnsiTheme="minorHAnsi" w:cs="Calibri Light"/>
        </w:rPr>
      </w:pPr>
      <w:r w:rsidRPr="002F0880">
        <w:rPr>
          <w:rFonts w:asciiTheme="minorHAnsi" w:hAnsiTheme="minorHAnsi" w:cs="Calibri Light"/>
        </w:rPr>
        <w:t>b)</w:t>
      </w:r>
      <w:r w:rsidRPr="002F0880">
        <w:rPr>
          <w:rFonts w:asciiTheme="minorHAnsi" w:hAnsiTheme="minorHAnsi" w:cs="Calibri Light"/>
        </w:rPr>
        <w:tab/>
        <w:t>Chaque mesure intentée par la commune, sur base de ladite liste, pour lutter contre les logements inoccupés ;</w:t>
      </w:r>
    </w:p>
    <w:p w14:paraId="63DF48FA" w14:textId="3956BDEF" w:rsidR="002F0880" w:rsidRDefault="002F0880" w:rsidP="00256E9F">
      <w:pPr>
        <w:pStyle w:val="Paragraphedeliste"/>
        <w:tabs>
          <w:tab w:val="left" w:pos="709"/>
        </w:tabs>
        <w:ind w:left="426"/>
        <w:jc w:val="both"/>
        <w:textAlignment w:val="baseline"/>
        <w:rPr>
          <w:rFonts w:asciiTheme="minorHAnsi" w:hAnsiTheme="minorHAnsi" w:cs="Calibri Light"/>
        </w:rPr>
      </w:pPr>
      <w:r w:rsidRPr="002F0880">
        <w:rPr>
          <w:rFonts w:asciiTheme="minorHAnsi" w:hAnsiTheme="minorHAnsi" w:cs="Calibri Light"/>
        </w:rPr>
        <w:t>c)</w:t>
      </w:r>
      <w:r w:rsidRPr="002F0880">
        <w:rPr>
          <w:rFonts w:asciiTheme="minorHAnsi" w:hAnsiTheme="minorHAnsi" w:cs="Calibri Light"/>
        </w:rPr>
        <w:tab/>
        <w:t>Les éventuels résultats des mesures intentées par la commune.</w:t>
      </w:r>
    </w:p>
    <w:p w14:paraId="4FC14B45" w14:textId="77777777" w:rsidR="002F0880" w:rsidRPr="00256E9F" w:rsidRDefault="002F0880" w:rsidP="002F0880">
      <w:pPr>
        <w:pStyle w:val="Paragraphedeliste"/>
        <w:ind w:left="360"/>
        <w:jc w:val="both"/>
        <w:textAlignment w:val="baseline"/>
        <w:rPr>
          <w:rFonts w:asciiTheme="minorHAnsi" w:hAnsiTheme="minorHAnsi" w:cs="Calibri Light"/>
          <w:sz w:val="10"/>
          <w:szCs w:val="10"/>
        </w:rPr>
      </w:pPr>
    </w:p>
    <w:p w14:paraId="268E45DF" w14:textId="49B54416" w:rsidR="00052DA8" w:rsidRPr="00256E9F" w:rsidRDefault="00052DA8" w:rsidP="00A65F14">
      <w:pPr>
        <w:jc w:val="both"/>
        <w:textAlignment w:val="baseline"/>
        <w:rPr>
          <w:rFonts w:asciiTheme="minorHAnsi" w:hAnsiTheme="minorHAnsi" w:cs="Calibri Light"/>
        </w:rPr>
      </w:pPr>
    </w:p>
    <w:p w14:paraId="268D1E78" w14:textId="7F1BD076" w:rsidR="002F0880" w:rsidRDefault="00CB06E7" w:rsidP="00A65F14">
      <w:pPr>
        <w:jc w:val="both"/>
        <w:textAlignment w:val="baseline"/>
        <w:rPr>
          <w:rFonts w:asciiTheme="minorHAnsi" w:hAnsiTheme="minorHAnsi" w:cs="Calibri Light"/>
        </w:rPr>
      </w:pPr>
      <w:r>
        <w:rPr>
          <w:rFonts w:asciiTheme="minorHAnsi" w:hAnsiTheme="minorHAnsi" w:cs="Calibri Light"/>
        </w:rPr>
        <w:t>Dans la mesure où ces textes prévoient de nouvelles obligations aux communes</w:t>
      </w:r>
      <w:r w:rsidR="00902B4D">
        <w:rPr>
          <w:rFonts w:asciiTheme="minorHAnsi" w:hAnsiTheme="minorHAnsi" w:cs="Calibri Light"/>
        </w:rPr>
        <w:t xml:space="preserve"> et une alternative à la taxe</w:t>
      </w:r>
      <w:r>
        <w:rPr>
          <w:rFonts w:asciiTheme="minorHAnsi" w:hAnsiTheme="minorHAnsi" w:cs="Calibri Light"/>
        </w:rPr>
        <w:t>, j</w:t>
      </w:r>
      <w:r w:rsidR="002F0880" w:rsidRPr="00256E9F">
        <w:rPr>
          <w:rFonts w:asciiTheme="minorHAnsi" w:hAnsiTheme="minorHAnsi" w:cs="Calibri Light"/>
        </w:rPr>
        <w:t xml:space="preserve">e vous invite vivement à aller </w:t>
      </w:r>
      <w:r>
        <w:rPr>
          <w:rFonts w:asciiTheme="minorHAnsi" w:hAnsiTheme="minorHAnsi" w:cs="Calibri Light"/>
        </w:rPr>
        <w:t>les consulter</w:t>
      </w:r>
      <w:r w:rsidRPr="00256E9F">
        <w:rPr>
          <w:rFonts w:asciiTheme="minorHAnsi" w:hAnsiTheme="minorHAnsi" w:cs="Calibri Light"/>
        </w:rPr>
        <w:t>.</w:t>
      </w:r>
    </w:p>
    <w:p w14:paraId="680D6F26" w14:textId="75493A5F" w:rsidR="00CB06E7" w:rsidRDefault="00CB06E7" w:rsidP="00A65F14">
      <w:pPr>
        <w:jc w:val="both"/>
        <w:textAlignment w:val="baseline"/>
        <w:rPr>
          <w:rFonts w:asciiTheme="minorHAnsi" w:hAnsiTheme="minorHAnsi" w:cs="Calibri Light"/>
        </w:rPr>
      </w:pPr>
    </w:p>
    <w:p w14:paraId="15514FB1" w14:textId="6F86951D" w:rsidR="00416909" w:rsidRPr="00256E9F" w:rsidRDefault="00416909" w:rsidP="00A65F14">
      <w:pPr>
        <w:jc w:val="both"/>
        <w:textAlignment w:val="baseline"/>
        <w:rPr>
          <w:rFonts w:asciiTheme="minorHAnsi" w:hAnsiTheme="minorHAnsi" w:cs="Calibri Light"/>
        </w:rPr>
      </w:pPr>
      <w:r w:rsidRPr="00256E9F">
        <w:rPr>
          <w:rFonts w:asciiTheme="minorHAnsi" w:hAnsiTheme="minorHAnsi" w:cs="Calibri Light"/>
          <w:b/>
          <w:bCs/>
          <w:u w:val="single"/>
        </w:rPr>
        <w:t>Les constats</w:t>
      </w:r>
      <w:r>
        <w:rPr>
          <w:rFonts w:asciiTheme="minorHAnsi" w:hAnsiTheme="minorHAnsi" w:cs="Calibri Light"/>
        </w:rPr>
        <w:t> :</w:t>
      </w:r>
    </w:p>
    <w:p w14:paraId="1DBE62B5" w14:textId="7372A845" w:rsidR="00E41960" w:rsidRPr="008D7EB7" w:rsidRDefault="00E41960" w:rsidP="00E41960">
      <w:pPr>
        <w:spacing w:before="120"/>
        <w:jc w:val="both"/>
        <w:textAlignment w:val="baseline"/>
        <w:rPr>
          <w:rFonts w:asciiTheme="minorHAnsi" w:hAnsiTheme="minorHAnsi" w:cs="Calibri Light"/>
        </w:rPr>
      </w:pPr>
      <w:r w:rsidRPr="008D7EB7">
        <w:rPr>
          <w:rFonts w:asciiTheme="minorHAnsi" w:hAnsiTheme="minorHAnsi" w:cs="Calibri Light"/>
        </w:rPr>
        <w:t xml:space="preserve">Vous trouverez ci-dessous des détails concernant </w:t>
      </w:r>
      <w:r w:rsidR="0074634B" w:rsidRPr="008D7EB7">
        <w:rPr>
          <w:rFonts w:asciiTheme="minorHAnsi" w:hAnsiTheme="minorHAnsi" w:cs="Calibri Light"/>
        </w:rPr>
        <w:t>diverses problématique</w:t>
      </w:r>
      <w:r w:rsidR="00EA5A41">
        <w:rPr>
          <w:rFonts w:asciiTheme="minorHAnsi" w:hAnsiTheme="minorHAnsi" w:cs="Calibri Light"/>
        </w:rPr>
        <w:t>s</w:t>
      </w:r>
      <w:r w:rsidR="0074634B" w:rsidRPr="008D7EB7">
        <w:rPr>
          <w:rFonts w:asciiTheme="minorHAnsi" w:hAnsiTheme="minorHAnsi" w:cs="Calibri Light"/>
        </w:rPr>
        <w:t xml:space="preserve"> dont notamment celle </w:t>
      </w:r>
      <w:r w:rsidR="001044C0" w:rsidRPr="00F6098C">
        <w:rPr>
          <w:rFonts w:asciiTheme="minorHAnsi" w:hAnsiTheme="minorHAnsi" w:cs="Calibri Light"/>
        </w:rPr>
        <w:t>du constat</w:t>
      </w:r>
      <w:r w:rsidRPr="008D7EB7">
        <w:rPr>
          <w:rFonts w:asciiTheme="minorHAnsi" w:hAnsiTheme="minorHAnsi" w:cs="Calibri Light"/>
        </w:rPr>
        <w:t xml:space="preserve">. </w:t>
      </w:r>
    </w:p>
    <w:p w14:paraId="2BDD8A9A" w14:textId="77777777" w:rsidR="00E41960" w:rsidRPr="008D7EB7" w:rsidRDefault="00E41960" w:rsidP="00E41960">
      <w:pPr>
        <w:spacing w:before="120"/>
        <w:jc w:val="both"/>
        <w:textAlignment w:val="baseline"/>
        <w:rPr>
          <w:rFonts w:cs="Calibri Light"/>
        </w:rPr>
      </w:pPr>
      <w:r w:rsidRPr="008D7EB7">
        <w:rPr>
          <w:rFonts w:cs="Calibri Light"/>
        </w:rPr>
        <w:t>La première taxation n'est valablement établie qu'au 2</w:t>
      </w:r>
      <w:r w:rsidRPr="008D7EB7">
        <w:rPr>
          <w:rFonts w:cs="Calibri Light"/>
          <w:vertAlign w:val="superscript"/>
        </w:rPr>
        <w:t>ème</w:t>
      </w:r>
      <w:r w:rsidRPr="008D7EB7">
        <w:rPr>
          <w:rFonts w:cs="Calibri Light"/>
        </w:rPr>
        <w:t xml:space="preserve"> constat qui doit être distant du 1</w:t>
      </w:r>
      <w:r w:rsidRPr="008D7EB7">
        <w:rPr>
          <w:rFonts w:cs="Calibri Light"/>
          <w:vertAlign w:val="superscript"/>
        </w:rPr>
        <w:t>er</w:t>
      </w:r>
      <w:r w:rsidRPr="008D7EB7">
        <w:rPr>
          <w:rFonts w:cs="Calibri Light"/>
        </w:rPr>
        <w:t xml:space="preserve"> constat d'une période minimale de 6 mois. En outre, si les 2 constats sont établis sur 2 exercices différents, la taxe est due uniquement pour l'exercice au cours duquel le 2</w:t>
      </w:r>
      <w:r w:rsidRPr="008D7EB7">
        <w:rPr>
          <w:rFonts w:cs="Calibri Light"/>
          <w:vertAlign w:val="superscript"/>
        </w:rPr>
        <w:t>ème</w:t>
      </w:r>
      <w:r w:rsidRPr="008D7EB7">
        <w:rPr>
          <w:rFonts w:cs="Calibri Light"/>
        </w:rPr>
        <w:t xml:space="preserve"> constat (qui est le fait générateur de la taxe) est établi.</w:t>
      </w:r>
    </w:p>
    <w:p w14:paraId="6D1B0F68" w14:textId="77777777" w:rsidR="00E41960" w:rsidRPr="008D7EB7" w:rsidRDefault="00E41960" w:rsidP="00E41960">
      <w:pPr>
        <w:spacing w:before="120"/>
        <w:jc w:val="both"/>
        <w:textAlignment w:val="baseline"/>
        <w:rPr>
          <w:rFonts w:cs="Calibri Light"/>
        </w:rPr>
      </w:pPr>
      <w:r w:rsidRPr="008D7EB7">
        <w:rPr>
          <w:rFonts w:cs="Calibri Light"/>
        </w:rPr>
        <w:t>1° « immeuble bâti » : tout bâtiment ou toute installation en tenant lieu, même en matériaux non durables, qui est incorporé au sol, ancré à celui-ci ou dont l'appui assure la stabilité, destiné à rester en place alors même qu'il peut être démonté ou déplacé.</w:t>
      </w:r>
    </w:p>
    <w:p w14:paraId="422B0457" w14:textId="77777777" w:rsidR="00E41960" w:rsidRPr="008D7EB7" w:rsidRDefault="00E41960" w:rsidP="00E41960">
      <w:pPr>
        <w:spacing w:before="120"/>
        <w:jc w:val="both"/>
        <w:textAlignment w:val="baseline"/>
        <w:rPr>
          <w:rFonts w:cs="Calibri Light"/>
        </w:rPr>
      </w:pPr>
      <w:r w:rsidRPr="008D7EB7">
        <w:rPr>
          <w:rFonts w:cs="Calibri Light"/>
        </w:rPr>
        <w:t>N'est pas visé par la taxe l'immeuble bâti visé par le décret du 27 mai 2004 relatif aux sites d'activité économique désaffectés de plus de 1000 m².</w:t>
      </w:r>
    </w:p>
    <w:p w14:paraId="07524551" w14:textId="77777777" w:rsidR="00E41960" w:rsidRPr="008D7EB7" w:rsidRDefault="00E41960" w:rsidP="00E41960">
      <w:pPr>
        <w:spacing w:before="120"/>
        <w:jc w:val="both"/>
        <w:textAlignment w:val="baseline"/>
        <w:rPr>
          <w:rFonts w:cs="Calibri Light"/>
        </w:rPr>
      </w:pPr>
      <w:r w:rsidRPr="008D7EB7">
        <w:rPr>
          <w:rFonts w:cs="Calibri Light"/>
        </w:rPr>
        <w:t>2° « immeuble sans inscription » : l'immeuble (ou la partie d'immeuble) bâti pour lequel aucune personne n'est inscrite dans les registres de la population ou d'attente, ou pour lequel il n'y a pas d'inscription à la Banque-Carrefour des Entreprises ;</w:t>
      </w:r>
    </w:p>
    <w:p w14:paraId="7A39E161" w14:textId="77777777" w:rsidR="00E41960" w:rsidRPr="008D7EB7" w:rsidRDefault="00E41960" w:rsidP="00E41960">
      <w:pPr>
        <w:spacing w:before="120"/>
        <w:jc w:val="both"/>
        <w:textAlignment w:val="baseline"/>
        <w:rPr>
          <w:rFonts w:cs="Calibri Light"/>
          <w:spacing w:val="-2"/>
        </w:rPr>
      </w:pPr>
      <w:r w:rsidRPr="008D7EB7">
        <w:rPr>
          <w:rFonts w:cs="Calibri Light"/>
          <w:spacing w:val="-2"/>
        </w:rPr>
        <w:t>3° « immeuble incompatible » : indépendamment de toute inscription dans les registres de la population ou d'attente ou à la Banque-Carrefour des Entreprises, l'immeuble (ou partie d'immeuble) bâti :</w:t>
      </w:r>
    </w:p>
    <w:p w14:paraId="198845D8" w14:textId="3BE819E7" w:rsidR="00E41960" w:rsidRPr="008D7EB7" w:rsidRDefault="00F6098C" w:rsidP="00E41960">
      <w:pPr>
        <w:numPr>
          <w:ilvl w:val="0"/>
          <w:numId w:val="40"/>
        </w:numPr>
        <w:tabs>
          <w:tab w:val="left" w:pos="576"/>
        </w:tabs>
        <w:spacing w:before="120"/>
        <w:ind w:left="576" w:hanging="576"/>
        <w:jc w:val="both"/>
        <w:textAlignment w:val="baseline"/>
        <w:rPr>
          <w:rFonts w:cs="Calibri Light"/>
        </w:rPr>
      </w:pPr>
      <w:proofErr w:type="gramStart"/>
      <w:r>
        <w:rPr>
          <w:rFonts w:cs="Calibri Light"/>
        </w:rPr>
        <w:lastRenderedPageBreak/>
        <w:t>d</w:t>
      </w:r>
      <w:r w:rsidR="00E41960" w:rsidRPr="008D7EB7">
        <w:rPr>
          <w:rFonts w:cs="Calibri Light"/>
        </w:rPr>
        <w:t>ont</w:t>
      </w:r>
      <w:proofErr w:type="gramEnd"/>
      <w:r w:rsidR="00E41960" w:rsidRPr="008D7EB7">
        <w:rPr>
          <w:rFonts w:cs="Calibri Light"/>
        </w:rPr>
        <w:t xml:space="preserve"> l'exploitation relève du décret du 11 mars 1999 relatif au permis d'environnement, dès lors que soit, le permis d'exploiter, d'environnement, unique ou la déclaration requise n'a pas été mis en œuvre et est périmé, soit que ledit établissement fait l'objet d'un ordre d'arrêter l'exploitation, d'un retrait ou d'une suspension d'autorisation </w:t>
      </w:r>
      <w:r w:rsidR="006A40FC" w:rsidRPr="008D7EB7">
        <w:rPr>
          <w:rFonts w:cs="Calibri Light"/>
        </w:rPr>
        <w:t xml:space="preserve">prononcé </w:t>
      </w:r>
      <w:r w:rsidR="00E41960" w:rsidRPr="008D7EB7">
        <w:rPr>
          <w:rFonts w:cs="Calibri Light"/>
        </w:rPr>
        <w:t>en vertu du décret susmentionné ;</w:t>
      </w:r>
    </w:p>
    <w:p w14:paraId="4EF3D957" w14:textId="50033587" w:rsidR="00E41960" w:rsidRPr="008D7EB7" w:rsidRDefault="00F6098C" w:rsidP="00E41960">
      <w:pPr>
        <w:numPr>
          <w:ilvl w:val="0"/>
          <w:numId w:val="40"/>
        </w:numPr>
        <w:tabs>
          <w:tab w:val="left" w:pos="576"/>
        </w:tabs>
        <w:spacing w:before="120"/>
        <w:ind w:left="576" w:hanging="576"/>
        <w:jc w:val="both"/>
        <w:textAlignment w:val="baseline"/>
        <w:rPr>
          <w:rFonts w:cs="Calibri Light"/>
          <w:spacing w:val="4"/>
        </w:rPr>
      </w:pPr>
      <w:proofErr w:type="gramStart"/>
      <w:r>
        <w:rPr>
          <w:rFonts w:cs="Calibri Light"/>
          <w:spacing w:val="4"/>
        </w:rPr>
        <w:t>d</w:t>
      </w:r>
      <w:r w:rsidR="00E41960" w:rsidRPr="008D7EB7">
        <w:rPr>
          <w:rFonts w:cs="Calibri Light"/>
          <w:spacing w:val="4"/>
        </w:rPr>
        <w:t>ont</w:t>
      </w:r>
      <w:proofErr w:type="gramEnd"/>
      <w:r w:rsidR="00E41960" w:rsidRPr="008D7EB7">
        <w:rPr>
          <w:rFonts w:cs="Calibri Light"/>
          <w:spacing w:val="4"/>
        </w:rPr>
        <w:t xml:space="preserve"> l'occupation relève d'une activité soumise à autorisation d'implantation commerciale en vertu de la loi du 29 juin 1975 relative aux implantations commerciales ou du décret du 5 février 2015 relatif aux implantations commerciales, lorsque ladite implantation fait l'objet d'un ordre de fermeture, d'un retrait ou d'une suspension d'autorisation </w:t>
      </w:r>
      <w:r w:rsidR="00B95727" w:rsidRPr="008D7EB7">
        <w:rPr>
          <w:rFonts w:cs="Calibri Light"/>
        </w:rPr>
        <w:t xml:space="preserve">prononcé </w:t>
      </w:r>
      <w:r w:rsidR="00E41960" w:rsidRPr="008D7EB7">
        <w:rPr>
          <w:rFonts w:cs="Calibri Light"/>
          <w:spacing w:val="4"/>
        </w:rPr>
        <w:t>en vertu des dispositions de la loi du 13 août 2004 ou d’une mesure de sanction prévue par l’article 68 du décret précité ;</w:t>
      </w:r>
    </w:p>
    <w:p w14:paraId="7BE5CC13" w14:textId="26295789" w:rsidR="00E41960" w:rsidRPr="008D7EB7" w:rsidRDefault="00F6098C" w:rsidP="00E41960">
      <w:pPr>
        <w:numPr>
          <w:ilvl w:val="0"/>
          <w:numId w:val="40"/>
        </w:numPr>
        <w:tabs>
          <w:tab w:val="left" w:pos="576"/>
        </w:tabs>
        <w:spacing w:before="120"/>
        <w:ind w:left="0"/>
        <w:jc w:val="both"/>
        <w:textAlignment w:val="baseline"/>
        <w:rPr>
          <w:rFonts w:cs="Calibri Light"/>
        </w:rPr>
      </w:pPr>
      <w:proofErr w:type="gramStart"/>
      <w:r>
        <w:rPr>
          <w:rFonts w:cs="Calibri Light"/>
        </w:rPr>
        <w:t>f</w:t>
      </w:r>
      <w:r w:rsidR="00E41960" w:rsidRPr="008D7EB7">
        <w:rPr>
          <w:rFonts w:cs="Calibri Light"/>
        </w:rPr>
        <w:t>aisant</w:t>
      </w:r>
      <w:proofErr w:type="gramEnd"/>
      <w:r w:rsidR="00E41960" w:rsidRPr="008D7EB7">
        <w:rPr>
          <w:rFonts w:cs="Calibri Light"/>
        </w:rPr>
        <w:t xml:space="preserve"> l'objet d'un arrêté d'</w:t>
      </w:r>
      <w:proofErr w:type="spellStart"/>
      <w:r w:rsidR="00E41960" w:rsidRPr="008D7EB7">
        <w:rPr>
          <w:rFonts w:cs="Calibri Light"/>
        </w:rPr>
        <w:t>inhabitabilité</w:t>
      </w:r>
      <w:proofErr w:type="spellEnd"/>
      <w:r w:rsidR="00E41960" w:rsidRPr="008D7EB7">
        <w:rPr>
          <w:rFonts w:cs="Calibri Light"/>
        </w:rPr>
        <w:t xml:space="preserve"> en application du Code wallon du logement ;</w:t>
      </w:r>
    </w:p>
    <w:p w14:paraId="39D2DD34" w14:textId="1B0FD965" w:rsidR="00E41960" w:rsidRPr="008D7EB7" w:rsidRDefault="00F6098C" w:rsidP="00E41960">
      <w:pPr>
        <w:numPr>
          <w:ilvl w:val="0"/>
          <w:numId w:val="40"/>
        </w:numPr>
        <w:tabs>
          <w:tab w:val="left" w:pos="576"/>
        </w:tabs>
        <w:spacing w:before="120"/>
        <w:ind w:left="576" w:hanging="576"/>
        <w:jc w:val="both"/>
        <w:textAlignment w:val="baseline"/>
        <w:rPr>
          <w:rFonts w:cs="Calibri Light"/>
        </w:rPr>
      </w:pPr>
      <w:proofErr w:type="gramStart"/>
      <w:r>
        <w:rPr>
          <w:rFonts w:cs="Calibri Light"/>
        </w:rPr>
        <w:t>f</w:t>
      </w:r>
      <w:r w:rsidR="00E41960" w:rsidRPr="008D7EB7">
        <w:rPr>
          <w:rFonts w:cs="Calibri Light"/>
        </w:rPr>
        <w:t>aisant</w:t>
      </w:r>
      <w:proofErr w:type="gramEnd"/>
      <w:r w:rsidR="00E41960" w:rsidRPr="008D7EB7">
        <w:rPr>
          <w:rFonts w:cs="Calibri Light"/>
        </w:rPr>
        <w:t xml:space="preserve"> l'objet d'un arrêté ordonnant la démolition ou en interdisant l'occupation, pris en application de l'article 135 de la nouvelle Loi communale ;</w:t>
      </w:r>
    </w:p>
    <w:p w14:paraId="697CE7BC" w14:textId="77777777" w:rsidR="00E41960" w:rsidRPr="008D7EB7" w:rsidRDefault="00E41960" w:rsidP="00E41960">
      <w:pPr>
        <w:spacing w:before="120"/>
        <w:jc w:val="both"/>
        <w:textAlignment w:val="baseline"/>
        <w:rPr>
          <w:rFonts w:cs="Calibri Light"/>
        </w:rPr>
      </w:pPr>
      <w:r w:rsidRPr="008D7EB7">
        <w:rPr>
          <w:rFonts w:cs="Calibri Light"/>
        </w:rPr>
        <w:t>4° « immeuble inoccupé » : l'immeuble (ou partie d'immeuble) bâti répondant à la définition d'immeuble sans inscription ou d'immeuble incompatible, ou les deux ;</w:t>
      </w:r>
    </w:p>
    <w:p w14:paraId="77D2FAF3" w14:textId="1EA7706D" w:rsidR="00E41960" w:rsidRDefault="00E41960" w:rsidP="00E41960">
      <w:pPr>
        <w:spacing w:before="120"/>
        <w:jc w:val="both"/>
        <w:textAlignment w:val="baseline"/>
        <w:rPr>
          <w:rFonts w:cs="Calibri Light"/>
          <w:spacing w:val="3"/>
        </w:rPr>
      </w:pPr>
      <w:r w:rsidRPr="008D7EB7">
        <w:rPr>
          <w:rFonts w:cs="Calibri Light"/>
          <w:spacing w:val="3"/>
        </w:rPr>
        <w:t>5° « immeuble délabré » : l'immeuble bâti dont l'état du clos (c'est-à-dire des murs, huisseries, fermetures, etc.) ou du couvert (c'est-à-dire de la couverture, charpente, etc.) présente en tout ou en partie soit des signes de délabrement résultant d'un état de vétusté manifeste, soit un manque d'entretien manifeste, ou encore qui n'est pas compatible avec l'occupation à laquelle il est structurellement destiné.</w:t>
      </w:r>
    </w:p>
    <w:p w14:paraId="1890B7BA" w14:textId="5E320F09" w:rsidR="009F4DF1" w:rsidRPr="008D7EB7" w:rsidRDefault="009F4DF1" w:rsidP="00E41960">
      <w:pPr>
        <w:spacing w:before="120"/>
        <w:jc w:val="both"/>
        <w:textAlignment w:val="baseline"/>
        <w:rPr>
          <w:rFonts w:cs="Calibri Light"/>
          <w:spacing w:val="3"/>
        </w:rPr>
      </w:pPr>
      <w:r w:rsidRPr="009F4DF1">
        <w:rPr>
          <w:rFonts w:cs="Calibri Light"/>
          <w:spacing w:val="3"/>
        </w:rPr>
        <w:t>Il est toutefois renvoyé aux commentaires repris au point I.15 et sous le n° de nomenclature 04001/377-01 « Sites d'activité économique désaffectés ».</w:t>
      </w:r>
    </w:p>
    <w:p w14:paraId="73F22C71" w14:textId="77777777" w:rsidR="00E41960" w:rsidRPr="008D7EB7" w:rsidRDefault="00E41960" w:rsidP="00E41960">
      <w:pPr>
        <w:spacing w:before="120"/>
        <w:jc w:val="both"/>
        <w:textAlignment w:val="baseline"/>
        <w:rPr>
          <w:rFonts w:cs="Calibri Light"/>
        </w:rPr>
      </w:pPr>
      <w:r w:rsidRPr="008D7EB7">
        <w:rPr>
          <w:rFonts w:cs="Calibri Light"/>
        </w:rPr>
        <w:t xml:space="preserve">La </w:t>
      </w:r>
      <w:r w:rsidRPr="008D7EB7">
        <w:rPr>
          <w:rFonts w:cs="Calibri Light"/>
          <w:u w:val="single"/>
        </w:rPr>
        <w:t>base imposable</w:t>
      </w:r>
      <w:r w:rsidRPr="008D7EB7">
        <w:rPr>
          <w:rFonts w:cs="Calibri Light"/>
        </w:rPr>
        <w:t xml:space="preserve"> est établie par le produit de la longueur en mètre courant ou fraction de mètre courant de façade du bâtiment et du nombre de niveaux inoccupés autres que les caves, sous-sols et greniers non aménagés que comporte le bâtiment.</w:t>
      </w:r>
    </w:p>
    <w:p w14:paraId="2C9FE81C" w14:textId="77777777" w:rsidR="00E41960" w:rsidRPr="008D7EB7" w:rsidRDefault="00E41960" w:rsidP="00E41960">
      <w:pPr>
        <w:spacing w:before="120"/>
        <w:jc w:val="both"/>
        <w:textAlignment w:val="baseline"/>
        <w:rPr>
          <w:rFonts w:cs="Calibri Light"/>
        </w:rPr>
      </w:pPr>
      <w:r w:rsidRPr="008D7EB7">
        <w:rPr>
          <w:rFonts w:cs="Calibri Light"/>
        </w:rPr>
        <w:t>Lorsque l'immeuble est à rue, la mesure de la façade s'effectue sur la longueur de la façade principale, à savoir celle où se situe la porte d'entrée principale, tandis que s'il possède plusieurs façades, la mesure est la plus grande longueur du bâti.</w:t>
      </w:r>
    </w:p>
    <w:p w14:paraId="0D9833CC" w14:textId="77777777" w:rsidR="00E41960" w:rsidRPr="008D7EB7" w:rsidRDefault="00E41960" w:rsidP="00E41960">
      <w:pPr>
        <w:spacing w:before="120"/>
        <w:jc w:val="both"/>
        <w:textAlignment w:val="baseline"/>
        <w:rPr>
          <w:rFonts w:cs="Calibri Light"/>
          <w:spacing w:val="4"/>
        </w:rPr>
      </w:pPr>
      <w:r w:rsidRPr="008D7EB7">
        <w:rPr>
          <w:rFonts w:cs="Calibri Light"/>
          <w:spacing w:val="4"/>
        </w:rPr>
        <w:t>Par ailleurs, le calcul de la base imposable s'effectue au prorata du revenu cadastral lorsque l'immeuble comporte plusieurs parties distinctes (par ex pour les immeubles à appartements).</w:t>
      </w:r>
    </w:p>
    <w:p w14:paraId="2307C060" w14:textId="77777777" w:rsidR="00E41960" w:rsidRPr="008D7EB7" w:rsidRDefault="00E41960" w:rsidP="00E41960">
      <w:pPr>
        <w:spacing w:before="120"/>
        <w:jc w:val="both"/>
        <w:textAlignment w:val="baseline"/>
        <w:rPr>
          <w:rFonts w:cs="Calibri Light"/>
          <w:spacing w:val="4"/>
        </w:rPr>
      </w:pPr>
      <w:r w:rsidRPr="008D7EB7">
        <w:rPr>
          <w:rFonts w:cs="Calibri Light"/>
          <w:spacing w:val="4"/>
        </w:rPr>
        <w:t xml:space="preserve">La taxe étant calculée par mètre courant de façade et par nombre de niveaux, elle tient compte des particularités propres à chacun des immeubles et </w:t>
      </w:r>
      <w:r w:rsidRPr="008D7EB7">
        <w:rPr>
          <w:rFonts w:cs="Calibri Light"/>
          <w:i/>
          <w:spacing w:val="4"/>
        </w:rPr>
        <w:t>« lorsqu’une norme établissant un impôt vise des contribuables dont les situations sont diverses, elle doit nécessairement appréhender cette diversité avec un certain degré d’approximation ; (…) les règles de l’égalité et de la non-discrimination n’exigent pas que la norme module l’imposition en fonction des particularités de chaque cas </w:t>
      </w:r>
      <w:r w:rsidRPr="008D7EB7">
        <w:rPr>
          <w:rFonts w:cs="Calibri Light"/>
          <w:spacing w:val="4"/>
        </w:rPr>
        <w:t>»</w:t>
      </w:r>
      <w:r w:rsidRPr="008D7EB7">
        <w:rPr>
          <w:rFonts w:cs="Calibri Light"/>
          <w:spacing w:val="4"/>
          <w:vertAlign w:val="superscript"/>
        </w:rPr>
        <w:footnoteReference w:id="190"/>
      </w:r>
      <w:r w:rsidRPr="008D7EB7">
        <w:rPr>
          <w:rFonts w:cs="Calibri Light"/>
          <w:spacing w:val="4"/>
        </w:rPr>
        <w:t>.</w:t>
      </w:r>
    </w:p>
    <w:p w14:paraId="7B6BDD3E" w14:textId="165A93DC" w:rsidR="00E41960" w:rsidRPr="008D7EB7" w:rsidRDefault="00E41960" w:rsidP="00E41960">
      <w:pPr>
        <w:spacing w:before="120"/>
        <w:jc w:val="both"/>
        <w:textAlignment w:val="baseline"/>
        <w:rPr>
          <w:rFonts w:cs="Calibri Light"/>
          <w:spacing w:val="4"/>
        </w:rPr>
      </w:pPr>
      <w:r w:rsidRPr="008D7EB7">
        <w:rPr>
          <w:rFonts w:cs="Calibri Light"/>
          <w:spacing w:val="4"/>
        </w:rPr>
        <w:t xml:space="preserve">Est </w:t>
      </w:r>
      <w:r w:rsidRPr="008D7EB7">
        <w:rPr>
          <w:rFonts w:cs="Calibri Light"/>
          <w:spacing w:val="4"/>
          <w:u w:val="single"/>
        </w:rPr>
        <w:t>redevable</w:t>
      </w:r>
      <w:r w:rsidRPr="008D7EB7">
        <w:rPr>
          <w:rFonts w:cs="Calibri Light"/>
          <w:spacing w:val="4"/>
        </w:rPr>
        <w:t xml:space="preserve"> de la taxe, le titulaire du droit </w:t>
      </w:r>
      <w:r w:rsidRPr="008D7EB7">
        <w:rPr>
          <w:rFonts w:cs="Calibri Light"/>
          <w:spacing w:val="4"/>
          <w:u w:val="single"/>
        </w:rPr>
        <w:t>réel</w:t>
      </w:r>
      <w:r w:rsidRPr="008D7EB7">
        <w:rPr>
          <w:rFonts w:cs="Calibri Light"/>
          <w:spacing w:val="4"/>
        </w:rPr>
        <w:t xml:space="preserve"> (propriétaire, </w:t>
      </w:r>
      <w:r w:rsidR="00215DE9" w:rsidRPr="008D7EB7">
        <w:rPr>
          <w:rFonts w:cs="Calibri Light"/>
          <w:spacing w:val="4"/>
        </w:rPr>
        <w:t>usufruitier, …</w:t>
      </w:r>
      <w:r w:rsidRPr="008D7EB7">
        <w:rPr>
          <w:rFonts w:cs="Calibri Light"/>
          <w:spacing w:val="4"/>
        </w:rPr>
        <w:t>) sur tout ou partie d'un immeuble inoccupé à la date du constat et du 1</w:t>
      </w:r>
      <w:r w:rsidRPr="008D7EB7">
        <w:rPr>
          <w:rFonts w:cs="Calibri Light"/>
          <w:spacing w:val="4"/>
          <w:vertAlign w:val="superscript"/>
        </w:rPr>
        <w:t>er</w:t>
      </w:r>
      <w:r w:rsidRPr="008D7EB7">
        <w:rPr>
          <w:rFonts w:cs="Calibri Light"/>
          <w:spacing w:val="4"/>
        </w:rPr>
        <w:t xml:space="preserve"> janvier de l'année d'imposition. En cas de pluralité de titulaires du droit réel, chacun d'entre eux est </w:t>
      </w:r>
      <w:r w:rsidRPr="008D7EB7">
        <w:rPr>
          <w:rFonts w:cs="Calibri Light"/>
          <w:spacing w:val="4"/>
        </w:rPr>
        <w:lastRenderedPageBreak/>
        <w:t>solidairement redevable. Il ne faut donc plus faire référence à la notion de droit réel de jouissance.</w:t>
      </w:r>
    </w:p>
    <w:p w14:paraId="770A6C24" w14:textId="77777777" w:rsidR="00F6098C" w:rsidRDefault="00F6098C" w:rsidP="00E41960">
      <w:pPr>
        <w:rPr>
          <w:b/>
          <w:u w:val="single"/>
        </w:rPr>
      </w:pPr>
    </w:p>
    <w:p w14:paraId="2B3459A1" w14:textId="24554A26" w:rsidR="00E41960" w:rsidRPr="008D7EB7" w:rsidRDefault="00E41960" w:rsidP="00E41960">
      <w:pPr>
        <w:rPr>
          <w:b/>
          <w:u w:val="single"/>
        </w:rPr>
      </w:pPr>
      <w:r w:rsidRPr="008D7EB7">
        <w:rPr>
          <w:b/>
          <w:u w:val="single"/>
        </w:rPr>
        <w:t>La problématique du constat </w:t>
      </w:r>
    </w:p>
    <w:p w14:paraId="125F4DD5" w14:textId="77777777" w:rsidR="00E41960" w:rsidRPr="008D7EB7" w:rsidRDefault="00E41960" w:rsidP="00E41960">
      <w:pPr>
        <w:spacing w:before="120"/>
        <w:jc w:val="both"/>
        <w:textAlignment w:val="baseline"/>
        <w:rPr>
          <w:rFonts w:cs="Calibri Light"/>
        </w:rPr>
      </w:pPr>
      <w:r w:rsidRPr="008D7EB7">
        <w:rPr>
          <w:rFonts w:cs="Calibri Light"/>
        </w:rPr>
        <w:t>Pour rappel, depuis que cette taxe a été rendue aux communes, les recommandations précisaient que la taxe ne peut être appliquée pour la 1</w:t>
      </w:r>
      <w:r w:rsidRPr="008D7EB7">
        <w:rPr>
          <w:rFonts w:cs="Calibri Light"/>
          <w:vertAlign w:val="superscript"/>
        </w:rPr>
        <w:t>ère</w:t>
      </w:r>
      <w:r w:rsidRPr="008D7EB7">
        <w:rPr>
          <w:rFonts w:cs="Calibri Light"/>
        </w:rPr>
        <w:t xml:space="preserve"> fois qu'après l'établissement de 2 constats lesquels doivent être distants </w:t>
      </w:r>
      <w:r w:rsidRPr="008D7EB7">
        <w:rPr>
          <w:rFonts w:cs="Calibri Light"/>
          <w:u w:val="single"/>
        </w:rPr>
        <w:t>d'au moins</w:t>
      </w:r>
      <w:r w:rsidRPr="008D7EB7">
        <w:rPr>
          <w:rFonts w:cs="Calibri Light"/>
        </w:rPr>
        <w:t xml:space="preserve"> 6 mois.</w:t>
      </w:r>
    </w:p>
    <w:p w14:paraId="6D399DC6" w14:textId="77777777" w:rsidR="00E41960" w:rsidRPr="008D7EB7" w:rsidRDefault="00E41960" w:rsidP="00E41960">
      <w:pPr>
        <w:spacing w:before="120"/>
        <w:jc w:val="both"/>
        <w:textAlignment w:val="baseline"/>
        <w:rPr>
          <w:rFonts w:cs="Calibri Light"/>
        </w:rPr>
      </w:pPr>
      <w:r w:rsidRPr="008D7EB7">
        <w:rPr>
          <w:rFonts w:cs="Calibri Light"/>
        </w:rPr>
        <w:t>Je vous informe que la jurisprudence commence à aborder cet élément de procédure. C'est ainsi qu'un jugement du 28 novembre 2013 du Tribunal de Première instance de Mons (mettant en cause la commune de Pont-à-Celles) a décidé qu'en disposant que le délai devant s'écouler entre les deux constats d'inoccupation est fixé à « au moins six mois », ce délai peut être supérieur au gré du pouvoir taxateur et que de ce fait le règlement-taxe violait le principe d'égalité des citoyens devant l'impôt. De manière plus implicite, ce même Tribunal semble censurer l'absence de certitude quant à la procédure de constatation, en ce qui concerne les dates de réalisation des constats.</w:t>
      </w:r>
    </w:p>
    <w:p w14:paraId="56669403" w14:textId="77777777" w:rsidR="00E41960" w:rsidRPr="008D7EB7" w:rsidRDefault="00E41960" w:rsidP="00E41960">
      <w:pPr>
        <w:spacing w:before="120"/>
        <w:jc w:val="both"/>
        <w:textAlignment w:val="baseline"/>
        <w:rPr>
          <w:rFonts w:cs="Calibri Light"/>
        </w:rPr>
      </w:pPr>
      <w:r w:rsidRPr="008D7EB7">
        <w:rPr>
          <w:rFonts w:cs="Calibri Light"/>
        </w:rPr>
        <w:t xml:space="preserve">Je vous invite donc à être particulièrement prudents dans l'établissement de vos constats et de préciser que la période entre les deux constats sera de </w:t>
      </w:r>
      <w:r w:rsidRPr="008D7EB7">
        <w:rPr>
          <w:rFonts w:cs="Calibri Light"/>
          <w:b/>
        </w:rPr>
        <w:t>6 mois minimum et que la durée de cette période sera identique pour tous les redevables</w:t>
      </w:r>
      <w:r w:rsidRPr="008D7EB7">
        <w:rPr>
          <w:rFonts w:cs="Calibri Light"/>
        </w:rPr>
        <w:t>.</w:t>
      </w:r>
    </w:p>
    <w:p w14:paraId="38492443" w14:textId="77777777" w:rsidR="00E41960" w:rsidRPr="008D7EB7" w:rsidRDefault="00E41960" w:rsidP="00E41960">
      <w:pPr>
        <w:spacing w:before="120"/>
        <w:jc w:val="both"/>
        <w:rPr>
          <w:rFonts w:cs="Calibri Light"/>
        </w:rPr>
      </w:pPr>
      <w:r w:rsidRPr="008D7EB7">
        <w:rPr>
          <w:rFonts w:cs="Calibri Light"/>
        </w:rPr>
        <w:t>Je vous informe que le Tribunal de 1</w:t>
      </w:r>
      <w:r w:rsidRPr="008D7EB7">
        <w:rPr>
          <w:rFonts w:cs="Calibri Light"/>
          <w:vertAlign w:val="superscript"/>
        </w:rPr>
        <w:t>ère</w:t>
      </w:r>
      <w:r w:rsidRPr="008D7EB7">
        <w:rPr>
          <w:rFonts w:cs="Calibri Light"/>
        </w:rPr>
        <w:t xml:space="preserve"> Instance de Namur, dans son jugement du 7 janvier 2016 relatif à une redevance télévision rappelle que « </w:t>
      </w:r>
      <w:r w:rsidRPr="008D7EB7">
        <w:rPr>
          <w:rFonts w:cs="Calibri Light"/>
          <w:i/>
        </w:rPr>
        <w:t xml:space="preserve">le domicile est le lieu occupé par une personne en vue d’y établir sa résidence réelle et où elle a droit au respect de sa vie privée. Les constatations faites à l’extérieur ne constituent pas une violation de domicile ». </w:t>
      </w:r>
      <w:r w:rsidRPr="008D7EB7">
        <w:rPr>
          <w:rFonts w:cs="Calibri Light"/>
        </w:rPr>
        <w:t xml:space="preserve">Elle a admis que le contrôleur regardant par la fenêtre du domicile du contribuable en question, pour effectuer ces constatations ne constitue pas une violation de son domicile ou de sa vie privée. </w:t>
      </w:r>
    </w:p>
    <w:p w14:paraId="0842D748" w14:textId="77777777" w:rsidR="00E41960" w:rsidRPr="008D7EB7" w:rsidRDefault="00E41960" w:rsidP="00E41960">
      <w:pPr>
        <w:rPr>
          <w:rFonts w:cs="Calibri Light"/>
        </w:rPr>
      </w:pPr>
    </w:p>
    <w:p w14:paraId="07499736" w14:textId="77777777" w:rsidR="00E41960" w:rsidRPr="008D7EB7" w:rsidRDefault="00E41960" w:rsidP="00E41960">
      <w:pPr>
        <w:rPr>
          <w:b/>
          <w:u w:val="single"/>
        </w:rPr>
      </w:pPr>
      <w:r w:rsidRPr="008D7EB7">
        <w:rPr>
          <w:b/>
          <w:u w:val="single"/>
        </w:rPr>
        <w:t>La proportionnalité du taux</w:t>
      </w:r>
    </w:p>
    <w:p w14:paraId="2D3AB2FB" w14:textId="77777777" w:rsidR="00E41960" w:rsidRPr="008D7EB7" w:rsidRDefault="00E41960" w:rsidP="00E41960">
      <w:pPr>
        <w:spacing w:before="120"/>
        <w:jc w:val="both"/>
        <w:textAlignment w:val="baseline"/>
        <w:rPr>
          <w:rFonts w:cs="Calibri Light"/>
          <w:spacing w:val="3"/>
        </w:rPr>
      </w:pPr>
      <w:r w:rsidRPr="008D7EB7">
        <w:rPr>
          <w:rFonts w:cs="Calibri Light"/>
        </w:rPr>
        <w:t>Un jugement récent de la Cour d’appel de Liège énonce que « </w:t>
      </w:r>
      <w:r w:rsidRPr="008D7EB7">
        <w:rPr>
          <w:rFonts w:cs="Calibri Light"/>
          <w:i/>
        </w:rPr>
        <w:t>S’il est exact que le principe de proportionnalité impose d’adopter des critères de fixation du montant de la taxe qui soient en rapport avec la matière imposable, il y a lieu en l’espèce de tenir compte dans cette appréciation du fait que l’assiette de l’impôt est une situation jugée nuisible que l’on impose dans le but, entre autres, d’en décourager le maintien ; Il ne s’impose pas nécessairement, en un tel cas, de prendre en considération la valeur des biens ou la faculté contributive de leur propriétaire ; la taxe frappant des bâtiments à l’abandon (…) n’apparaît pas disproportionnée ; En effet, seul un tarif conséquent pourra conférer à la taxe cette qualité véritablement dissuasive qui permet d’induire des changements de comportement et une taxe poursuivant un objectif de dissuasion n’est pas disproportionnée au seul motif que son montant est important</w:t>
      </w:r>
      <w:r w:rsidRPr="008D7EB7">
        <w:rPr>
          <w:rFonts w:cs="Calibri Light"/>
        </w:rPr>
        <w:t>. »</w:t>
      </w:r>
      <w:r w:rsidRPr="008D7EB7">
        <w:rPr>
          <w:rFonts w:cs="Calibri Light"/>
          <w:vertAlign w:val="superscript"/>
        </w:rPr>
        <w:footnoteReference w:id="191"/>
      </w:r>
      <w:r w:rsidRPr="008D7EB7">
        <w:rPr>
          <w:rFonts w:cs="Calibri Light"/>
          <w:spacing w:val="3"/>
        </w:rPr>
        <w:t>.</w:t>
      </w:r>
    </w:p>
    <w:p w14:paraId="09E58F7E" w14:textId="77777777" w:rsidR="00EA5A41" w:rsidRPr="00F915F6" w:rsidRDefault="00EA5A41">
      <w:pPr>
        <w:jc w:val="both"/>
        <w:rPr>
          <w:b/>
          <w:sz w:val="6"/>
          <w:szCs w:val="6"/>
          <w:u w:val="single"/>
        </w:rPr>
      </w:pPr>
    </w:p>
    <w:p w14:paraId="20B7D2EA" w14:textId="217B151C" w:rsidR="00E41960" w:rsidRPr="008D7EB7" w:rsidRDefault="00E41960" w:rsidP="008D7EB7">
      <w:pPr>
        <w:jc w:val="both"/>
        <w:rPr>
          <w:b/>
          <w:u w:val="single"/>
        </w:rPr>
      </w:pPr>
      <w:r w:rsidRPr="008D7EB7">
        <w:rPr>
          <w:b/>
          <w:u w:val="single"/>
        </w:rPr>
        <w:t>La problématique des circonstances indépendantes de sa volonté</w:t>
      </w:r>
    </w:p>
    <w:p w14:paraId="47231CF2" w14:textId="71FEA6BE" w:rsidR="00E41960" w:rsidRPr="008D7EB7" w:rsidRDefault="00E41960" w:rsidP="00E41960">
      <w:pPr>
        <w:tabs>
          <w:tab w:val="left" w:pos="2410"/>
        </w:tabs>
        <w:spacing w:before="120"/>
        <w:jc w:val="both"/>
        <w:textAlignment w:val="baseline"/>
        <w:rPr>
          <w:rFonts w:cs="Calibri Light"/>
        </w:rPr>
      </w:pPr>
      <w:bookmarkStart w:id="8001" w:name="_Hlk39040182"/>
      <w:r w:rsidRPr="008D7EB7">
        <w:rPr>
          <w:rFonts w:cs="Calibri Light"/>
        </w:rPr>
        <w:t xml:space="preserve">Un immeuble </w:t>
      </w:r>
      <w:r w:rsidR="00F80855" w:rsidRPr="008D7EB7">
        <w:rPr>
          <w:rFonts w:cs="Calibri Light"/>
        </w:rPr>
        <w:t xml:space="preserve">doit </w:t>
      </w:r>
      <w:r w:rsidRPr="008D7EB7">
        <w:rPr>
          <w:rFonts w:cs="Calibri Light"/>
        </w:rPr>
        <w:t>être soustrait du champ d'application de la taxe pour autant que le propriétaire ou le titulaire du droit réel justifie que le maintien en l'état résulte de circonstances indépendantes de sa volonté.</w:t>
      </w:r>
    </w:p>
    <w:bookmarkEnd w:id="8001"/>
    <w:p w14:paraId="291A43C3" w14:textId="77777777" w:rsidR="00E41960" w:rsidRPr="008D7EB7" w:rsidRDefault="00E41960" w:rsidP="00E41960">
      <w:pPr>
        <w:spacing w:before="120"/>
        <w:jc w:val="both"/>
        <w:textAlignment w:val="baseline"/>
        <w:rPr>
          <w:rFonts w:cs="Calibri Light"/>
        </w:rPr>
      </w:pPr>
      <w:r w:rsidRPr="008D7EB7">
        <w:rPr>
          <w:rFonts w:cs="Calibri Light"/>
        </w:rPr>
        <w:lastRenderedPageBreak/>
        <w:t>À cet égard, il convient de préciser que la notion de «</w:t>
      </w:r>
      <w:r w:rsidRPr="008D7EB7">
        <w:rPr>
          <w:rFonts w:cs="Calibri Light"/>
          <w:b/>
        </w:rPr>
        <w:t xml:space="preserve"> circonstances indépendantes de sa volonté</w:t>
      </w:r>
      <w:r w:rsidRPr="008D7EB7">
        <w:rPr>
          <w:rFonts w:cs="Calibri Light"/>
        </w:rPr>
        <w:t xml:space="preserve"> » n'est pas limitative et doit s'apprécier dans un sens large dans la mesure où la circonstance a un lien étroit avec le logement.</w:t>
      </w:r>
    </w:p>
    <w:p w14:paraId="6FA64D21" w14:textId="25566716" w:rsidR="00E41960" w:rsidRPr="008D7EB7" w:rsidRDefault="00E41960" w:rsidP="00E41960">
      <w:pPr>
        <w:spacing w:before="120"/>
        <w:jc w:val="both"/>
        <w:textAlignment w:val="baseline"/>
        <w:rPr>
          <w:rFonts w:cs="Calibri Light"/>
        </w:rPr>
      </w:pPr>
      <w:r w:rsidRPr="008D7EB7">
        <w:rPr>
          <w:rFonts w:cs="Calibri Light"/>
        </w:rPr>
        <w:t xml:space="preserve">Il appartient au propriétaire ou au titulaire de droits réels de justifier à suffisance, de manière probante, la « circonstance indépendante de sa volonté ». À titre d'exemple, pourrait être considéré comme </w:t>
      </w:r>
      <w:r w:rsidR="00B95727" w:rsidRPr="008D7EB7">
        <w:rPr>
          <w:rFonts w:cs="Calibri Light"/>
        </w:rPr>
        <w:t>« </w:t>
      </w:r>
      <w:r w:rsidRPr="008D7EB7">
        <w:rPr>
          <w:rFonts w:cs="Calibri Light"/>
        </w:rPr>
        <w:t>circonstance indépendante de sa volonté</w:t>
      </w:r>
      <w:r w:rsidR="00B95727" w:rsidRPr="008D7EB7">
        <w:rPr>
          <w:rFonts w:cs="Calibri Light"/>
        </w:rPr>
        <w:t> »</w:t>
      </w:r>
      <w:r w:rsidRPr="008D7EB7">
        <w:rPr>
          <w:rFonts w:cs="Calibri Light"/>
        </w:rPr>
        <w:t>, un bien qui, pour cause de « monument classé », ne peut faire l'objet des transformations requises pour le rendre habitable ou exploitable économiquement.</w:t>
      </w:r>
    </w:p>
    <w:p w14:paraId="59E9DB28" w14:textId="77777777" w:rsidR="00E41960" w:rsidRPr="008D7EB7" w:rsidRDefault="00E41960" w:rsidP="00E41960">
      <w:pPr>
        <w:spacing w:before="120"/>
        <w:jc w:val="both"/>
        <w:textAlignment w:val="baseline"/>
        <w:rPr>
          <w:rFonts w:cs="Calibri Light"/>
        </w:rPr>
      </w:pPr>
      <w:r w:rsidRPr="008D7EB7">
        <w:rPr>
          <w:rFonts w:cs="Calibri Light"/>
        </w:rPr>
        <w:t>Il peut cependant être raisonnablement établi que, hormis des cas exceptionnels, après une période d'un an — venant s'ajouter à la période laissée entre le constat et la première taxation — la notion de circonstances indépendantes de la volonté, pour un même fait, devient difficilement justifiable.</w:t>
      </w:r>
    </w:p>
    <w:p w14:paraId="59F62D85" w14:textId="77777777" w:rsidR="00FB05AF" w:rsidRPr="008D7EB7" w:rsidRDefault="00FB05AF" w:rsidP="00E41960">
      <w:pPr>
        <w:spacing w:before="120"/>
        <w:jc w:val="both"/>
        <w:textAlignment w:val="baseline"/>
        <w:rPr>
          <w:rFonts w:cs="Calibri Light"/>
        </w:rPr>
      </w:pPr>
    </w:p>
    <w:p w14:paraId="60D6BE9D" w14:textId="77777777" w:rsidR="00E41960" w:rsidRPr="008D7EB7" w:rsidRDefault="00E41960" w:rsidP="008D7EB7">
      <w:pPr>
        <w:jc w:val="both"/>
        <w:rPr>
          <w:b/>
          <w:u w:val="single"/>
        </w:rPr>
      </w:pPr>
      <w:r w:rsidRPr="008D7EB7">
        <w:rPr>
          <w:b/>
          <w:u w:val="single"/>
        </w:rPr>
        <w:t>La problématique de l’exonération des sociétés de logements sociaux et des immeubles appartenant aux pouvoirs publics</w:t>
      </w:r>
    </w:p>
    <w:p w14:paraId="295B7A0F" w14:textId="77777777" w:rsidR="00E41960" w:rsidRPr="008D7EB7" w:rsidRDefault="00E41960" w:rsidP="00E41960">
      <w:pPr>
        <w:spacing w:before="120"/>
        <w:jc w:val="both"/>
        <w:textAlignment w:val="baseline"/>
        <w:rPr>
          <w:rFonts w:cs="Calibri Light"/>
        </w:rPr>
      </w:pPr>
      <w:r w:rsidRPr="008D7EB7">
        <w:rPr>
          <w:rFonts w:cs="Calibri Light"/>
        </w:rPr>
        <w:t xml:space="preserve">En ce qui concerne la possibilité </w:t>
      </w:r>
      <w:r w:rsidRPr="008D7EB7">
        <w:rPr>
          <w:rFonts w:cs="Calibri Light"/>
          <w:b/>
        </w:rPr>
        <w:t>d'exonérer les sociétés de logements sociaux</w:t>
      </w:r>
      <w:r w:rsidRPr="008D7EB7">
        <w:rPr>
          <w:rFonts w:cs="Calibri Light"/>
        </w:rPr>
        <w:t>, il convient de relever l'arrêt de la Cour d'Appel de Liège du 11 mai 2007 mettant en cause la commune de Schaerbeek c/ x.</w:t>
      </w:r>
    </w:p>
    <w:p w14:paraId="35664FF1" w14:textId="77777777" w:rsidR="00E41960" w:rsidRPr="008D7EB7" w:rsidRDefault="00E41960" w:rsidP="00E41960">
      <w:pPr>
        <w:spacing w:before="120"/>
        <w:jc w:val="both"/>
        <w:textAlignment w:val="baseline"/>
        <w:rPr>
          <w:rFonts w:cs="Calibri Light"/>
        </w:rPr>
      </w:pPr>
      <w:r w:rsidRPr="008D7EB7">
        <w:rPr>
          <w:rFonts w:cs="Calibri Light"/>
        </w:rPr>
        <w:t xml:space="preserve">Dans cet arrêt, la Cour rappelle que, selon le principe d'égalité des citoyens devant l'impôt, un régime fiscal différent peut être établi à l'égard de certaines catégories de contribuables </w:t>
      </w:r>
      <w:r w:rsidRPr="00A65F14">
        <w:rPr>
          <w:rFonts w:cs="Calibri Light"/>
          <w:b/>
          <w:bCs/>
        </w:rPr>
        <w:t>à condition que ce régime soit objectivement et raisonnablement justifié.</w:t>
      </w:r>
      <w:r w:rsidRPr="008D7EB7">
        <w:rPr>
          <w:rFonts w:cs="Calibri Light"/>
        </w:rPr>
        <w:t xml:space="preserve"> L'existence d'une pareille justification doit s'apprécier par rapport au but et aux effets de la taxe établie et aux liens de proportionnalité raisonnable entre les moyens utilisés et le but poursuivi.</w:t>
      </w:r>
    </w:p>
    <w:p w14:paraId="311596C3" w14:textId="77777777" w:rsidR="00E41960" w:rsidRPr="008D7EB7" w:rsidRDefault="00E41960" w:rsidP="00E41960">
      <w:pPr>
        <w:spacing w:before="120"/>
        <w:jc w:val="both"/>
        <w:textAlignment w:val="baseline"/>
        <w:rPr>
          <w:rFonts w:cs="Calibri Light"/>
          <w:spacing w:val="-1"/>
        </w:rPr>
      </w:pPr>
      <w:r w:rsidRPr="008D7EB7">
        <w:rPr>
          <w:rFonts w:cs="Calibri Light"/>
          <w:spacing w:val="-1"/>
        </w:rPr>
        <w:t>En l'espèce, la Cour relève :</w:t>
      </w:r>
    </w:p>
    <w:p w14:paraId="244571E3" w14:textId="77777777" w:rsidR="00E41960" w:rsidRPr="008D7EB7" w:rsidRDefault="00E41960" w:rsidP="00E41960">
      <w:pPr>
        <w:spacing w:before="120"/>
        <w:ind w:left="284" w:right="284"/>
        <w:jc w:val="both"/>
        <w:textAlignment w:val="baseline"/>
        <w:rPr>
          <w:rFonts w:cs="Calibri Light"/>
          <w:i/>
        </w:rPr>
      </w:pPr>
      <w:r w:rsidRPr="008D7EB7">
        <w:rPr>
          <w:rFonts w:cs="Calibri Light"/>
        </w:rPr>
        <w:t xml:space="preserve">« </w:t>
      </w:r>
      <w:r w:rsidRPr="008D7EB7">
        <w:rPr>
          <w:rFonts w:cs="Calibri Light"/>
          <w:i/>
        </w:rPr>
        <w:t>Que le but poursuivi par le règlement-taxe résulte de sa référence à la nécessité de pourvoir aux dépenses nécessaires au bon fonctionnement de la commune et à la lutte contre l'abandon et l'inoccupation des immeubles en incitant les propriétaires défaillants à exécuter des travaux de remise en état ;</w:t>
      </w:r>
    </w:p>
    <w:p w14:paraId="172ECA0A" w14:textId="77777777" w:rsidR="00E41960" w:rsidRPr="008D7EB7" w:rsidRDefault="00E41960" w:rsidP="00E41960">
      <w:pPr>
        <w:spacing w:before="120"/>
        <w:ind w:left="284" w:right="284"/>
        <w:jc w:val="both"/>
        <w:textAlignment w:val="baseline"/>
        <w:rPr>
          <w:rFonts w:cs="Calibri Light"/>
          <w:i/>
        </w:rPr>
      </w:pPr>
      <w:r w:rsidRPr="008D7EB7">
        <w:rPr>
          <w:rFonts w:cs="Calibri Light"/>
          <w:i/>
        </w:rPr>
        <w:t>Qu’il n'apparaît pas objectif et proportionnellement raisonnable de la part de la commune de se priver de ressources en dispensant les sociétés de logements sociaux du paiement de la taxe lorsqu'elles laissent des bâtiments à l'abandon ;</w:t>
      </w:r>
    </w:p>
    <w:p w14:paraId="79099A6D" w14:textId="77777777" w:rsidR="00E41960" w:rsidRPr="008D7EB7" w:rsidRDefault="00E41960" w:rsidP="00E41960">
      <w:pPr>
        <w:spacing w:before="120"/>
        <w:ind w:left="284" w:right="284"/>
        <w:jc w:val="both"/>
        <w:textAlignment w:val="baseline"/>
        <w:rPr>
          <w:rFonts w:cs="Calibri Light"/>
          <w:i/>
          <w:spacing w:val="-2"/>
        </w:rPr>
      </w:pPr>
      <w:r w:rsidRPr="008D7EB7">
        <w:rPr>
          <w:rFonts w:cs="Calibri Light"/>
          <w:i/>
          <w:spacing w:val="-2"/>
        </w:rPr>
        <w:t xml:space="preserve">Que cette exonération </w:t>
      </w:r>
      <w:proofErr w:type="gramStart"/>
      <w:r w:rsidRPr="008D7EB7">
        <w:rPr>
          <w:rFonts w:cs="Calibri Light"/>
          <w:i/>
          <w:spacing w:val="-2"/>
        </w:rPr>
        <w:t>a</w:t>
      </w:r>
      <w:proofErr w:type="gramEnd"/>
      <w:r w:rsidRPr="008D7EB7">
        <w:rPr>
          <w:rFonts w:cs="Calibri Light"/>
          <w:i/>
          <w:spacing w:val="-2"/>
        </w:rPr>
        <w:t xml:space="preserve"> en outre un effet pervers puisqu'il incite les sociétés de logement à moins se soucier de l'avancement de leurs travaux de réhabilitation que d'autres constructeurs soumis à la taxe ;</w:t>
      </w:r>
    </w:p>
    <w:p w14:paraId="00763BAA" w14:textId="77777777" w:rsidR="00E41960" w:rsidRPr="008D7EB7" w:rsidRDefault="00E41960" w:rsidP="00E41960">
      <w:pPr>
        <w:spacing w:before="120"/>
        <w:ind w:left="284" w:right="284"/>
        <w:jc w:val="both"/>
        <w:textAlignment w:val="baseline"/>
        <w:rPr>
          <w:rFonts w:cs="Calibri Light"/>
        </w:rPr>
      </w:pPr>
      <w:r w:rsidRPr="00A65F14">
        <w:rPr>
          <w:rFonts w:cs="Calibri Light"/>
          <w:b/>
          <w:bCs/>
          <w:i/>
        </w:rPr>
        <w:t>Que le règlement-taxe est donc discriminatoire sans que cette différence de traitement repose sur un critère objectif et raisonnable et soit justifiée eu égard au but poursuivi et aux effets de la mesure critiquée</w:t>
      </w:r>
      <w:r w:rsidRPr="008D7EB7">
        <w:rPr>
          <w:rFonts w:cs="Calibri Light"/>
        </w:rPr>
        <w:t xml:space="preserve"> ».</w:t>
      </w:r>
    </w:p>
    <w:p w14:paraId="52DBAA2B" w14:textId="7595B6A1" w:rsidR="00E41960" w:rsidRDefault="00E41960" w:rsidP="008D7EB7">
      <w:pPr>
        <w:spacing w:before="120" w:after="240"/>
        <w:jc w:val="both"/>
        <w:textAlignment w:val="baseline"/>
        <w:rPr>
          <w:rFonts w:cs="Calibri Light"/>
        </w:rPr>
      </w:pPr>
      <w:r w:rsidRPr="008D7EB7">
        <w:rPr>
          <w:rFonts w:cs="Calibri Light"/>
        </w:rPr>
        <w:t xml:space="preserve">Cette position a été réitérée par l'arrêt de la Cour d'appel de Mons du 27 avril 2012 mettant en cause la Ville de Charleroi. La Cour rappelle que seuls les biens du domaine public et ceux du domaine privé de l'État </w:t>
      </w:r>
      <w:r w:rsidRPr="008D7EB7">
        <w:rPr>
          <w:rFonts w:cs="Calibri Light"/>
          <w:b/>
        </w:rPr>
        <w:t xml:space="preserve">entièrement affectés </w:t>
      </w:r>
      <w:r w:rsidRPr="008D7EB7">
        <w:rPr>
          <w:rFonts w:cs="Calibri Light"/>
        </w:rPr>
        <w:t>à un service public ou à un service d'utilité générale ne sont pas soumis à l'impôt.</w:t>
      </w:r>
    </w:p>
    <w:p w14:paraId="0B8C316F" w14:textId="3D6E0589" w:rsidR="00F153DC" w:rsidRPr="008D7EB7" w:rsidRDefault="00F153DC" w:rsidP="008D7EB7">
      <w:pPr>
        <w:spacing w:before="120" w:after="240"/>
        <w:jc w:val="both"/>
        <w:textAlignment w:val="baseline"/>
        <w:rPr>
          <w:rFonts w:cs="Calibri Light"/>
        </w:rPr>
      </w:pPr>
      <w:r>
        <w:rPr>
          <w:rFonts w:cs="Calibri Light"/>
        </w:rPr>
        <w:lastRenderedPageBreak/>
        <w:t>Pour le surplus, je vous renvoie aux commentaires repris sous le point VI.4.6 « Exonération en faveur des bâtiments publics »</w:t>
      </w:r>
    </w:p>
    <w:p w14:paraId="5C535DB5" w14:textId="77777777" w:rsidR="00705A12" w:rsidRDefault="009B153C" w:rsidP="00256E9F">
      <w:pPr>
        <w:pStyle w:val="Sam3"/>
      </w:pPr>
      <w:bookmarkStart w:id="8002" w:name="_Toc516739976"/>
      <w:bookmarkStart w:id="8003" w:name="_Toc516751885"/>
      <w:bookmarkStart w:id="8004" w:name="_Toc516825973"/>
      <w:bookmarkStart w:id="8005" w:name="_Toc516826531"/>
      <w:bookmarkStart w:id="8006" w:name="_Toc516837851"/>
      <w:bookmarkStart w:id="8007" w:name="_Toc516838410"/>
      <w:bookmarkStart w:id="8008" w:name="_Toc516838969"/>
      <w:bookmarkStart w:id="8009" w:name="_Toc516839529"/>
      <w:bookmarkStart w:id="8010" w:name="_Toc517173625"/>
      <w:bookmarkStart w:id="8011" w:name="_Toc517175299"/>
      <w:bookmarkStart w:id="8012" w:name="_Toc517175886"/>
      <w:bookmarkStart w:id="8013" w:name="_Toc517176474"/>
      <w:bookmarkStart w:id="8014" w:name="_Toc517337799"/>
      <w:bookmarkStart w:id="8015" w:name="_Toc517360595"/>
      <w:bookmarkStart w:id="8016" w:name="_Toc516739977"/>
      <w:bookmarkStart w:id="8017" w:name="_Toc516751886"/>
      <w:bookmarkStart w:id="8018" w:name="_Toc516825974"/>
      <w:bookmarkStart w:id="8019" w:name="_Toc516826532"/>
      <w:bookmarkStart w:id="8020" w:name="_Toc516837852"/>
      <w:bookmarkStart w:id="8021" w:name="_Toc516838411"/>
      <w:bookmarkStart w:id="8022" w:name="_Toc516838970"/>
      <w:bookmarkStart w:id="8023" w:name="_Toc516839530"/>
      <w:bookmarkStart w:id="8024" w:name="_Toc517173626"/>
      <w:bookmarkStart w:id="8025" w:name="_Toc517175300"/>
      <w:bookmarkStart w:id="8026" w:name="_Toc517175887"/>
      <w:bookmarkStart w:id="8027" w:name="_Toc517176475"/>
      <w:bookmarkStart w:id="8028" w:name="_Toc517337800"/>
      <w:bookmarkStart w:id="8029" w:name="_Toc517360596"/>
      <w:bookmarkStart w:id="8030" w:name="_Toc516739978"/>
      <w:bookmarkStart w:id="8031" w:name="_Toc516751887"/>
      <w:bookmarkStart w:id="8032" w:name="_Toc516825975"/>
      <w:bookmarkStart w:id="8033" w:name="_Toc516826533"/>
      <w:bookmarkStart w:id="8034" w:name="_Toc516837853"/>
      <w:bookmarkStart w:id="8035" w:name="_Toc516838412"/>
      <w:bookmarkStart w:id="8036" w:name="_Toc516838971"/>
      <w:bookmarkStart w:id="8037" w:name="_Toc516839531"/>
      <w:bookmarkStart w:id="8038" w:name="_Toc517173627"/>
      <w:bookmarkStart w:id="8039" w:name="_Toc517175301"/>
      <w:bookmarkStart w:id="8040" w:name="_Toc517175888"/>
      <w:bookmarkStart w:id="8041" w:name="_Toc517176476"/>
      <w:bookmarkStart w:id="8042" w:name="_Toc517337801"/>
      <w:bookmarkStart w:id="8043" w:name="_Toc517360597"/>
      <w:bookmarkStart w:id="8044" w:name="_Toc516739979"/>
      <w:bookmarkStart w:id="8045" w:name="_Toc516751888"/>
      <w:bookmarkStart w:id="8046" w:name="_Toc516825976"/>
      <w:bookmarkStart w:id="8047" w:name="_Toc516826534"/>
      <w:bookmarkStart w:id="8048" w:name="_Toc516837854"/>
      <w:bookmarkStart w:id="8049" w:name="_Toc516838413"/>
      <w:bookmarkStart w:id="8050" w:name="_Toc516838972"/>
      <w:bookmarkStart w:id="8051" w:name="_Toc516839532"/>
      <w:bookmarkStart w:id="8052" w:name="_Toc517173628"/>
      <w:bookmarkStart w:id="8053" w:name="_Toc517175302"/>
      <w:bookmarkStart w:id="8054" w:name="_Toc517175889"/>
      <w:bookmarkStart w:id="8055" w:name="_Toc517176477"/>
      <w:bookmarkStart w:id="8056" w:name="_Toc517337802"/>
      <w:bookmarkStart w:id="8057" w:name="_Toc517360598"/>
      <w:bookmarkStart w:id="8058" w:name="_Toc516739980"/>
      <w:bookmarkStart w:id="8059" w:name="_Toc516751889"/>
      <w:bookmarkStart w:id="8060" w:name="_Toc516825977"/>
      <w:bookmarkStart w:id="8061" w:name="_Toc516826535"/>
      <w:bookmarkStart w:id="8062" w:name="_Toc516837855"/>
      <w:bookmarkStart w:id="8063" w:name="_Toc516838414"/>
      <w:bookmarkStart w:id="8064" w:name="_Toc516838973"/>
      <w:bookmarkStart w:id="8065" w:name="_Toc516839533"/>
      <w:bookmarkStart w:id="8066" w:name="_Toc517173629"/>
      <w:bookmarkStart w:id="8067" w:name="_Toc517175303"/>
      <w:bookmarkStart w:id="8068" w:name="_Toc517175890"/>
      <w:bookmarkStart w:id="8069" w:name="_Toc517176478"/>
      <w:bookmarkStart w:id="8070" w:name="_Toc517337803"/>
      <w:bookmarkStart w:id="8071" w:name="_Toc517360599"/>
      <w:bookmarkStart w:id="8072" w:name="_Toc516739981"/>
      <w:bookmarkStart w:id="8073" w:name="_Toc516751890"/>
      <w:bookmarkStart w:id="8074" w:name="_Toc516825978"/>
      <w:bookmarkStart w:id="8075" w:name="_Toc516826536"/>
      <w:bookmarkStart w:id="8076" w:name="_Toc516837856"/>
      <w:bookmarkStart w:id="8077" w:name="_Toc516838415"/>
      <w:bookmarkStart w:id="8078" w:name="_Toc516838974"/>
      <w:bookmarkStart w:id="8079" w:name="_Toc516839534"/>
      <w:bookmarkStart w:id="8080" w:name="_Toc517173630"/>
      <w:bookmarkStart w:id="8081" w:name="_Toc517175304"/>
      <w:bookmarkStart w:id="8082" w:name="_Toc517175891"/>
      <w:bookmarkStart w:id="8083" w:name="_Toc517176479"/>
      <w:bookmarkStart w:id="8084" w:name="_Toc517337804"/>
      <w:bookmarkStart w:id="8085" w:name="_Toc517360600"/>
      <w:bookmarkStart w:id="8086" w:name="_Toc516739982"/>
      <w:bookmarkStart w:id="8087" w:name="_Toc516751891"/>
      <w:bookmarkStart w:id="8088" w:name="_Toc516825979"/>
      <w:bookmarkStart w:id="8089" w:name="_Toc516826537"/>
      <w:bookmarkStart w:id="8090" w:name="_Toc516837857"/>
      <w:bookmarkStart w:id="8091" w:name="_Toc516838416"/>
      <w:bookmarkStart w:id="8092" w:name="_Toc516838975"/>
      <w:bookmarkStart w:id="8093" w:name="_Toc516839535"/>
      <w:bookmarkStart w:id="8094" w:name="_Toc517173631"/>
      <w:bookmarkStart w:id="8095" w:name="_Toc517175305"/>
      <w:bookmarkStart w:id="8096" w:name="_Toc517175892"/>
      <w:bookmarkStart w:id="8097" w:name="_Toc517176480"/>
      <w:bookmarkStart w:id="8098" w:name="_Toc517337805"/>
      <w:bookmarkStart w:id="8099" w:name="_Toc517360601"/>
      <w:bookmarkStart w:id="8100" w:name="_Toc516739983"/>
      <w:bookmarkStart w:id="8101" w:name="_Toc516751892"/>
      <w:bookmarkStart w:id="8102" w:name="_Toc516825980"/>
      <w:bookmarkStart w:id="8103" w:name="_Toc516826538"/>
      <w:bookmarkStart w:id="8104" w:name="_Toc516837858"/>
      <w:bookmarkStart w:id="8105" w:name="_Toc516838417"/>
      <w:bookmarkStart w:id="8106" w:name="_Toc516838976"/>
      <w:bookmarkStart w:id="8107" w:name="_Toc516839536"/>
      <w:bookmarkStart w:id="8108" w:name="_Toc517173632"/>
      <w:bookmarkStart w:id="8109" w:name="_Toc517175306"/>
      <w:bookmarkStart w:id="8110" w:name="_Toc517175893"/>
      <w:bookmarkStart w:id="8111" w:name="_Toc517176481"/>
      <w:bookmarkStart w:id="8112" w:name="_Toc517337806"/>
      <w:bookmarkStart w:id="8113" w:name="_Toc517360602"/>
      <w:bookmarkStart w:id="8114" w:name="_Toc516739984"/>
      <w:bookmarkStart w:id="8115" w:name="_Toc516751893"/>
      <w:bookmarkStart w:id="8116" w:name="_Toc516825981"/>
      <w:bookmarkStart w:id="8117" w:name="_Toc516826539"/>
      <w:bookmarkStart w:id="8118" w:name="_Toc516837859"/>
      <w:bookmarkStart w:id="8119" w:name="_Toc516838418"/>
      <w:bookmarkStart w:id="8120" w:name="_Toc516838977"/>
      <w:bookmarkStart w:id="8121" w:name="_Toc516839537"/>
      <w:bookmarkStart w:id="8122" w:name="_Toc517173633"/>
      <w:bookmarkStart w:id="8123" w:name="_Toc517175307"/>
      <w:bookmarkStart w:id="8124" w:name="_Toc517175894"/>
      <w:bookmarkStart w:id="8125" w:name="_Toc517176482"/>
      <w:bookmarkStart w:id="8126" w:name="_Toc517337807"/>
      <w:bookmarkStart w:id="8127" w:name="_Toc517360603"/>
      <w:bookmarkStart w:id="8128" w:name="_Toc516739985"/>
      <w:bookmarkStart w:id="8129" w:name="_Toc516751894"/>
      <w:bookmarkStart w:id="8130" w:name="_Toc516825982"/>
      <w:bookmarkStart w:id="8131" w:name="_Toc516826540"/>
      <w:bookmarkStart w:id="8132" w:name="_Toc516837860"/>
      <w:bookmarkStart w:id="8133" w:name="_Toc516838419"/>
      <w:bookmarkStart w:id="8134" w:name="_Toc516838978"/>
      <w:bookmarkStart w:id="8135" w:name="_Toc516839538"/>
      <w:bookmarkStart w:id="8136" w:name="_Toc517173634"/>
      <w:bookmarkStart w:id="8137" w:name="_Toc517175308"/>
      <w:bookmarkStart w:id="8138" w:name="_Toc517175895"/>
      <w:bookmarkStart w:id="8139" w:name="_Toc517176483"/>
      <w:bookmarkStart w:id="8140" w:name="_Toc517337808"/>
      <w:bookmarkStart w:id="8141" w:name="_Toc517360604"/>
      <w:bookmarkStart w:id="8142" w:name="_Toc516739986"/>
      <w:bookmarkStart w:id="8143" w:name="_Toc516751895"/>
      <w:bookmarkStart w:id="8144" w:name="_Toc516825983"/>
      <w:bookmarkStart w:id="8145" w:name="_Toc516826541"/>
      <w:bookmarkStart w:id="8146" w:name="_Toc516837861"/>
      <w:bookmarkStart w:id="8147" w:name="_Toc516838420"/>
      <w:bookmarkStart w:id="8148" w:name="_Toc516838979"/>
      <w:bookmarkStart w:id="8149" w:name="_Toc516839539"/>
      <w:bookmarkStart w:id="8150" w:name="_Toc517173635"/>
      <w:bookmarkStart w:id="8151" w:name="_Toc517175309"/>
      <w:bookmarkStart w:id="8152" w:name="_Toc517175896"/>
      <w:bookmarkStart w:id="8153" w:name="_Toc517176484"/>
      <w:bookmarkStart w:id="8154" w:name="_Toc517337809"/>
      <w:bookmarkStart w:id="8155" w:name="_Toc517360605"/>
      <w:bookmarkStart w:id="8156" w:name="_Toc516739987"/>
      <w:bookmarkStart w:id="8157" w:name="_Toc516751896"/>
      <w:bookmarkStart w:id="8158" w:name="_Toc516825984"/>
      <w:bookmarkStart w:id="8159" w:name="_Toc516826542"/>
      <w:bookmarkStart w:id="8160" w:name="_Toc516837862"/>
      <w:bookmarkStart w:id="8161" w:name="_Toc516838421"/>
      <w:bookmarkStart w:id="8162" w:name="_Toc516838980"/>
      <w:bookmarkStart w:id="8163" w:name="_Toc516839540"/>
      <w:bookmarkStart w:id="8164" w:name="_Toc517173636"/>
      <w:bookmarkStart w:id="8165" w:name="_Toc517175310"/>
      <w:bookmarkStart w:id="8166" w:name="_Toc517175897"/>
      <w:bookmarkStart w:id="8167" w:name="_Toc517176485"/>
      <w:bookmarkStart w:id="8168" w:name="_Toc517337810"/>
      <w:bookmarkStart w:id="8169" w:name="_Toc517360606"/>
      <w:bookmarkStart w:id="8170" w:name="_Toc516739988"/>
      <w:bookmarkStart w:id="8171" w:name="_Toc516751897"/>
      <w:bookmarkStart w:id="8172" w:name="_Toc516825985"/>
      <w:bookmarkStart w:id="8173" w:name="_Toc516826543"/>
      <w:bookmarkStart w:id="8174" w:name="_Toc516837863"/>
      <w:bookmarkStart w:id="8175" w:name="_Toc516838422"/>
      <w:bookmarkStart w:id="8176" w:name="_Toc516838981"/>
      <w:bookmarkStart w:id="8177" w:name="_Toc516839541"/>
      <w:bookmarkStart w:id="8178" w:name="_Toc517173637"/>
      <w:bookmarkStart w:id="8179" w:name="_Toc517175311"/>
      <w:bookmarkStart w:id="8180" w:name="_Toc517175898"/>
      <w:bookmarkStart w:id="8181" w:name="_Toc517176486"/>
      <w:bookmarkStart w:id="8182" w:name="_Toc517337811"/>
      <w:bookmarkStart w:id="8183" w:name="_Toc517360607"/>
      <w:bookmarkStart w:id="8184" w:name="_Toc516739989"/>
      <w:bookmarkStart w:id="8185" w:name="_Toc516751898"/>
      <w:bookmarkStart w:id="8186" w:name="_Toc516825986"/>
      <w:bookmarkStart w:id="8187" w:name="_Toc516826544"/>
      <w:bookmarkStart w:id="8188" w:name="_Toc516837864"/>
      <w:bookmarkStart w:id="8189" w:name="_Toc516838423"/>
      <w:bookmarkStart w:id="8190" w:name="_Toc516838982"/>
      <w:bookmarkStart w:id="8191" w:name="_Toc516839542"/>
      <w:bookmarkStart w:id="8192" w:name="_Toc517173638"/>
      <w:bookmarkStart w:id="8193" w:name="_Toc517175312"/>
      <w:bookmarkStart w:id="8194" w:name="_Toc517175899"/>
      <w:bookmarkStart w:id="8195" w:name="_Toc517176487"/>
      <w:bookmarkStart w:id="8196" w:name="_Toc517337812"/>
      <w:bookmarkStart w:id="8197" w:name="_Toc517360608"/>
      <w:bookmarkStart w:id="8198" w:name="_Toc516739990"/>
      <w:bookmarkStart w:id="8199" w:name="_Toc516751899"/>
      <w:bookmarkStart w:id="8200" w:name="_Toc516825987"/>
      <w:bookmarkStart w:id="8201" w:name="_Toc516826545"/>
      <w:bookmarkStart w:id="8202" w:name="_Toc516837865"/>
      <w:bookmarkStart w:id="8203" w:name="_Toc516838424"/>
      <w:bookmarkStart w:id="8204" w:name="_Toc516838983"/>
      <w:bookmarkStart w:id="8205" w:name="_Toc516839543"/>
      <w:bookmarkStart w:id="8206" w:name="_Toc517173639"/>
      <w:bookmarkStart w:id="8207" w:name="_Toc517175313"/>
      <w:bookmarkStart w:id="8208" w:name="_Toc517175900"/>
      <w:bookmarkStart w:id="8209" w:name="_Toc517176488"/>
      <w:bookmarkStart w:id="8210" w:name="_Toc517337813"/>
      <w:bookmarkStart w:id="8211" w:name="_Toc517360609"/>
      <w:bookmarkStart w:id="8212" w:name="_Toc516739991"/>
      <w:bookmarkStart w:id="8213" w:name="_Toc516751900"/>
      <w:bookmarkStart w:id="8214" w:name="_Toc516825988"/>
      <w:bookmarkStart w:id="8215" w:name="_Toc516826546"/>
      <w:bookmarkStart w:id="8216" w:name="_Toc516837866"/>
      <w:bookmarkStart w:id="8217" w:name="_Toc516838425"/>
      <w:bookmarkStart w:id="8218" w:name="_Toc516838984"/>
      <w:bookmarkStart w:id="8219" w:name="_Toc516839544"/>
      <w:bookmarkStart w:id="8220" w:name="_Toc517173640"/>
      <w:bookmarkStart w:id="8221" w:name="_Toc517175314"/>
      <w:bookmarkStart w:id="8222" w:name="_Toc517175901"/>
      <w:bookmarkStart w:id="8223" w:name="_Toc517176489"/>
      <w:bookmarkStart w:id="8224" w:name="_Toc517337814"/>
      <w:bookmarkStart w:id="8225" w:name="_Toc517360610"/>
      <w:bookmarkStart w:id="8226" w:name="_Toc516739992"/>
      <w:bookmarkStart w:id="8227" w:name="_Toc516751901"/>
      <w:bookmarkStart w:id="8228" w:name="_Toc516825989"/>
      <w:bookmarkStart w:id="8229" w:name="_Toc516826547"/>
      <w:bookmarkStart w:id="8230" w:name="_Toc516837867"/>
      <w:bookmarkStart w:id="8231" w:name="_Toc516838426"/>
      <w:bookmarkStart w:id="8232" w:name="_Toc516838985"/>
      <w:bookmarkStart w:id="8233" w:name="_Toc516839545"/>
      <w:bookmarkStart w:id="8234" w:name="_Toc517173641"/>
      <w:bookmarkStart w:id="8235" w:name="_Toc517175315"/>
      <w:bookmarkStart w:id="8236" w:name="_Toc517175902"/>
      <w:bookmarkStart w:id="8237" w:name="_Toc517176490"/>
      <w:bookmarkStart w:id="8238" w:name="_Toc517337815"/>
      <w:bookmarkStart w:id="8239" w:name="_Toc517360611"/>
      <w:bookmarkStart w:id="8240" w:name="_Toc516739993"/>
      <w:bookmarkStart w:id="8241" w:name="_Toc516751902"/>
      <w:bookmarkStart w:id="8242" w:name="_Toc516825990"/>
      <w:bookmarkStart w:id="8243" w:name="_Toc516826548"/>
      <w:bookmarkStart w:id="8244" w:name="_Toc516837868"/>
      <w:bookmarkStart w:id="8245" w:name="_Toc516838427"/>
      <w:bookmarkStart w:id="8246" w:name="_Toc516838986"/>
      <w:bookmarkStart w:id="8247" w:name="_Toc516839546"/>
      <w:bookmarkStart w:id="8248" w:name="_Toc517173642"/>
      <w:bookmarkStart w:id="8249" w:name="_Toc517175316"/>
      <w:bookmarkStart w:id="8250" w:name="_Toc517175903"/>
      <w:bookmarkStart w:id="8251" w:name="_Toc517176491"/>
      <w:bookmarkStart w:id="8252" w:name="_Toc517337816"/>
      <w:bookmarkStart w:id="8253" w:name="_Toc517360612"/>
      <w:bookmarkStart w:id="8254" w:name="_Toc516739994"/>
      <w:bookmarkStart w:id="8255" w:name="_Toc516751903"/>
      <w:bookmarkStart w:id="8256" w:name="_Toc516825991"/>
      <w:bookmarkStart w:id="8257" w:name="_Toc516826549"/>
      <w:bookmarkStart w:id="8258" w:name="_Toc516837869"/>
      <w:bookmarkStart w:id="8259" w:name="_Toc516838428"/>
      <w:bookmarkStart w:id="8260" w:name="_Toc516838987"/>
      <w:bookmarkStart w:id="8261" w:name="_Toc516839547"/>
      <w:bookmarkStart w:id="8262" w:name="_Toc517173643"/>
      <w:bookmarkStart w:id="8263" w:name="_Toc517175317"/>
      <w:bookmarkStart w:id="8264" w:name="_Toc517175904"/>
      <w:bookmarkStart w:id="8265" w:name="_Toc517176492"/>
      <w:bookmarkStart w:id="8266" w:name="_Toc517337817"/>
      <w:bookmarkStart w:id="8267" w:name="_Toc517360613"/>
      <w:bookmarkStart w:id="8268" w:name="_Toc516739995"/>
      <w:bookmarkStart w:id="8269" w:name="_Toc516751904"/>
      <w:bookmarkStart w:id="8270" w:name="_Toc516825992"/>
      <w:bookmarkStart w:id="8271" w:name="_Toc516826550"/>
      <w:bookmarkStart w:id="8272" w:name="_Toc516837870"/>
      <w:bookmarkStart w:id="8273" w:name="_Toc516838429"/>
      <w:bookmarkStart w:id="8274" w:name="_Toc516838988"/>
      <w:bookmarkStart w:id="8275" w:name="_Toc516839548"/>
      <w:bookmarkStart w:id="8276" w:name="_Toc517173644"/>
      <w:bookmarkStart w:id="8277" w:name="_Toc517175318"/>
      <w:bookmarkStart w:id="8278" w:name="_Toc517175905"/>
      <w:bookmarkStart w:id="8279" w:name="_Toc517176493"/>
      <w:bookmarkStart w:id="8280" w:name="_Toc517337818"/>
      <w:bookmarkStart w:id="8281" w:name="_Toc517360614"/>
      <w:bookmarkStart w:id="8282" w:name="_Toc516739996"/>
      <w:bookmarkStart w:id="8283" w:name="_Toc516751905"/>
      <w:bookmarkStart w:id="8284" w:name="_Toc516825993"/>
      <w:bookmarkStart w:id="8285" w:name="_Toc516826551"/>
      <w:bookmarkStart w:id="8286" w:name="_Toc516837871"/>
      <w:bookmarkStart w:id="8287" w:name="_Toc516838430"/>
      <w:bookmarkStart w:id="8288" w:name="_Toc516838989"/>
      <w:bookmarkStart w:id="8289" w:name="_Toc516839549"/>
      <w:bookmarkStart w:id="8290" w:name="_Toc517173645"/>
      <w:bookmarkStart w:id="8291" w:name="_Toc517175319"/>
      <w:bookmarkStart w:id="8292" w:name="_Toc517175906"/>
      <w:bookmarkStart w:id="8293" w:name="_Toc517176494"/>
      <w:bookmarkStart w:id="8294" w:name="_Toc517337819"/>
      <w:bookmarkStart w:id="8295" w:name="_Toc517360615"/>
      <w:bookmarkStart w:id="8296" w:name="_Toc516739997"/>
      <w:bookmarkStart w:id="8297" w:name="_Toc516751906"/>
      <w:bookmarkStart w:id="8298" w:name="_Toc516825994"/>
      <w:bookmarkStart w:id="8299" w:name="_Toc516826552"/>
      <w:bookmarkStart w:id="8300" w:name="_Toc516837872"/>
      <w:bookmarkStart w:id="8301" w:name="_Toc516838431"/>
      <w:bookmarkStart w:id="8302" w:name="_Toc516838990"/>
      <w:bookmarkStart w:id="8303" w:name="_Toc516839550"/>
      <w:bookmarkStart w:id="8304" w:name="_Toc517173646"/>
      <w:bookmarkStart w:id="8305" w:name="_Toc517175320"/>
      <w:bookmarkStart w:id="8306" w:name="_Toc517175907"/>
      <w:bookmarkStart w:id="8307" w:name="_Toc517176495"/>
      <w:bookmarkStart w:id="8308" w:name="_Toc517337820"/>
      <w:bookmarkStart w:id="8309" w:name="_Toc517360616"/>
      <w:bookmarkStart w:id="8310" w:name="_Toc516739998"/>
      <w:bookmarkStart w:id="8311" w:name="_Toc516751907"/>
      <w:bookmarkStart w:id="8312" w:name="_Toc516825995"/>
      <w:bookmarkStart w:id="8313" w:name="_Toc516826553"/>
      <w:bookmarkStart w:id="8314" w:name="_Toc516837873"/>
      <w:bookmarkStart w:id="8315" w:name="_Toc516838432"/>
      <w:bookmarkStart w:id="8316" w:name="_Toc516838991"/>
      <w:bookmarkStart w:id="8317" w:name="_Toc516839551"/>
      <w:bookmarkStart w:id="8318" w:name="_Toc517173647"/>
      <w:bookmarkStart w:id="8319" w:name="_Toc517175321"/>
      <w:bookmarkStart w:id="8320" w:name="_Toc517175908"/>
      <w:bookmarkStart w:id="8321" w:name="_Toc517176496"/>
      <w:bookmarkStart w:id="8322" w:name="_Toc517337821"/>
      <w:bookmarkStart w:id="8323" w:name="_Toc517360617"/>
      <w:bookmarkStart w:id="8324" w:name="_Toc516739999"/>
      <w:bookmarkStart w:id="8325" w:name="_Toc516751908"/>
      <w:bookmarkStart w:id="8326" w:name="_Toc516825996"/>
      <w:bookmarkStart w:id="8327" w:name="_Toc516826554"/>
      <w:bookmarkStart w:id="8328" w:name="_Toc516837874"/>
      <w:bookmarkStart w:id="8329" w:name="_Toc516838433"/>
      <w:bookmarkStart w:id="8330" w:name="_Toc516838992"/>
      <w:bookmarkStart w:id="8331" w:name="_Toc516839552"/>
      <w:bookmarkStart w:id="8332" w:name="_Toc517173648"/>
      <w:bookmarkStart w:id="8333" w:name="_Toc517175322"/>
      <w:bookmarkStart w:id="8334" w:name="_Toc517175909"/>
      <w:bookmarkStart w:id="8335" w:name="_Toc517176497"/>
      <w:bookmarkStart w:id="8336" w:name="_Toc517337822"/>
      <w:bookmarkStart w:id="8337" w:name="_Toc517360618"/>
      <w:bookmarkStart w:id="8338" w:name="_Toc516740000"/>
      <w:bookmarkStart w:id="8339" w:name="_Toc516751909"/>
      <w:bookmarkStart w:id="8340" w:name="_Toc516825997"/>
      <w:bookmarkStart w:id="8341" w:name="_Toc516826555"/>
      <w:bookmarkStart w:id="8342" w:name="_Toc516837875"/>
      <w:bookmarkStart w:id="8343" w:name="_Toc516838434"/>
      <w:bookmarkStart w:id="8344" w:name="_Toc516838993"/>
      <w:bookmarkStart w:id="8345" w:name="_Toc516839553"/>
      <w:bookmarkStart w:id="8346" w:name="_Toc517173649"/>
      <w:bookmarkStart w:id="8347" w:name="_Toc517175323"/>
      <w:bookmarkStart w:id="8348" w:name="_Toc517175910"/>
      <w:bookmarkStart w:id="8349" w:name="_Toc517176498"/>
      <w:bookmarkStart w:id="8350" w:name="_Toc517337823"/>
      <w:bookmarkStart w:id="8351" w:name="_Toc517360619"/>
      <w:bookmarkStart w:id="8352" w:name="_Toc516479101"/>
      <w:bookmarkStart w:id="8353" w:name="_Toc516479510"/>
      <w:bookmarkStart w:id="8354" w:name="_Toc516479827"/>
      <w:bookmarkStart w:id="8355" w:name="_Toc516480149"/>
      <w:bookmarkStart w:id="8356" w:name="_Toc516480463"/>
      <w:bookmarkStart w:id="8357" w:name="_Toc516480777"/>
      <w:bookmarkStart w:id="8358" w:name="_Toc516481091"/>
      <w:bookmarkStart w:id="8359" w:name="_Toc516481405"/>
      <w:bookmarkStart w:id="8360" w:name="_Toc516481719"/>
      <w:bookmarkStart w:id="8361" w:name="_Toc516482033"/>
      <w:bookmarkStart w:id="8362" w:name="_Toc516482347"/>
      <w:bookmarkStart w:id="8363" w:name="_Toc516482661"/>
      <w:bookmarkStart w:id="8364" w:name="_Toc516740001"/>
      <w:bookmarkStart w:id="8365" w:name="_Toc516751910"/>
      <w:bookmarkStart w:id="8366" w:name="_Toc516825998"/>
      <w:bookmarkStart w:id="8367" w:name="_Toc516826556"/>
      <w:bookmarkStart w:id="8368" w:name="_Toc516837876"/>
      <w:bookmarkStart w:id="8369" w:name="_Toc516838435"/>
      <w:bookmarkStart w:id="8370" w:name="_Toc516838994"/>
      <w:bookmarkStart w:id="8371" w:name="_Toc516839554"/>
      <w:bookmarkStart w:id="8372" w:name="_Toc517173650"/>
      <w:bookmarkStart w:id="8373" w:name="_Toc517175324"/>
      <w:bookmarkStart w:id="8374" w:name="_Toc517175911"/>
      <w:bookmarkStart w:id="8375" w:name="_Toc517176499"/>
      <w:bookmarkStart w:id="8376" w:name="_Toc517337824"/>
      <w:bookmarkStart w:id="8377" w:name="_Toc517360620"/>
      <w:bookmarkStart w:id="8378" w:name="_Toc516740002"/>
      <w:bookmarkStart w:id="8379" w:name="_Toc516751911"/>
      <w:bookmarkStart w:id="8380" w:name="_Toc516825999"/>
      <w:bookmarkStart w:id="8381" w:name="_Toc516826557"/>
      <w:bookmarkStart w:id="8382" w:name="_Toc516837877"/>
      <w:bookmarkStart w:id="8383" w:name="_Toc516838436"/>
      <w:bookmarkStart w:id="8384" w:name="_Toc516838995"/>
      <w:bookmarkStart w:id="8385" w:name="_Toc516839555"/>
      <w:bookmarkStart w:id="8386" w:name="_Toc517173651"/>
      <w:bookmarkStart w:id="8387" w:name="_Toc517175325"/>
      <w:bookmarkStart w:id="8388" w:name="_Toc517175912"/>
      <w:bookmarkStart w:id="8389" w:name="_Toc517176500"/>
      <w:bookmarkStart w:id="8390" w:name="_Toc517337825"/>
      <w:bookmarkStart w:id="8391" w:name="_Toc517360621"/>
      <w:bookmarkStart w:id="8392" w:name="_Toc516740003"/>
      <w:bookmarkStart w:id="8393" w:name="_Toc516751912"/>
      <w:bookmarkStart w:id="8394" w:name="_Toc516826000"/>
      <w:bookmarkStart w:id="8395" w:name="_Toc516826558"/>
      <w:bookmarkStart w:id="8396" w:name="_Toc516837878"/>
      <w:bookmarkStart w:id="8397" w:name="_Toc516838437"/>
      <w:bookmarkStart w:id="8398" w:name="_Toc516838996"/>
      <w:bookmarkStart w:id="8399" w:name="_Toc516839556"/>
      <w:bookmarkStart w:id="8400" w:name="_Toc517173652"/>
      <w:bookmarkStart w:id="8401" w:name="_Toc517175326"/>
      <w:bookmarkStart w:id="8402" w:name="_Toc517175913"/>
      <w:bookmarkStart w:id="8403" w:name="_Toc517176501"/>
      <w:bookmarkStart w:id="8404" w:name="_Toc517337826"/>
      <w:bookmarkStart w:id="8405" w:name="_Toc517360622"/>
      <w:bookmarkStart w:id="8406" w:name="_Toc516740004"/>
      <w:bookmarkStart w:id="8407" w:name="_Toc516751913"/>
      <w:bookmarkStart w:id="8408" w:name="_Toc516826001"/>
      <w:bookmarkStart w:id="8409" w:name="_Toc516826559"/>
      <w:bookmarkStart w:id="8410" w:name="_Toc516837879"/>
      <w:bookmarkStart w:id="8411" w:name="_Toc516838438"/>
      <w:bookmarkStart w:id="8412" w:name="_Toc516838997"/>
      <w:bookmarkStart w:id="8413" w:name="_Toc516839557"/>
      <w:bookmarkStart w:id="8414" w:name="_Toc517173653"/>
      <w:bookmarkStart w:id="8415" w:name="_Toc517175327"/>
      <w:bookmarkStart w:id="8416" w:name="_Toc517175914"/>
      <w:bookmarkStart w:id="8417" w:name="_Toc517176502"/>
      <w:bookmarkStart w:id="8418" w:name="_Toc517337827"/>
      <w:bookmarkStart w:id="8419" w:name="_Toc517360623"/>
      <w:bookmarkStart w:id="8420" w:name="_Toc516740005"/>
      <w:bookmarkStart w:id="8421" w:name="_Toc516751914"/>
      <w:bookmarkStart w:id="8422" w:name="_Toc516826002"/>
      <w:bookmarkStart w:id="8423" w:name="_Toc516826560"/>
      <w:bookmarkStart w:id="8424" w:name="_Toc516837880"/>
      <w:bookmarkStart w:id="8425" w:name="_Toc516838439"/>
      <w:bookmarkStart w:id="8426" w:name="_Toc516838998"/>
      <w:bookmarkStart w:id="8427" w:name="_Toc516839558"/>
      <w:bookmarkStart w:id="8428" w:name="_Toc517173654"/>
      <w:bookmarkStart w:id="8429" w:name="_Toc517175328"/>
      <w:bookmarkStart w:id="8430" w:name="_Toc517175915"/>
      <w:bookmarkStart w:id="8431" w:name="_Toc517176503"/>
      <w:bookmarkStart w:id="8432" w:name="_Toc517337828"/>
      <w:bookmarkStart w:id="8433" w:name="_Toc517360624"/>
      <w:bookmarkStart w:id="8434" w:name="_Toc516740006"/>
      <w:bookmarkStart w:id="8435" w:name="_Toc516751915"/>
      <w:bookmarkStart w:id="8436" w:name="_Toc516826003"/>
      <w:bookmarkStart w:id="8437" w:name="_Toc516826561"/>
      <w:bookmarkStart w:id="8438" w:name="_Toc516837881"/>
      <w:bookmarkStart w:id="8439" w:name="_Toc516838440"/>
      <w:bookmarkStart w:id="8440" w:name="_Toc516838999"/>
      <w:bookmarkStart w:id="8441" w:name="_Toc516839559"/>
      <w:bookmarkStart w:id="8442" w:name="_Toc517173655"/>
      <w:bookmarkStart w:id="8443" w:name="_Toc517175329"/>
      <w:bookmarkStart w:id="8444" w:name="_Toc517175916"/>
      <w:bookmarkStart w:id="8445" w:name="_Toc517176504"/>
      <w:bookmarkStart w:id="8446" w:name="_Toc517337829"/>
      <w:bookmarkStart w:id="8447" w:name="_Toc517360625"/>
      <w:bookmarkStart w:id="8448" w:name="_Toc516740007"/>
      <w:bookmarkStart w:id="8449" w:name="_Toc516751916"/>
      <w:bookmarkStart w:id="8450" w:name="_Toc516826004"/>
      <w:bookmarkStart w:id="8451" w:name="_Toc516826562"/>
      <w:bookmarkStart w:id="8452" w:name="_Toc516837882"/>
      <w:bookmarkStart w:id="8453" w:name="_Toc516838441"/>
      <w:bookmarkStart w:id="8454" w:name="_Toc516839000"/>
      <w:bookmarkStart w:id="8455" w:name="_Toc516839560"/>
      <w:bookmarkStart w:id="8456" w:name="_Toc517173656"/>
      <w:bookmarkStart w:id="8457" w:name="_Toc517175330"/>
      <w:bookmarkStart w:id="8458" w:name="_Toc517175917"/>
      <w:bookmarkStart w:id="8459" w:name="_Toc517176505"/>
      <w:bookmarkStart w:id="8460" w:name="_Toc517337830"/>
      <w:bookmarkStart w:id="8461" w:name="_Toc517360626"/>
      <w:bookmarkStart w:id="8462" w:name="_Toc516740008"/>
      <w:bookmarkStart w:id="8463" w:name="_Toc516751917"/>
      <w:bookmarkStart w:id="8464" w:name="_Toc516826005"/>
      <w:bookmarkStart w:id="8465" w:name="_Toc516826563"/>
      <w:bookmarkStart w:id="8466" w:name="_Toc516837883"/>
      <w:bookmarkStart w:id="8467" w:name="_Toc516838442"/>
      <w:bookmarkStart w:id="8468" w:name="_Toc516839001"/>
      <w:bookmarkStart w:id="8469" w:name="_Toc516839561"/>
      <w:bookmarkStart w:id="8470" w:name="_Toc517173657"/>
      <w:bookmarkStart w:id="8471" w:name="_Toc517175331"/>
      <w:bookmarkStart w:id="8472" w:name="_Toc517175918"/>
      <w:bookmarkStart w:id="8473" w:name="_Toc517176506"/>
      <w:bookmarkStart w:id="8474" w:name="_Toc517337831"/>
      <w:bookmarkStart w:id="8475" w:name="_Toc517360627"/>
      <w:bookmarkStart w:id="8476" w:name="_Toc516740009"/>
      <w:bookmarkStart w:id="8477" w:name="_Toc516751918"/>
      <w:bookmarkStart w:id="8478" w:name="_Toc516826006"/>
      <w:bookmarkStart w:id="8479" w:name="_Toc516826564"/>
      <w:bookmarkStart w:id="8480" w:name="_Toc516837884"/>
      <w:bookmarkStart w:id="8481" w:name="_Toc516838443"/>
      <w:bookmarkStart w:id="8482" w:name="_Toc516839002"/>
      <w:bookmarkStart w:id="8483" w:name="_Toc516839562"/>
      <w:bookmarkStart w:id="8484" w:name="_Toc517173658"/>
      <w:bookmarkStart w:id="8485" w:name="_Toc517175332"/>
      <w:bookmarkStart w:id="8486" w:name="_Toc517175919"/>
      <w:bookmarkStart w:id="8487" w:name="_Toc517176507"/>
      <w:bookmarkStart w:id="8488" w:name="_Toc517337832"/>
      <w:bookmarkStart w:id="8489" w:name="_Toc517360628"/>
      <w:bookmarkStart w:id="8490" w:name="_Toc516740010"/>
      <w:bookmarkStart w:id="8491" w:name="_Toc516751919"/>
      <w:bookmarkStart w:id="8492" w:name="_Toc516826007"/>
      <w:bookmarkStart w:id="8493" w:name="_Toc516826565"/>
      <w:bookmarkStart w:id="8494" w:name="_Toc516837885"/>
      <w:bookmarkStart w:id="8495" w:name="_Toc516838444"/>
      <w:bookmarkStart w:id="8496" w:name="_Toc516839003"/>
      <w:bookmarkStart w:id="8497" w:name="_Toc516839563"/>
      <w:bookmarkStart w:id="8498" w:name="_Toc517173659"/>
      <w:bookmarkStart w:id="8499" w:name="_Toc517175333"/>
      <w:bookmarkStart w:id="8500" w:name="_Toc517175920"/>
      <w:bookmarkStart w:id="8501" w:name="_Toc517176508"/>
      <w:bookmarkStart w:id="8502" w:name="_Toc517337833"/>
      <w:bookmarkStart w:id="8503" w:name="_Toc517360629"/>
      <w:bookmarkStart w:id="8504" w:name="_Toc516740011"/>
      <w:bookmarkStart w:id="8505" w:name="_Toc516751920"/>
      <w:bookmarkStart w:id="8506" w:name="_Toc516826008"/>
      <w:bookmarkStart w:id="8507" w:name="_Toc516826566"/>
      <w:bookmarkStart w:id="8508" w:name="_Toc516837886"/>
      <w:bookmarkStart w:id="8509" w:name="_Toc516838445"/>
      <w:bookmarkStart w:id="8510" w:name="_Toc516839004"/>
      <w:bookmarkStart w:id="8511" w:name="_Toc516839564"/>
      <w:bookmarkStart w:id="8512" w:name="_Toc517173660"/>
      <w:bookmarkStart w:id="8513" w:name="_Toc517175334"/>
      <w:bookmarkStart w:id="8514" w:name="_Toc517175921"/>
      <w:bookmarkStart w:id="8515" w:name="_Toc517176509"/>
      <w:bookmarkStart w:id="8516" w:name="_Toc517337834"/>
      <w:bookmarkStart w:id="8517" w:name="_Toc517360630"/>
      <w:bookmarkStart w:id="8518" w:name="_Toc516740012"/>
      <w:bookmarkStart w:id="8519" w:name="_Toc516751921"/>
      <w:bookmarkStart w:id="8520" w:name="_Toc516826009"/>
      <w:bookmarkStart w:id="8521" w:name="_Toc516826567"/>
      <w:bookmarkStart w:id="8522" w:name="_Toc516837887"/>
      <w:bookmarkStart w:id="8523" w:name="_Toc516838446"/>
      <w:bookmarkStart w:id="8524" w:name="_Toc516839005"/>
      <w:bookmarkStart w:id="8525" w:name="_Toc516839565"/>
      <w:bookmarkStart w:id="8526" w:name="_Toc517173661"/>
      <w:bookmarkStart w:id="8527" w:name="_Toc517175335"/>
      <w:bookmarkStart w:id="8528" w:name="_Toc517175922"/>
      <w:bookmarkStart w:id="8529" w:name="_Toc517176510"/>
      <w:bookmarkStart w:id="8530" w:name="_Toc517337835"/>
      <w:bookmarkStart w:id="8531" w:name="_Toc517360631"/>
      <w:bookmarkStart w:id="8532" w:name="_Toc516740013"/>
      <w:bookmarkStart w:id="8533" w:name="_Toc516751922"/>
      <w:bookmarkStart w:id="8534" w:name="_Toc516826010"/>
      <w:bookmarkStart w:id="8535" w:name="_Toc516826568"/>
      <w:bookmarkStart w:id="8536" w:name="_Toc516837888"/>
      <w:bookmarkStart w:id="8537" w:name="_Toc516838447"/>
      <w:bookmarkStart w:id="8538" w:name="_Toc516839006"/>
      <w:bookmarkStart w:id="8539" w:name="_Toc516839566"/>
      <w:bookmarkStart w:id="8540" w:name="_Toc517173662"/>
      <w:bookmarkStart w:id="8541" w:name="_Toc517175336"/>
      <w:bookmarkStart w:id="8542" w:name="_Toc517175923"/>
      <w:bookmarkStart w:id="8543" w:name="_Toc517176511"/>
      <w:bookmarkStart w:id="8544" w:name="_Toc517337836"/>
      <w:bookmarkStart w:id="8545" w:name="_Toc517360632"/>
      <w:bookmarkStart w:id="8546" w:name="_Toc516740014"/>
      <w:bookmarkStart w:id="8547" w:name="_Toc516751923"/>
      <w:bookmarkStart w:id="8548" w:name="_Toc516826011"/>
      <w:bookmarkStart w:id="8549" w:name="_Toc516826569"/>
      <w:bookmarkStart w:id="8550" w:name="_Toc516837889"/>
      <w:bookmarkStart w:id="8551" w:name="_Toc516838448"/>
      <w:bookmarkStart w:id="8552" w:name="_Toc516839007"/>
      <w:bookmarkStart w:id="8553" w:name="_Toc516839567"/>
      <w:bookmarkStart w:id="8554" w:name="_Toc517173663"/>
      <w:bookmarkStart w:id="8555" w:name="_Toc517175337"/>
      <w:bookmarkStart w:id="8556" w:name="_Toc517175924"/>
      <w:bookmarkStart w:id="8557" w:name="_Toc517176512"/>
      <w:bookmarkStart w:id="8558" w:name="_Toc517337837"/>
      <w:bookmarkStart w:id="8559" w:name="_Toc517360633"/>
      <w:bookmarkStart w:id="8560" w:name="_Toc516740015"/>
      <w:bookmarkStart w:id="8561" w:name="_Toc516751924"/>
      <w:bookmarkStart w:id="8562" w:name="_Toc516826012"/>
      <w:bookmarkStart w:id="8563" w:name="_Toc516826570"/>
      <w:bookmarkStart w:id="8564" w:name="_Toc516837890"/>
      <w:bookmarkStart w:id="8565" w:name="_Toc516838449"/>
      <w:bookmarkStart w:id="8566" w:name="_Toc516839008"/>
      <w:bookmarkStart w:id="8567" w:name="_Toc516839568"/>
      <w:bookmarkStart w:id="8568" w:name="_Toc517173664"/>
      <w:bookmarkStart w:id="8569" w:name="_Toc517175338"/>
      <w:bookmarkStart w:id="8570" w:name="_Toc517175925"/>
      <w:bookmarkStart w:id="8571" w:name="_Toc517176513"/>
      <w:bookmarkStart w:id="8572" w:name="_Toc517337838"/>
      <w:bookmarkStart w:id="8573" w:name="_Toc517360634"/>
      <w:bookmarkStart w:id="8574" w:name="_Toc516740016"/>
      <w:bookmarkStart w:id="8575" w:name="_Toc516751925"/>
      <w:bookmarkStart w:id="8576" w:name="_Toc516826013"/>
      <w:bookmarkStart w:id="8577" w:name="_Toc516826571"/>
      <w:bookmarkStart w:id="8578" w:name="_Toc516837891"/>
      <w:bookmarkStart w:id="8579" w:name="_Toc516838450"/>
      <w:bookmarkStart w:id="8580" w:name="_Toc516839009"/>
      <w:bookmarkStart w:id="8581" w:name="_Toc516839569"/>
      <w:bookmarkStart w:id="8582" w:name="_Toc517173665"/>
      <w:bookmarkStart w:id="8583" w:name="_Toc517175339"/>
      <w:bookmarkStart w:id="8584" w:name="_Toc517175926"/>
      <w:bookmarkStart w:id="8585" w:name="_Toc517176514"/>
      <w:bookmarkStart w:id="8586" w:name="_Toc517337839"/>
      <w:bookmarkStart w:id="8587" w:name="_Toc517360635"/>
      <w:bookmarkStart w:id="8588" w:name="_Toc74557815"/>
      <w:bookmarkStart w:id="8589" w:name="_Toc512525542"/>
      <w:bookmarkStart w:id="8590" w:name="_Toc515896855"/>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r w:rsidRPr="00DA6BD2">
        <w:t>040/367-18 : Piscines privées</w:t>
      </w:r>
      <w:bookmarkEnd w:id="8588"/>
      <w:r w:rsidRPr="00DA6BD2">
        <w:t xml:space="preserve"> </w:t>
      </w:r>
    </w:p>
    <w:p w14:paraId="053EDCF9" w14:textId="06555F9B" w:rsidR="009B153C" w:rsidRPr="00EC0561" w:rsidRDefault="00705A12" w:rsidP="00256E9F">
      <w:pPr>
        <w:spacing w:before="120"/>
      </w:pPr>
      <w:r w:rsidRPr="00A03E6A">
        <w:t>T</w:t>
      </w:r>
      <w:r w:rsidR="009B153C" w:rsidRPr="003F0B7B">
        <w:t>axe direct</w:t>
      </w:r>
      <w:r w:rsidR="009B153C" w:rsidRPr="00E9189F">
        <w:t>e</w:t>
      </w:r>
      <w:r w:rsidRPr="009768A4">
        <w:t>.</w:t>
      </w:r>
      <w:bookmarkEnd w:id="8589"/>
      <w:bookmarkEnd w:id="8590"/>
    </w:p>
    <w:p w14:paraId="57AFE55E" w14:textId="77777777" w:rsidR="009B153C" w:rsidRPr="00DA6BD2" w:rsidRDefault="009B153C" w:rsidP="00E063FD">
      <w:pPr>
        <w:spacing w:before="120"/>
        <w:jc w:val="both"/>
        <w:textAlignment w:val="baseline"/>
        <w:rPr>
          <w:rFonts w:asciiTheme="minorHAnsi" w:hAnsiTheme="minorHAnsi" w:cs="Calibri Light"/>
          <w:spacing w:val="2"/>
        </w:rPr>
      </w:pPr>
      <w:r w:rsidRPr="00DA6BD2">
        <w:rPr>
          <w:rFonts w:asciiTheme="minorHAnsi" w:hAnsiTheme="minorHAnsi" w:cs="Calibri Light"/>
          <w:spacing w:val="2"/>
        </w:rPr>
        <w:t>Taux maximum recommandé :</w:t>
      </w:r>
    </w:p>
    <w:p w14:paraId="11FF27BC" w14:textId="1893AE0C" w:rsidR="009B153C" w:rsidRPr="008D7EB7" w:rsidRDefault="00A30F92"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450</w:t>
      </w:r>
      <w:r w:rsidR="0028666A"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euros/an pour les piscines de moins de 100 m</w:t>
      </w:r>
      <w:r w:rsidR="009B153C" w:rsidRPr="008D7EB7">
        <w:rPr>
          <w:rFonts w:asciiTheme="minorHAnsi" w:hAnsiTheme="minorHAnsi" w:cs="Calibri Light"/>
          <w:vertAlign w:val="superscript"/>
        </w:rPr>
        <w:t>2</w:t>
      </w:r>
      <w:r w:rsidR="0028666A">
        <w:rPr>
          <w:rFonts w:asciiTheme="minorHAnsi" w:hAnsiTheme="minorHAnsi" w:cs="Calibri Light"/>
        </w:rPr>
        <w:t> ;</w:t>
      </w:r>
    </w:p>
    <w:p w14:paraId="04A40FF2" w14:textId="03C798F3" w:rsidR="009B153C" w:rsidRPr="008D7EB7" w:rsidRDefault="00A30F92"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8D7EB7">
        <w:rPr>
          <w:rFonts w:asciiTheme="minorHAnsi" w:hAnsiTheme="minorHAnsi" w:cs="Calibri Light"/>
        </w:rPr>
        <w:t>900</w:t>
      </w:r>
      <w:r w:rsidR="0028666A" w:rsidRPr="008D7EB7">
        <w:rPr>
          <w:rFonts w:asciiTheme="minorHAnsi" w:hAnsiTheme="minorHAnsi" w:cs="Calibri Light"/>
        </w:rPr>
        <w:t>,00</w:t>
      </w:r>
      <w:r w:rsidRPr="008D7EB7">
        <w:rPr>
          <w:rFonts w:asciiTheme="minorHAnsi" w:hAnsiTheme="minorHAnsi" w:cs="Calibri Light"/>
        </w:rPr>
        <w:t xml:space="preserve"> </w:t>
      </w:r>
      <w:r w:rsidR="009B153C" w:rsidRPr="008D7EB7">
        <w:rPr>
          <w:rFonts w:asciiTheme="minorHAnsi" w:hAnsiTheme="minorHAnsi" w:cs="Calibri Light"/>
        </w:rPr>
        <w:t>euros/an pour les piscines de 100 m</w:t>
      </w:r>
      <w:r w:rsidR="009B153C" w:rsidRPr="008D7EB7">
        <w:rPr>
          <w:rFonts w:asciiTheme="minorHAnsi" w:hAnsiTheme="minorHAnsi" w:cs="Calibri Light"/>
          <w:vertAlign w:val="superscript"/>
        </w:rPr>
        <w:t>2</w:t>
      </w:r>
      <w:r w:rsidR="009B153C" w:rsidRPr="008D7EB7">
        <w:rPr>
          <w:rFonts w:asciiTheme="minorHAnsi" w:hAnsiTheme="minorHAnsi" w:cs="Calibri Light"/>
        </w:rPr>
        <w:t xml:space="preserve"> et plus.</w:t>
      </w:r>
    </w:p>
    <w:p w14:paraId="250476AE" w14:textId="2F828D39" w:rsidR="009B153C"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3"/>
        </w:rPr>
        <w:t xml:space="preserve">Les règlements qui ne prévoiront pas une exonération pour les piscines dont la surface est inférieure à </w:t>
      </w:r>
      <w:r w:rsidRPr="00DA6BD2">
        <w:rPr>
          <w:rFonts w:asciiTheme="minorHAnsi" w:hAnsiTheme="minorHAnsi" w:cs="Calibri Light"/>
          <w:spacing w:val="1"/>
        </w:rPr>
        <w:t>10 m</w:t>
      </w:r>
      <w:r w:rsidRPr="00DA6BD2">
        <w:rPr>
          <w:rFonts w:asciiTheme="minorHAnsi" w:hAnsiTheme="minorHAnsi" w:cs="Calibri Light"/>
          <w:spacing w:val="1"/>
          <w:vertAlign w:val="superscript"/>
        </w:rPr>
        <w:t>2</w:t>
      </w:r>
      <w:r w:rsidRPr="00DA6BD2">
        <w:rPr>
          <w:rFonts w:asciiTheme="minorHAnsi" w:hAnsiTheme="minorHAnsi" w:cs="Calibri Light"/>
          <w:spacing w:val="1"/>
        </w:rPr>
        <w:t xml:space="preserve"> ne seront dorénavant plus approuvés.</w:t>
      </w:r>
    </w:p>
    <w:p w14:paraId="592B16FA" w14:textId="77777777" w:rsidR="00DE5C49" w:rsidRPr="00DA6BD2" w:rsidRDefault="00DE5C49" w:rsidP="00E063FD">
      <w:pPr>
        <w:spacing w:before="120"/>
        <w:jc w:val="both"/>
        <w:textAlignment w:val="baseline"/>
        <w:rPr>
          <w:rFonts w:asciiTheme="minorHAnsi" w:hAnsiTheme="minorHAnsi" w:cs="Calibri Light"/>
          <w:spacing w:val="1"/>
        </w:rPr>
      </w:pPr>
    </w:p>
    <w:p w14:paraId="3749BACB" w14:textId="77777777" w:rsidR="00705A12" w:rsidRDefault="009B153C" w:rsidP="00256E9F">
      <w:pPr>
        <w:pStyle w:val="Sam3"/>
      </w:pPr>
      <w:bookmarkStart w:id="8591" w:name="_Toc74557816"/>
      <w:bookmarkStart w:id="8592" w:name="_Hlk39041837"/>
      <w:bookmarkStart w:id="8593" w:name="_Toc512525543"/>
      <w:bookmarkStart w:id="8594" w:name="_Toc515896856"/>
      <w:r w:rsidRPr="00DA6BD2">
        <w:t>040/367-19 : Surfaces de bureau et locaux affectés à l'exercice d'une</w:t>
      </w:r>
      <w:r w:rsidRPr="00DA6BD2">
        <w:rPr>
          <w:i/>
        </w:rPr>
        <w:t xml:space="preserve"> </w:t>
      </w:r>
      <w:r w:rsidRPr="00DA6BD2">
        <w:t>profession libérale</w:t>
      </w:r>
      <w:bookmarkEnd w:id="8591"/>
      <w:r w:rsidRPr="00DA6BD2">
        <w:t xml:space="preserve"> </w:t>
      </w:r>
    </w:p>
    <w:bookmarkEnd w:id="8592"/>
    <w:p w14:paraId="228FBF76" w14:textId="2BEC867C" w:rsidR="009B153C" w:rsidRPr="00EC0561" w:rsidRDefault="00705A12" w:rsidP="00256E9F">
      <w:pPr>
        <w:spacing w:before="120"/>
      </w:pPr>
      <w:r w:rsidRPr="00A03E6A">
        <w:t>T</w:t>
      </w:r>
      <w:r w:rsidR="009B153C" w:rsidRPr="003F0B7B">
        <w:t>axe directe</w:t>
      </w:r>
      <w:r w:rsidRPr="00E9189F">
        <w:t>.</w:t>
      </w:r>
      <w:bookmarkEnd w:id="8593"/>
      <w:bookmarkEnd w:id="8594"/>
    </w:p>
    <w:p w14:paraId="7FB0D0CE" w14:textId="04C315A1"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Taux maximum recommandé : </w:t>
      </w:r>
      <w:r w:rsidR="00A30F92" w:rsidRPr="0028666A">
        <w:rPr>
          <w:rFonts w:asciiTheme="minorHAnsi" w:hAnsiTheme="minorHAnsi" w:cs="Calibri Light"/>
          <w:spacing w:val="1"/>
        </w:rPr>
        <w:t>9</w:t>
      </w:r>
      <w:r w:rsidR="0028666A" w:rsidRPr="008D7EB7">
        <w:rPr>
          <w:rFonts w:asciiTheme="minorHAnsi" w:hAnsiTheme="minorHAnsi" w:cs="Calibri Light"/>
          <w:spacing w:val="1"/>
        </w:rPr>
        <w:t>,00</w:t>
      </w:r>
      <w:r w:rsidR="00A30F92" w:rsidRPr="0028666A">
        <w:rPr>
          <w:rFonts w:asciiTheme="minorHAnsi" w:hAnsiTheme="minorHAnsi" w:cs="Calibri Light"/>
          <w:spacing w:val="1"/>
        </w:rPr>
        <w:t xml:space="preserve"> </w:t>
      </w:r>
      <w:r w:rsidRPr="0028666A">
        <w:rPr>
          <w:rFonts w:asciiTheme="minorHAnsi" w:hAnsiTheme="minorHAnsi" w:cs="Calibri Light"/>
          <w:spacing w:val="1"/>
        </w:rPr>
        <w:t>euros</w:t>
      </w:r>
      <w:r w:rsidRPr="00DA6BD2">
        <w:rPr>
          <w:rFonts w:asciiTheme="minorHAnsi" w:hAnsiTheme="minorHAnsi" w:cs="Calibri Light"/>
          <w:spacing w:val="1"/>
        </w:rPr>
        <w:t xml:space="preserve"> le m</w:t>
      </w:r>
      <w:r w:rsidRPr="00DA6BD2">
        <w:rPr>
          <w:rFonts w:asciiTheme="minorHAnsi" w:hAnsiTheme="minorHAnsi" w:cs="Calibri Light"/>
          <w:spacing w:val="1"/>
          <w:vertAlign w:val="superscript"/>
        </w:rPr>
        <w:t>2</w:t>
      </w:r>
      <w:r w:rsidRPr="00DA6BD2">
        <w:rPr>
          <w:rFonts w:asciiTheme="minorHAnsi" w:hAnsiTheme="minorHAnsi" w:cs="Calibri Light"/>
          <w:spacing w:val="1"/>
        </w:rPr>
        <w:t xml:space="preserve"> par an.</w:t>
      </w:r>
    </w:p>
    <w:p w14:paraId="3D475EDB" w14:textId="7DBCAEF9"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Pour les surfaces inférieures à 50 m</w:t>
      </w:r>
      <w:r w:rsidRPr="00DA6BD2">
        <w:rPr>
          <w:rFonts w:asciiTheme="minorHAnsi" w:hAnsiTheme="minorHAnsi" w:cs="Calibri Light"/>
          <w:vertAlign w:val="superscript"/>
        </w:rPr>
        <w:t>2</w:t>
      </w:r>
      <w:r w:rsidRPr="00DA6BD2">
        <w:rPr>
          <w:rFonts w:asciiTheme="minorHAnsi" w:hAnsiTheme="minorHAnsi" w:cs="Calibri Light"/>
        </w:rPr>
        <w:t xml:space="preserve">, il est possible de prévoir une taxe forfaitaire. Dans ce cas, le montant maximum recommandé est fixé à </w:t>
      </w:r>
      <w:r w:rsidR="00BC0881" w:rsidRPr="008D7EB7">
        <w:rPr>
          <w:rFonts w:asciiTheme="minorHAnsi" w:hAnsiTheme="minorHAnsi" w:cs="Calibri Light"/>
        </w:rPr>
        <w:t>400</w:t>
      </w:r>
      <w:r w:rsidR="0028666A" w:rsidRPr="0028666A">
        <w:rPr>
          <w:rFonts w:asciiTheme="minorHAnsi" w:hAnsiTheme="minorHAnsi" w:cs="Calibri Light"/>
        </w:rPr>
        <w:t>,00</w:t>
      </w:r>
      <w:r w:rsidRPr="00DA6BD2">
        <w:rPr>
          <w:rFonts w:asciiTheme="minorHAnsi" w:hAnsiTheme="minorHAnsi" w:cs="Calibri Light"/>
        </w:rPr>
        <w:t xml:space="preserve"> euros</w:t>
      </w:r>
      <w:r w:rsidR="0028666A">
        <w:rPr>
          <w:rFonts w:asciiTheme="minorHAnsi" w:hAnsiTheme="minorHAnsi" w:cs="Calibri Light"/>
          <w:strike/>
        </w:rPr>
        <w:t>.</w:t>
      </w:r>
    </w:p>
    <w:p w14:paraId="760EC050" w14:textId="49051474" w:rsidR="009B153C" w:rsidRPr="00DA6BD2" w:rsidRDefault="00A62E25" w:rsidP="00E063FD">
      <w:pPr>
        <w:spacing w:before="120"/>
        <w:jc w:val="both"/>
        <w:textAlignment w:val="baseline"/>
        <w:rPr>
          <w:rFonts w:asciiTheme="minorHAnsi" w:hAnsiTheme="minorHAnsi" w:cs="Calibri Light"/>
        </w:rPr>
      </w:pPr>
      <w:r>
        <w:rPr>
          <w:rFonts w:asciiTheme="minorHAnsi" w:hAnsiTheme="minorHAnsi" w:cs="Calibri Light"/>
        </w:rPr>
        <w:t>Doivent</w:t>
      </w:r>
      <w:r w:rsidR="009B153C" w:rsidRPr="00DA6BD2">
        <w:rPr>
          <w:rFonts w:asciiTheme="minorHAnsi" w:hAnsiTheme="minorHAnsi" w:cs="Calibri Light"/>
        </w:rPr>
        <w:t xml:space="preserve"> être dédu</w:t>
      </w:r>
      <w:r>
        <w:rPr>
          <w:rFonts w:asciiTheme="minorHAnsi" w:hAnsiTheme="minorHAnsi" w:cs="Calibri Light"/>
        </w:rPr>
        <w:t>ites</w:t>
      </w:r>
      <w:r w:rsidR="009B153C" w:rsidRPr="00DA6BD2">
        <w:rPr>
          <w:rFonts w:asciiTheme="minorHAnsi" w:hAnsiTheme="minorHAnsi" w:cs="Calibri Light"/>
        </w:rPr>
        <w:t xml:space="preserve"> de la base imposable les surfaces strictement et effectivement réservées au logement dans le même immeuble.</w:t>
      </w:r>
    </w:p>
    <w:p w14:paraId="2EF4A537" w14:textId="77777777" w:rsidR="009B153C" w:rsidRDefault="009B153C" w:rsidP="00E063FD">
      <w:pPr>
        <w:spacing w:before="120"/>
        <w:jc w:val="both"/>
        <w:textAlignment w:val="baseline"/>
        <w:rPr>
          <w:rFonts w:asciiTheme="minorHAnsi" w:hAnsiTheme="minorHAnsi" w:cs="Calibri Light"/>
        </w:rPr>
      </w:pPr>
      <w:r w:rsidRPr="00E063FD">
        <w:rPr>
          <w:rFonts w:asciiTheme="minorHAnsi" w:hAnsiTheme="minorHAnsi" w:cs="Calibri Light"/>
        </w:rPr>
        <w:t>Il est loisible à chaque commune de récupérer par voie de redevance, auprès de tout ou partie du secteur tertiaire installé sur le territoire ou dans un périmètre bien délimité de celui-ci, tout ou partie de l'investissement qu'elle a consenti (en concertation) avec ce secteur. C'est ainsi par exemple que des investissements réalisés en concertation avec les partenaires d'un centre-ville (ex : installation de caméras de surveillance), peuvent être récupérés dans le respect du principe d'égalité sur base d'un critère objectif (ex : des m</w:t>
      </w:r>
      <w:r w:rsidRPr="00E063FD">
        <w:rPr>
          <w:rFonts w:asciiTheme="minorHAnsi" w:hAnsiTheme="minorHAnsi" w:cs="Calibri Light"/>
          <w:vertAlign w:val="superscript"/>
        </w:rPr>
        <w:t>2</w:t>
      </w:r>
      <w:r w:rsidRPr="00E063FD">
        <w:rPr>
          <w:rFonts w:asciiTheme="minorHAnsi" w:hAnsiTheme="minorHAnsi" w:cs="Calibri Light"/>
        </w:rPr>
        <w:t>). Ce système permet aux communes d'initier, de manière concertée, une politique dynamique de gestion d'un centre-ville.</w:t>
      </w:r>
    </w:p>
    <w:p w14:paraId="18AC5EA1" w14:textId="77777777" w:rsidR="00E41960" w:rsidRPr="008D7EB7" w:rsidRDefault="00E41960" w:rsidP="00E41960">
      <w:pPr>
        <w:spacing w:before="120"/>
        <w:jc w:val="both"/>
        <w:textAlignment w:val="baseline"/>
        <w:rPr>
          <w:rFonts w:asciiTheme="minorHAnsi" w:hAnsiTheme="minorHAnsi" w:cs="Calibri Light"/>
        </w:rPr>
      </w:pPr>
      <w:r w:rsidRPr="008D7EB7">
        <w:rPr>
          <w:rFonts w:asciiTheme="minorHAnsi" w:hAnsiTheme="minorHAnsi" w:cs="Calibri Light"/>
        </w:rPr>
        <w:t>Voici à ce propos quelques précisions :</w:t>
      </w:r>
    </w:p>
    <w:p w14:paraId="27B6F8C4" w14:textId="77777777" w:rsidR="00E41960" w:rsidRPr="008D7EB7" w:rsidRDefault="00E41960" w:rsidP="00E41960">
      <w:pPr>
        <w:spacing w:before="120"/>
        <w:jc w:val="both"/>
        <w:textAlignment w:val="baseline"/>
        <w:rPr>
          <w:rFonts w:cs="Calibri Light"/>
        </w:rPr>
      </w:pPr>
      <w:r w:rsidRPr="008D7EB7">
        <w:rPr>
          <w:rFonts w:cs="Calibri Light"/>
        </w:rPr>
        <w:t>L'article budgétaire 367-19 concerne les surfaces de bureau et locaux affectés à l'exercice d'une profession libérale tandis que l'article budgétaire 367-20 concerne les locaux affectés à l'exercice d'un commerce. Les communes sont rendues attentives à deux principes fiscaux qui peuvent trouver une application spécifique en l'occurrence :</w:t>
      </w:r>
    </w:p>
    <w:p w14:paraId="31724C79" w14:textId="77777777" w:rsidR="00E41960" w:rsidRPr="008D7EB7" w:rsidRDefault="00E41960" w:rsidP="00E41960">
      <w:pPr>
        <w:numPr>
          <w:ilvl w:val="0"/>
          <w:numId w:val="81"/>
        </w:numPr>
        <w:tabs>
          <w:tab w:val="left" w:pos="576"/>
        </w:tabs>
        <w:spacing w:before="120"/>
        <w:jc w:val="both"/>
        <w:textAlignment w:val="baseline"/>
        <w:rPr>
          <w:rFonts w:cs="Calibri Light"/>
          <w:spacing w:val="3"/>
        </w:rPr>
      </w:pPr>
      <w:proofErr w:type="gramStart"/>
      <w:r w:rsidRPr="008D7EB7">
        <w:rPr>
          <w:rFonts w:cs="Calibri Light"/>
          <w:spacing w:val="3"/>
        </w:rPr>
        <w:t>le</w:t>
      </w:r>
      <w:proofErr w:type="gramEnd"/>
      <w:r w:rsidRPr="008D7EB7">
        <w:rPr>
          <w:rFonts w:cs="Calibri Light"/>
          <w:spacing w:val="3"/>
        </w:rPr>
        <w:t xml:space="preserve"> principe d'égalité des citoyens devant l’impôt ;</w:t>
      </w:r>
    </w:p>
    <w:p w14:paraId="08EC8C8F" w14:textId="77777777" w:rsidR="00E41960" w:rsidRPr="008D7EB7" w:rsidRDefault="00E41960" w:rsidP="00E41960">
      <w:pPr>
        <w:numPr>
          <w:ilvl w:val="0"/>
          <w:numId w:val="81"/>
        </w:numPr>
        <w:tabs>
          <w:tab w:val="left" w:pos="576"/>
        </w:tabs>
        <w:spacing w:before="120"/>
        <w:jc w:val="both"/>
        <w:textAlignment w:val="baseline"/>
        <w:rPr>
          <w:rFonts w:cs="Calibri Light"/>
        </w:rPr>
      </w:pPr>
      <w:proofErr w:type="gramStart"/>
      <w:r w:rsidRPr="008D7EB7">
        <w:rPr>
          <w:rFonts w:cs="Calibri Light"/>
          <w:spacing w:val="3"/>
        </w:rPr>
        <w:t>le</w:t>
      </w:r>
      <w:proofErr w:type="gramEnd"/>
      <w:r w:rsidRPr="008D7EB7">
        <w:rPr>
          <w:rFonts w:cs="Calibri Light"/>
          <w:spacing w:val="3"/>
        </w:rPr>
        <w:t xml:space="preserve"> principe qui interdit toute double taxation ("</w:t>
      </w:r>
      <w:r w:rsidRPr="008D7EB7">
        <w:rPr>
          <w:rFonts w:cs="Calibri Light"/>
          <w:i/>
          <w:spacing w:val="3"/>
        </w:rPr>
        <w:t>non bis in idem</w:t>
      </w:r>
      <w:r w:rsidRPr="008D7EB7">
        <w:rPr>
          <w:rFonts w:cs="Calibri Light"/>
          <w:spacing w:val="3"/>
        </w:rPr>
        <w:t xml:space="preserve">") ce qui reviendrait, en pratique, à </w:t>
      </w:r>
      <w:r w:rsidRPr="008D7EB7">
        <w:rPr>
          <w:rFonts w:cs="Calibri Light"/>
        </w:rPr>
        <w:t xml:space="preserve">frapper de deux ou de plusieurs taxes, distinctes en la forme, une même situation juridique ou de fait. </w:t>
      </w:r>
    </w:p>
    <w:p w14:paraId="75D9122D" w14:textId="72743492" w:rsidR="00E41960" w:rsidRPr="008D7EB7" w:rsidRDefault="0028666A" w:rsidP="00E41960">
      <w:pPr>
        <w:numPr>
          <w:ilvl w:val="0"/>
          <w:numId w:val="81"/>
        </w:numPr>
        <w:tabs>
          <w:tab w:val="left" w:pos="576"/>
        </w:tabs>
        <w:spacing w:before="120"/>
        <w:jc w:val="both"/>
        <w:textAlignment w:val="baseline"/>
        <w:rPr>
          <w:rFonts w:cs="Calibri Light"/>
        </w:rPr>
      </w:pPr>
      <w:proofErr w:type="gramStart"/>
      <w:r>
        <w:rPr>
          <w:rFonts w:cs="Calibri Light"/>
        </w:rPr>
        <w:t>s</w:t>
      </w:r>
      <w:r w:rsidR="00E41960" w:rsidRPr="008D7EB7">
        <w:rPr>
          <w:rFonts w:cs="Calibri Light"/>
        </w:rPr>
        <w:t>ont</w:t>
      </w:r>
      <w:proofErr w:type="gramEnd"/>
      <w:r w:rsidR="00E41960" w:rsidRPr="008D7EB7">
        <w:rPr>
          <w:rFonts w:cs="Calibri Light"/>
        </w:rPr>
        <w:t xml:space="preserve"> exonérées de l'impôt, les surfaces de bureaux et les locaux : </w:t>
      </w:r>
    </w:p>
    <w:p w14:paraId="239B4C73" w14:textId="77777777" w:rsidR="00E41960" w:rsidRPr="008D7EB7" w:rsidRDefault="00E41960" w:rsidP="008D7EB7">
      <w:pPr>
        <w:pStyle w:val="Paragraphedeliste"/>
        <w:numPr>
          <w:ilvl w:val="1"/>
          <w:numId w:val="162"/>
        </w:numPr>
        <w:tabs>
          <w:tab w:val="left" w:pos="144"/>
        </w:tabs>
        <w:spacing w:before="120"/>
        <w:jc w:val="both"/>
        <w:textAlignment w:val="baseline"/>
        <w:rPr>
          <w:rFonts w:asciiTheme="minorHAnsi" w:hAnsiTheme="minorHAnsi" w:cs="Calibri Light"/>
        </w:rPr>
      </w:pPr>
      <w:proofErr w:type="gramStart"/>
      <w:r w:rsidRPr="008D7EB7">
        <w:rPr>
          <w:rFonts w:asciiTheme="minorHAnsi" w:hAnsiTheme="minorHAnsi" w:cs="Calibri Light"/>
        </w:rPr>
        <w:t>servant</w:t>
      </w:r>
      <w:proofErr w:type="gramEnd"/>
      <w:r w:rsidRPr="008D7EB7">
        <w:rPr>
          <w:rFonts w:asciiTheme="minorHAnsi" w:hAnsiTheme="minorHAnsi" w:cs="Calibri Light"/>
        </w:rPr>
        <w:t xml:space="preserve"> aux cultes et à la laïcité ; </w:t>
      </w:r>
    </w:p>
    <w:p w14:paraId="17D0943F" w14:textId="77777777" w:rsidR="00E41960" w:rsidRPr="008D7EB7" w:rsidRDefault="00E41960" w:rsidP="008D7EB7">
      <w:pPr>
        <w:pStyle w:val="Paragraphedeliste"/>
        <w:numPr>
          <w:ilvl w:val="1"/>
          <w:numId w:val="162"/>
        </w:numPr>
        <w:tabs>
          <w:tab w:val="left" w:pos="144"/>
        </w:tabs>
        <w:spacing w:before="120"/>
        <w:jc w:val="both"/>
        <w:textAlignment w:val="baseline"/>
        <w:rPr>
          <w:rFonts w:asciiTheme="minorHAnsi" w:hAnsiTheme="minorHAnsi" w:cs="Calibri Light"/>
        </w:rPr>
      </w:pPr>
      <w:proofErr w:type="gramStart"/>
      <w:r w:rsidRPr="008D7EB7">
        <w:rPr>
          <w:rFonts w:asciiTheme="minorHAnsi" w:hAnsiTheme="minorHAnsi" w:cs="Calibri Light"/>
        </w:rPr>
        <w:t>des</w:t>
      </w:r>
      <w:proofErr w:type="gramEnd"/>
      <w:r w:rsidRPr="008D7EB7">
        <w:rPr>
          <w:rFonts w:asciiTheme="minorHAnsi" w:hAnsiTheme="minorHAnsi" w:cs="Calibri Light"/>
        </w:rPr>
        <w:t xml:space="preserve"> établissements d'enseignement, des hôpitaux, des cliniques, des dispensaires ou œuvres de bienfaisance ; </w:t>
      </w:r>
    </w:p>
    <w:p w14:paraId="37D3FEC4" w14:textId="13703F3F" w:rsidR="00E41960" w:rsidRPr="008D7EB7" w:rsidRDefault="00E41960" w:rsidP="008D7EB7">
      <w:pPr>
        <w:pStyle w:val="Paragraphedeliste"/>
        <w:numPr>
          <w:ilvl w:val="1"/>
          <w:numId w:val="162"/>
        </w:numPr>
        <w:tabs>
          <w:tab w:val="left" w:pos="144"/>
        </w:tabs>
        <w:spacing w:before="120"/>
        <w:jc w:val="both"/>
        <w:textAlignment w:val="baseline"/>
        <w:rPr>
          <w:rFonts w:asciiTheme="minorHAnsi" w:hAnsiTheme="minorHAnsi" w:cs="Calibri Light"/>
        </w:rPr>
      </w:pPr>
      <w:proofErr w:type="gramStart"/>
      <w:r w:rsidRPr="008D7EB7">
        <w:rPr>
          <w:rFonts w:asciiTheme="minorHAnsi" w:hAnsiTheme="minorHAnsi" w:cs="Calibri Light"/>
        </w:rPr>
        <w:lastRenderedPageBreak/>
        <w:t>des</w:t>
      </w:r>
      <w:proofErr w:type="gramEnd"/>
      <w:r w:rsidRPr="008D7EB7">
        <w:rPr>
          <w:rFonts w:asciiTheme="minorHAnsi" w:hAnsiTheme="minorHAnsi" w:cs="Calibri Light"/>
        </w:rPr>
        <w:t xml:space="preserve"> associations sans but lucratif et autres groupements et associations qui ne poursuivent aucun but lucratif, mentionnés à l'article 181 du </w:t>
      </w:r>
      <w:r w:rsidR="0028666A" w:rsidRPr="008D7EB7">
        <w:rPr>
          <w:rFonts w:asciiTheme="minorHAnsi" w:hAnsiTheme="minorHAnsi" w:cs="Calibri Light"/>
        </w:rPr>
        <w:t>code des impôts sur les revenus</w:t>
      </w:r>
      <w:r w:rsidRPr="008D7EB7">
        <w:rPr>
          <w:rFonts w:asciiTheme="minorHAnsi" w:hAnsiTheme="minorHAnsi" w:cs="Calibri Light"/>
        </w:rPr>
        <w:t>.</w:t>
      </w:r>
    </w:p>
    <w:p w14:paraId="1EEECF12" w14:textId="77777777" w:rsidR="00DE5C49" w:rsidRDefault="00DE5C49" w:rsidP="00256E9F">
      <w:pPr>
        <w:pStyle w:val="Sam3"/>
      </w:pPr>
      <w:bookmarkStart w:id="8595" w:name="_Toc512525544"/>
      <w:bookmarkStart w:id="8596" w:name="_Toc515896857"/>
    </w:p>
    <w:p w14:paraId="272F541B" w14:textId="045729E4" w:rsidR="00705A12" w:rsidRDefault="009B153C" w:rsidP="00256E9F">
      <w:pPr>
        <w:pStyle w:val="Sam3"/>
      </w:pPr>
      <w:bookmarkStart w:id="8597" w:name="_Toc74557817"/>
      <w:bookmarkStart w:id="8598" w:name="_Hlk105661027"/>
      <w:r w:rsidRPr="00D66EBD">
        <w:t xml:space="preserve">040/367-20 : </w:t>
      </w:r>
      <w:r w:rsidRPr="00E063FD">
        <w:t>Surfaces commerciales</w:t>
      </w:r>
      <w:bookmarkEnd w:id="8597"/>
      <w:r w:rsidRPr="00E063FD">
        <w:t xml:space="preserve"> </w:t>
      </w:r>
    </w:p>
    <w:p w14:paraId="5DBA50C5" w14:textId="6A64F55B" w:rsidR="009B153C" w:rsidRPr="00E063FD" w:rsidRDefault="00705A12" w:rsidP="00E063FD">
      <w:r w:rsidRPr="00787482">
        <w:t>T</w:t>
      </w:r>
      <w:r w:rsidR="009B153C" w:rsidRPr="00E063FD">
        <w:t>axe directe - Modèle disponible</w:t>
      </w:r>
      <w:r w:rsidRPr="00787482">
        <w:t>.</w:t>
      </w:r>
      <w:r w:rsidR="009B153C" w:rsidRPr="00A03E6A">
        <w:t xml:space="preserve"> </w:t>
      </w:r>
      <w:bookmarkEnd w:id="8595"/>
      <w:bookmarkEnd w:id="8596"/>
    </w:p>
    <w:p w14:paraId="4FB981E9" w14:textId="2AED5A74"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Taux maximum </w:t>
      </w:r>
      <w:r w:rsidRPr="0028666A">
        <w:rPr>
          <w:rFonts w:asciiTheme="minorHAnsi" w:hAnsiTheme="minorHAnsi" w:cs="Calibri Light"/>
        </w:rPr>
        <w:t xml:space="preserve">recommandé : </w:t>
      </w:r>
      <w:r w:rsidR="00A30F92" w:rsidRPr="0028666A">
        <w:rPr>
          <w:rFonts w:asciiTheme="minorHAnsi" w:hAnsiTheme="minorHAnsi" w:cs="Calibri Light"/>
          <w:b/>
        </w:rPr>
        <w:t>5</w:t>
      </w:r>
      <w:r w:rsidR="0028666A" w:rsidRPr="008D7EB7">
        <w:rPr>
          <w:rFonts w:asciiTheme="minorHAnsi" w:hAnsiTheme="minorHAnsi" w:cs="Calibri Light"/>
          <w:b/>
        </w:rPr>
        <w:t>,00</w:t>
      </w:r>
      <w:r w:rsidR="00A30F92" w:rsidRPr="0028666A">
        <w:rPr>
          <w:rFonts w:asciiTheme="minorHAnsi" w:hAnsiTheme="minorHAnsi" w:cs="Calibri Light"/>
          <w:b/>
        </w:rPr>
        <w:t xml:space="preserve"> </w:t>
      </w:r>
      <w:r w:rsidRPr="0028666A">
        <w:rPr>
          <w:rFonts w:asciiTheme="minorHAnsi" w:hAnsiTheme="minorHAnsi" w:cs="Calibri Light"/>
          <w:b/>
        </w:rPr>
        <w:t>euros le m</w:t>
      </w:r>
      <w:r w:rsidRPr="0028666A">
        <w:rPr>
          <w:rFonts w:asciiTheme="minorHAnsi" w:hAnsiTheme="minorHAnsi" w:cs="Calibri Light"/>
          <w:b/>
          <w:vertAlign w:val="superscript"/>
        </w:rPr>
        <w:t>2</w:t>
      </w:r>
      <w:r w:rsidRPr="0028666A">
        <w:rPr>
          <w:rFonts w:asciiTheme="minorHAnsi" w:hAnsiTheme="minorHAnsi" w:cs="Calibri Light"/>
          <w:b/>
        </w:rPr>
        <w:t xml:space="preserve"> de surface commerciale nette par an et par </w:t>
      </w:r>
      <w:r w:rsidR="00CC72B5" w:rsidRPr="0028666A">
        <w:rPr>
          <w:rFonts w:asciiTheme="minorHAnsi" w:hAnsiTheme="minorHAnsi" w:cs="Calibri Light"/>
          <w:b/>
        </w:rPr>
        <w:t xml:space="preserve">surface </w:t>
      </w:r>
      <w:r w:rsidRPr="0028666A">
        <w:rPr>
          <w:rFonts w:asciiTheme="minorHAnsi" w:hAnsiTheme="minorHAnsi" w:cs="Calibri Light"/>
          <w:b/>
        </w:rPr>
        <w:t>commerciale.</w:t>
      </w:r>
    </w:p>
    <w:p w14:paraId="1AB9BA83" w14:textId="6EB3EC2E" w:rsidR="009B153C" w:rsidRDefault="009B153C" w:rsidP="00E063FD">
      <w:pPr>
        <w:spacing w:before="120"/>
        <w:jc w:val="both"/>
        <w:textAlignment w:val="baseline"/>
        <w:rPr>
          <w:rFonts w:asciiTheme="minorHAnsi" w:hAnsiTheme="minorHAnsi" w:cs="Calibri Light"/>
        </w:rPr>
      </w:pPr>
      <w:r w:rsidRPr="00C24D2E">
        <w:rPr>
          <w:rFonts w:asciiTheme="minorHAnsi" w:hAnsiTheme="minorHAnsi" w:cs="Calibri Light"/>
          <w:b/>
        </w:rPr>
        <w:t xml:space="preserve">« </w:t>
      </w:r>
      <w:proofErr w:type="gramStart"/>
      <w:r w:rsidRPr="00C24D2E">
        <w:rPr>
          <w:rFonts w:asciiTheme="minorHAnsi" w:hAnsiTheme="minorHAnsi" w:cs="Calibri Light"/>
          <w:b/>
        </w:rPr>
        <w:t>surface</w:t>
      </w:r>
      <w:proofErr w:type="gramEnd"/>
      <w:r w:rsidRPr="00C24D2E">
        <w:rPr>
          <w:rFonts w:asciiTheme="minorHAnsi" w:hAnsiTheme="minorHAnsi" w:cs="Calibri Light"/>
          <w:b/>
        </w:rPr>
        <w:t xml:space="preserve"> commerciale » : </w:t>
      </w:r>
      <w:r w:rsidRPr="00C24D2E">
        <w:rPr>
          <w:rFonts w:asciiTheme="minorHAnsi" w:hAnsiTheme="minorHAnsi" w:cs="Calibri Light"/>
        </w:rPr>
        <w:t>l'établissement de commerce de détail;</w:t>
      </w:r>
    </w:p>
    <w:p w14:paraId="21875B56" w14:textId="3EDE35EB" w:rsidR="00E41960" w:rsidRPr="00DA6BD2" w:rsidRDefault="00E41960" w:rsidP="00E063FD">
      <w:pPr>
        <w:spacing w:before="120"/>
        <w:jc w:val="both"/>
        <w:textAlignment w:val="baseline"/>
        <w:rPr>
          <w:rFonts w:asciiTheme="minorHAnsi" w:hAnsiTheme="minorHAnsi" w:cs="Calibri Light"/>
          <w:b/>
        </w:rPr>
      </w:pPr>
      <w:r>
        <w:rPr>
          <w:rFonts w:asciiTheme="minorHAnsi" w:hAnsiTheme="minorHAnsi" w:cs="Calibri Light"/>
        </w:rPr>
        <w:t xml:space="preserve">Il est recommandé d’exonérer les </w:t>
      </w:r>
      <w:r w:rsidRPr="005A1851">
        <w:rPr>
          <w:rFonts w:asciiTheme="minorHAnsi" w:hAnsiTheme="minorHAnsi" w:cs="Calibri Light"/>
        </w:rPr>
        <w:t>400 premiers mètres carrés</w:t>
      </w:r>
      <w:r w:rsidR="004C2BB2" w:rsidRPr="00031B09">
        <w:rPr>
          <w:rFonts w:asciiTheme="minorHAnsi" w:hAnsiTheme="minorHAnsi" w:cs="Calibri Light"/>
        </w:rPr>
        <w:t xml:space="preserve"> et, à tout le moins, de motiver en suffisance l’exonération prévue</w:t>
      </w:r>
      <w:r w:rsidRPr="00031B09">
        <w:rPr>
          <w:rFonts w:asciiTheme="minorHAnsi" w:hAnsiTheme="minorHAnsi" w:cs="Calibri Light"/>
        </w:rPr>
        <w:t>.</w:t>
      </w:r>
    </w:p>
    <w:bookmarkEnd w:id="8598"/>
    <w:p w14:paraId="6234F886" w14:textId="77777777"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b/>
        </w:rPr>
        <w:t xml:space="preserve">« Établissement de commerce de détail » : </w:t>
      </w:r>
      <w:r w:rsidRPr="00DA6BD2">
        <w:rPr>
          <w:rFonts w:asciiTheme="minorHAnsi" w:hAnsiTheme="minorHAnsi" w:cs="Calibri Light"/>
        </w:rPr>
        <w:t xml:space="preserve">l'unité de distribution dont l'activité consiste à revendre de manière habituelle des marchandises à des consommateurs en nom propre et pour compte propre, sans faire subir à ces marchandises d'autre traitement que les manipulations usuelles dans le </w:t>
      </w:r>
      <w:r w:rsidRPr="00DA6BD2">
        <w:rPr>
          <w:rFonts w:asciiTheme="minorHAnsi" w:hAnsiTheme="minorHAnsi" w:cs="Calibri Light"/>
          <w:spacing w:val="1"/>
        </w:rPr>
        <w:t>commerce ;</w:t>
      </w:r>
    </w:p>
    <w:p w14:paraId="252F0AB7" w14:textId="77777777" w:rsidR="009B153C" w:rsidRPr="00DA6BD2" w:rsidRDefault="009B153C" w:rsidP="00E063FD">
      <w:pPr>
        <w:spacing w:before="120"/>
        <w:jc w:val="both"/>
        <w:textAlignment w:val="baseline"/>
        <w:rPr>
          <w:rFonts w:asciiTheme="minorHAnsi" w:hAnsiTheme="minorHAnsi" w:cs="Calibri Light"/>
          <w:b/>
        </w:rPr>
      </w:pPr>
      <w:r w:rsidRPr="00DA6BD2">
        <w:rPr>
          <w:rFonts w:asciiTheme="minorHAnsi" w:hAnsiTheme="minorHAnsi" w:cs="Calibri Light"/>
          <w:b/>
        </w:rPr>
        <w:t xml:space="preserve">« Surface commerciale nette » : </w:t>
      </w:r>
      <w:r w:rsidRPr="00DA6BD2">
        <w:rPr>
          <w:rFonts w:asciiTheme="minorHAnsi" w:hAnsiTheme="minorHAnsi" w:cs="Calibri Light"/>
        </w:rPr>
        <w:t>la surface destinée à la vente et accessible au public y compris les surfaces non couvertes ; cette surface inclut notamment les zones de caisses et les zones situées à l'arrière des caisses.</w:t>
      </w:r>
    </w:p>
    <w:p w14:paraId="18BAE6C0"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Peut être assimilé à un local, tout espace clôturé accessible au public et destiné à l'accomplissement d'actes de commerce</w:t>
      </w:r>
      <w:r w:rsidR="00E266D3">
        <w:rPr>
          <w:rFonts w:asciiTheme="minorHAnsi" w:hAnsiTheme="minorHAnsi" w:cs="Calibri Light"/>
        </w:rPr>
        <w:t xml:space="preserve"> (les </w:t>
      </w:r>
      <w:r w:rsidR="00E266D3" w:rsidRPr="00DA6BD2">
        <w:rPr>
          <w:rFonts w:asciiTheme="minorHAnsi" w:hAnsiTheme="minorHAnsi" w:cs="Calibri Light"/>
        </w:rPr>
        <w:t>halls d'entrée utilisés à des fins d'exposition ou de vente de marchandises</w:t>
      </w:r>
      <w:r w:rsidR="00E266D3">
        <w:rPr>
          <w:rFonts w:asciiTheme="minorHAnsi" w:hAnsiTheme="minorHAnsi" w:cs="Calibri Light"/>
        </w:rPr>
        <w:t xml:space="preserve"> ne rentrent pas dans la définition de la surface commerciale nette).</w:t>
      </w:r>
    </w:p>
    <w:p w14:paraId="5533062D" w14:textId="77777777" w:rsidR="009B153C" w:rsidRPr="00E063FD" w:rsidRDefault="009B153C" w:rsidP="00E063FD">
      <w:pPr>
        <w:spacing w:before="120"/>
        <w:jc w:val="both"/>
        <w:textAlignment w:val="baseline"/>
        <w:rPr>
          <w:rFonts w:asciiTheme="minorHAnsi" w:hAnsiTheme="minorHAnsi" w:cs="Calibri Light"/>
        </w:rPr>
      </w:pPr>
      <w:r w:rsidRPr="00E063FD">
        <w:rPr>
          <w:rFonts w:asciiTheme="minorHAnsi" w:hAnsiTheme="minorHAnsi" w:cs="Calibri Light"/>
        </w:rPr>
        <w:t>Il est loisible à chaque commune de récupérer par voie de redevance, auprès de tout ou partie du secteur tertiaire installé sur le territoire ou dans un périmètre bien délimité de celui-ci, tout ou partie de l'investissement qu'elle a consenti (en concertation) avec ce secteur. C'est ainsi par exemple que des investissements réalisés en concertation avec les partenaires d'un centre-ville (ex : installation de caméras de surveillance), peuvent être récupérés dans le respect du principe d'égalité sur base d'un critère objectif (ex : des m</w:t>
      </w:r>
      <w:r w:rsidRPr="00E063FD">
        <w:rPr>
          <w:rFonts w:asciiTheme="minorHAnsi" w:hAnsiTheme="minorHAnsi" w:cs="Calibri Light"/>
          <w:vertAlign w:val="superscript"/>
        </w:rPr>
        <w:t>2</w:t>
      </w:r>
      <w:r w:rsidRPr="00E063FD">
        <w:rPr>
          <w:rFonts w:asciiTheme="minorHAnsi" w:hAnsiTheme="minorHAnsi" w:cs="Calibri Light"/>
        </w:rPr>
        <w:t>). Ce système permet aux communes d'initier, de manière concertée, une politique dynamique de gestion d'un centre-ville.</w:t>
      </w:r>
    </w:p>
    <w:p w14:paraId="2180CF8E" w14:textId="15DECA19" w:rsidR="009B153C" w:rsidRDefault="009B153C" w:rsidP="00256E9F">
      <w:pPr>
        <w:spacing w:before="120"/>
        <w:jc w:val="both"/>
        <w:rPr>
          <w:rFonts w:asciiTheme="minorHAnsi" w:hAnsiTheme="minorHAnsi" w:cs="Calibri Light"/>
          <w:lang w:val="fr-BE"/>
        </w:rPr>
      </w:pPr>
      <w:r w:rsidRPr="00C24D2E">
        <w:rPr>
          <w:rFonts w:asciiTheme="minorHAnsi" w:hAnsiTheme="minorHAnsi" w:cs="Calibri Light"/>
          <w:lang w:val="fr-BE"/>
        </w:rPr>
        <w:t xml:space="preserve">Vu la définition de </w:t>
      </w:r>
      <w:r w:rsidRPr="00E063FD">
        <w:rPr>
          <w:rFonts w:asciiTheme="minorHAnsi" w:hAnsiTheme="minorHAnsi" w:cs="Calibri Light"/>
          <w:lang w:val="fr-BE"/>
        </w:rPr>
        <w:t>la surface commerciale reprise ci-dessus, je vous invite à prévoir dans votre règlement-taxe une exonération pour les 400 premiers m².</w:t>
      </w:r>
    </w:p>
    <w:p w14:paraId="1EFBEC63" w14:textId="77777777" w:rsidR="002B0522" w:rsidRDefault="002B0522" w:rsidP="00256E9F">
      <w:pPr>
        <w:spacing w:before="120"/>
        <w:jc w:val="both"/>
        <w:rPr>
          <w:rFonts w:asciiTheme="minorHAnsi" w:hAnsiTheme="minorHAnsi" w:cs="Calibri Light"/>
          <w:lang w:val="fr-BE"/>
        </w:rPr>
      </w:pPr>
    </w:p>
    <w:p w14:paraId="65A740F1" w14:textId="543D2C65" w:rsidR="00705A12" w:rsidRDefault="009B153C" w:rsidP="00256E9F">
      <w:pPr>
        <w:pStyle w:val="Sam3"/>
      </w:pPr>
      <w:bookmarkStart w:id="8599" w:name="_Toc516740020"/>
      <w:bookmarkStart w:id="8600" w:name="_Toc516751929"/>
      <w:bookmarkStart w:id="8601" w:name="_Toc516826017"/>
      <w:bookmarkStart w:id="8602" w:name="_Toc516826575"/>
      <w:bookmarkStart w:id="8603" w:name="_Toc516837895"/>
      <w:bookmarkStart w:id="8604" w:name="_Toc516838454"/>
      <w:bookmarkStart w:id="8605" w:name="_Toc516839013"/>
      <w:bookmarkStart w:id="8606" w:name="_Toc516839573"/>
      <w:bookmarkStart w:id="8607" w:name="_Toc517173669"/>
      <w:bookmarkStart w:id="8608" w:name="_Toc517175343"/>
      <w:bookmarkStart w:id="8609" w:name="_Toc517175930"/>
      <w:bookmarkStart w:id="8610" w:name="_Toc517176518"/>
      <w:bookmarkStart w:id="8611" w:name="_Toc517337843"/>
      <w:bookmarkStart w:id="8612" w:name="_Toc517360639"/>
      <w:bookmarkStart w:id="8613" w:name="_Toc74557818"/>
      <w:bookmarkStart w:id="8614" w:name="_Toc512525545"/>
      <w:bookmarkStart w:id="8615" w:name="_Toc51589685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r w:rsidRPr="00DA6BD2">
        <w:t xml:space="preserve">040/367-48 : </w:t>
      </w:r>
      <w:r w:rsidR="001E0A00">
        <w:t>E</w:t>
      </w:r>
      <w:r w:rsidRPr="00DA6BD2">
        <w:t>oliennes destinées à la production industrielle d'électricité</w:t>
      </w:r>
      <w:bookmarkEnd w:id="8613"/>
      <w:r w:rsidRPr="00DA6BD2">
        <w:t xml:space="preserve"> </w:t>
      </w:r>
    </w:p>
    <w:p w14:paraId="5C734CE5" w14:textId="452CCC9D" w:rsidR="009B153C" w:rsidRPr="00EC0561" w:rsidRDefault="00705A12" w:rsidP="00E063FD">
      <w:r w:rsidRPr="00A03E6A">
        <w:t>T</w:t>
      </w:r>
      <w:r w:rsidR="009B153C" w:rsidRPr="003F0B7B">
        <w:t>axe directe</w:t>
      </w:r>
      <w:r w:rsidRPr="00E9189F">
        <w:t>.</w:t>
      </w:r>
      <w:bookmarkEnd w:id="8614"/>
      <w:bookmarkEnd w:id="8615"/>
      <w:r w:rsidR="009B153C" w:rsidRPr="00EC0561">
        <w:t xml:space="preserve"> </w:t>
      </w:r>
    </w:p>
    <w:p w14:paraId="4E59C3E2"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Taux maximum recommandé :</w:t>
      </w:r>
    </w:p>
    <w:p w14:paraId="64BC9502" w14:textId="2284BB92" w:rsidR="009B153C" w:rsidRDefault="009B153C" w:rsidP="002B0522">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pour</w:t>
      </w:r>
      <w:proofErr w:type="gramEnd"/>
      <w:r w:rsidRPr="008D7EB7">
        <w:rPr>
          <w:rFonts w:asciiTheme="minorHAnsi" w:hAnsiTheme="minorHAnsi" w:cs="Calibri Light"/>
        </w:rPr>
        <w:t xml:space="preserve"> un</w:t>
      </w:r>
      <w:r w:rsidR="001E0A00">
        <w:rPr>
          <w:rFonts w:asciiTheme="minorHAnsi" w:hAnsiTheme="minorHAnsi" w:cs="Calibri Light"/>
        </w:rPr>
        <w:t>e éolienne</w:t>
      </w:r>
      <w:r w:rsidRPr="008D7EB7">
        <w:rPr>
          <w:rFonts w:asciiTheme="minorHAnsi" w:hAnsiTheme="minorHAnsi" w:cs="Calibri Light"/>
        </w:rPr>
        <w:t xml:space="preserve"> d’une puissance nominale inférieure à </w:t>
      </w:r>
      <w:r w:rsidR="00C1754A">
        <w:rPr>
          <w:rFonts w:asciiTheme="minorHAnsi" w:hAnsiTheme="minorHAnsi" w:cs="Calibri Light"/>
        </w:rPr>
        <w:t>0,5</w:t>
      </w:r>
      <w:r w:rsidR="00C1754A" w:rsidRPr="008D7EB7">
        <w:rPr>
          <w:rFonts w:asciiTheme="minorHAnsi" w:hAnsiTheme="minorHAnsi" w:cs="Calibri Light"/>
        </w:rPr>
        <w:t xml:space="preserve"> </w:t>
      </w:r>
      <w:r w:rsidRPr="008D7EB7">
        <w:rPr>
          <w:rFonts w:asciiTheme="minorHAnsi" w:hAnsiTheme="minorHAnsi" w:cs="Calibri Light"/>
        </w:rPr>
        <w:t>mégawatt : zéro euro</w:t>
      </w:r>
      <w:r w:rsidR="00B712FD" w:rsidRPr="008D7EB7">
        <w:rPr>
          <w:rFonts w:asciiTheme="minorHAnsi" w:hAnsiTheme="minorHAnsi" w:cs="Calibri Light"/>
        </w:rPr>
        <w:t> ;</w:t>
      </w:r>
    </w:p>
    <w:p w14:paraId="614ADC8F" w14:textId="6B12FAE8" w:rsidR="00C1754A" w:rsidRDefault="00C64C0B" w:rsidP="00C1754A">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Au-delà</w:t>
      </w:r>
      <w:r w:rsidRPr="00C64C0B">
        <w:t xml:space="preserve"> </w:t>
      </w:r>
      <w:r w:rsidRPr="00C64C0B">
        <w:rPr>
          <w:rFonts w:asciiTheme="minorHAnsi" w:hAnsiTheme="minorHAnsi" w:cs="Calibri Light"/>
        </w:rPr>
        <w:t>de 0,5 mégawatt le taux est de 500 euros par 0,1 mégawatt.</w:t>
      </w:r>
    </w:p>
    <w:p w14:paraId="1C28FE72" w14:textId="77777777" w:rsidR="00C1754A" w:rsidRPr="00256E9F" w:rsidRDefault="00C1754A" w:rsidP="00C1754A">
      <w:pPr>
        <w:pStyle w:val="Paragraphedeliste"/>
        <w:tabs>
          <w:tab w:val="left" w:pos="144"/>
        </w:tabs>
        <w:ind w:left="499"/>
        <w:jc w:val="both"/>
        <w:textAlignment w:val="baseline"/>
        <w:rPr>
          <w:rFonts w:asciiTheme="minorHAnsi" w:hAnsiTheme="minorHAnsi" w:cs="Calibri Light"/>
          <w:sz w:val="10"/>
          <w:szCs w:val="10"/>
        </w:rPr>
      </w:pPr>
    </w:p>
    <w:p w14:paraId="1E30BF08" w14:textId="6BB61A6D" w:rsidR="00C1754A" w:rsidRDefault="00C1754A" w:rsidP="00C1754A">
      <w:pPr>
        <w:tabs>
          <w:tab w:val="left" w:pos="144"/>
        </w:tabs>
        <w:jc w:val="both"/>
        <w:textAlignment w:val="baseline"/>
        <w:rPr>
          <w:rFonts w:asciiTheme="minorHAnsi" w:hAnsiTheme="minorHAnsi" w:cs="Calibri Light"/>
        </w:rPr>
      </w:pPr>
      <w:r w:rsidRPr="00C1754A">
        <w:rPr>
          <w:rFonts w:asciiTheme="minorHAnsi" w:hAnsiTheme="minorHAnsi" w:cs="Calibri Light"/>
        </w:rPr>
        <w:t>Ainsi :</w:t>
      </w:r>
    </w:p>
    <w:p w14:paraId="27DC952D" w14:textId="77777777" w:rsidR="00C1754A" w:rsidRPr="00C1754A" w:rsidRDefault="00C1754A" w:rsidP="00C1754A">
      <w:pPr>
        <w:tabs>
          <w:tab w:val="left" w:pos="144"/>
        </w:tabs>
        <w:jc w:val="both"/>
        <w:textAlignment w:val="baseline"/>
        <w:rPr>
          <w:rFonts w:asciiTheme="minorHAnsi" w:hAnsiTheme="minorHAnsi" w:cs="Calibri Light"/>
        </w:rPr>
      </w:pPr>
      <w:r w:rsidRPr="00C1754A">
        <w:rPr>
          <w:rFonts w:asciiTheme="minorHAnsi" w:hAnsiTheme="minorHAnsi" w:cs="Calibri Light"/>
        </w:rPr>
        <w:t>•</w:t>
      </w:r>
      <w:r w:rsidRPr="00C1754A">
        <w:rPr>
          <w:rFonts w:asciiTheme="minorHAnsi" w:hAnsiTheme="minorHAnsi" w:cs="Calibri Light"/>
        </w:rPr>
        <w:tab/>
        <w:t>une éolienne de 0,7 mégawatt sera soumise à une taxe de 1.000 euros</w:t>
      </w:r>
    </w:p>
    <w:p w14:paraId="54539D3D" w14:textId="77777777" w:rsidR="00C1754A" w:rsidRPr="00C1754A" w:rsidRDefault="00C1754A" w:rsidP="00C1754A">
      <w:pPr>
        <w:tabs>
          <w:tab w:val="left" w:pos="144"/>
        </w:tabs>
        <w:jc w:val="both"/>
        <w:textAlignment w:val="baseline"/>
        <w:rPr>
          <w:rFonts w:asciiTheme="minorHAnsi" w:hAnsiTheme="minorHAnsi" w:cs="Calibri Light"/>
        </w:rPr>
      </w:pPr>
      <w:r w:rsidRPr="00C1754A">
        <w:rPr>
          <w:rFonts w:asciiTheme="minorHAnsi" w:hAnsiTheme="minorHAnsi" w:cs="Calibri Light"/>
        </w:rPr>
        <w:t>•</w:t>
      </w:r>
      <w:r w:rsidRPr="00C1754A">
        <w:rPr>
          <w:rFonts w:asciiTheme="minorHAnsi" w:hAnsiTheme="minorHAnsi" w:cs="Calibri Light"/>
        </w:rPr>
        <w:tab/>
        <w:t>une éolienne de 1 mégawatt sera soumise à une taxe de 5.000 euros</w:t>
      </w:r>
    </w:p>
    <w:p w14:paraId="280BD4A0" w14:textId="6DA2806D" w:rsidR="00654F7E" w:rsidRDefault="00C1754A" w:rsidP="00654F7E">
      <w:pPr>
        <w:tabs>
          <w:tab w:val="left" w:pos="144"/>
        </w:tabs>
        <w:jc w:val="both"/>
        <w:textAlignment w:val="baseline"/>
        <w:rPr>
          <w:rFonts w:asciiTheme="minorHAnsi" w:hAnsiTheme="minorHAnsi" w:cs="Calibri Light"/>
        </w:rPr>
      </w:pPr>
      <w:r w:rsidRPr="00C1754A">
        <w:rPr>
          <w:rFonts w:asciiTheme="minorHAnsi" w:hAnsiTheme="minorHAnsi" w:cs="Calibri Light"/>
        </w:rPr>
        <w:t>•</w:t>
      </w:r>
      <w:r w:rsidRPr="00C1754A">
        <w:rPr>
          <w:rFonts w:asciiTheme="minorHAnsi" w:hAnsiTheme="minorHAnsi" w:cs="Calibri Light"/>
        </w:rPr>
        <w:tab/>
        <w:t>une éolienne de 2 mégawatt</w:t>
      </w:r>
      <w:r w:rsidR="00A5716F">
        <w:rPr>
          <w:rFonts w:asciiTheme="minorHAnsi" w:hAnsiTheme="minorHAnsi" w:cs="Calibri Light"/>
        </w:rPr>
        <w:t>s</w:t>
      </w:r>
      <w:r w:rsidRPr="00C1754A">
        <w:rPr>
          <w:rFonts w:asciiTheme="minorHAnsi" w:hAnsiTheme="minorHAnsi" w:cs="Calibri Light"/>
        </w:rPr>
        <w:t xml:space="preserve"> sera soumise à une taxe de 10.000 euros</w:t>
      </w:r>
    </w:p>
    <w:p w14:paraId="6EF4E191" w14:textId="0E25CA6A" w:rsidR="00C1754A" w:rsidRDefault="00C1754A" w:rsidP="00C1754A">
      <w:pPr>
        <w:tabs>
          <w:tab w:val="left" w:pos="144"/>
        </w:tabs>
        <w:jc w:val="both"/>
        <w:textAlignment w:val="baseline"/>
        <w:rPr>
          <w:rFonts w:asciiTheme="minorHAnsi" w:hAnsiTheme="minorHAnsi" w:cs="Calibri Light"/>
        </w:rPr>
      </w:pPr>
      <w:r w:rsidRPr="00C1754A">
        <w:rPr>
          <w:rFonts w:asciiTheme="minorHAnsi" w:hAnsiTheme="minorHAnsi" w:cs="Calibri Light"/>
        </w:rPr>
        <w:t>•</w:t>
      </w:r>
      <w:r w:rsidRPr="00C1754A">
        <w:rPr>
          <w:rFonts w:asciiTheme="minorHAnsi" w:hAnsiTheme="minorHAnsi" w:cs="Calibri Light"/>
        </w:rPr>
        <w:tab/>
        <w:t>une éolienne de 2,3 mégawatt</w:t>
      </w:r>
      <w:r w:rsidR="00A5716F">
        <w:rPr>
          <w:rFonts w:asciiTheme="minorHAnsi" w:hAnsiTheme="minorHAnsi" w:cs="Calibri Light"/>
        </w:rPr>
        <w:t>s</w:t>
      </w:r>
      <w:r w:rsidRPr="00C1754A">
        <w:rPr>
          <w:rFonts w:asciiTheme="minorHAnsi" w:hAnsiTheme="minorHAnsi" w:cs="Calibri Light"/>
        </w:rPr>
        <w:t xml:space="preserve"> sera soumise à une taxe de</w:t>
      </w:r>
      <w:r>
        <w:rPr>
          <w:rFonts w:asciiTheme="minorHAnsi" w:hAnsiTheme="minorHAnsi" w:cs="Calibri Light"/>
        </w:rPr>
        <w:t xml:space="preserve"> 11.500 euros</w:t>
      </w:r>
    </w:p>
    <w:p w14:paraId="7B35C1A9" w14:textId="45549593" w:rsidR="00C1754A" w:rsidRDefault="00C1754A" w:rsidP="00A5716F">
      <w:pPr>
        <w:pStyle w:val="Paragraphedeliste"/>
        <w:numPr>
          <w:ilvl w:val="0"/>
          <w:numId w:val="321"/>
        </w:numPr>
        <w:tabs>
          <w:tab w:val="left" w:pos="144"/>
        </w:tabs>
        <w:ind w:hanging="720"/>
        <w:jc w:val="both"/>
        <w:textAlignment w:val="baseline"/>
        <w:rPr>
          <w:rFonts w:asciiTheme="minorHAnsi" w:hAnsiTheme="minorHAnsi" w:cs="Calibri Light"/>
        </w:rPr>
      </w:pPr>
      <w:proofErr w:type="gramStart"/>
      <w:r w:rsidRPr="00256E9F">
        <w:rPr>
          <w:rFonts w:asciiTheme="minorHAnsi" w:hAnsiTheme="minorHAnsi" w:cs="Calibri Light"/>
        </w:rPr>
        <w:t>une</w:t>
      </w:r>
      <w:proofErr w:type="gramEnd"/>
      <w:r w:rsidRPr="00256E9F">
        <w:rPr>
          <w:rFonts w:asciiTheme="minorHAnsi" w:hAnsiTheme="minorHAnsi" w:cs="Calibri Light"/>
        </w:rPr>
        <w:t xml:space="preserve"> éolienne de 3 mégawatt</w:t>
      </w:r>
      <w:r w:rsidR="00A5716F">
        <w:rPr>
          <w:rFonts w:asciiTheme="minorHAnsi" w:hAnsiTheme="minorHAnsi" w:cs="Calibri Light"/>
        </w:rPr>
        <w:t>s</w:t>
      </w:r>
      <w:r w:rsidRPr="00256E9F">
        <w:rPr>
          <w:rFonts w:asciiTheme="minorHAnsi" w:hAnsiTheme="minorHAnsi" w:cs="Calibri Light"/>
        </w:rPr>
        <w:t xml:space="preserve"> sera soumise à une taxe de 1</w:t>
      </w:r>
      <w:r w:rsidR="00A5716F">
        <w:rPr>
          <w:rFonts w:asciiTheme="minorHAnsi" w:hAnsiTheme="minorHAnsi" w:cs="Calibri Light"/>
        </w:rPr>
        <w:t>5</w:t>
      </w:r>
      <w:r w:rsidRPr="00256E9F">
        <w:rPr>
          <w:rFonts w:asciiTheme="minorHAnsi" w:hAnsiTheme="minorHAnsi" w:cs="Calibri Light"/>
        </w:rPr>
        <w:t>.</w:t>
      </w:r>
      <w:r w:rsidR="00A5716F">
        <w:rPr>
          <w:rFonts w:asciiTheme="minorHAnsi" w:hAnsiTheme="minorHAnsi" w:cs="Calibri Light"/>
        </w:rPr>
        <w:t>0</w:t>
      </w:r>
      <w:r w:rsidRPr="00256E9F">
        <w:rPr>
          <w:rFonts w:asciiTheme="minorHAnsi" w:hAnsiTheme="minorHAnsi" w:cs="Calibri Light"/>
        </w:rPr>
        <w:t>00 euros</w:t>
      </w:r>
    </w:p>
    <w:p w14:paraId="69ED07F0" w14:textId="13CF0CAD" w:rsidR="00A5716F" w:rsidRPr="00A5716F" w:rsidRDefault="00A5716F" w:rsidP="00256E9F">
      <w:pPr>
        <w:pStyle w:val="Paragraphedeliste"/>
        <w:numPr>
          <w:ilvl w:val="0"/>
          <w:numId w:val="321"/>
        </w:numPr>
        <w:tabs>
          <w:tab w:val="left" w:pos="144"/>
        </w:tabs>
        <w:ind w:hanging="720"/>
        <w:jc w:val="both"/>
        <w:textAlignment w:val="baseline"/>
        <w:rPr>
          <w:rFonts w:asciiTheme="minorHAnsi" w:hAnsiTheme="minorHAnsi" w:cs="Calibri Light"/>
        </w:rPr>
      </w:pPr>
      <w:proofErr w:type="gramStart"/>
      <w:r w:rsidRPr="00A5716F">
        <w:rPr>
          <w:rFonts w:asciiTheme="minorHAnsi" w:hAnsiTheme="minorHAnsi" w:cs="Calibri Light"/>
        </w:rPr>
        <w:lastRenderedPageBreak/>
        <w:t>une</w:t>
      </w:r>
      <w:proofErr w:type="gramEnd"/>
      <w:r w:rsidRPr="00A5716F">
        <w:rPr>
          <w:rFonts w:asciiTheme="minorHAnsi" w:hAnsiTheme="minorHAnsi" w:cs="Calibri Light"/>
        </w:rPr>
        <w:t xml:space="preserve"> éolienne de 3</w:t>
      </w:r>
      <w:r>
        <w:rPr>
          <w:rFonts w:asciiTheme="minorHAnsi" w:hAnsiTheme="minorHAnsi" w:cs="Calibri Light"/>
        </w:rPr>
        <w:t>,6</w:t>
      </w:r>
      <w:r w:rsidRPr="00A5716F">
        <w:rPr>
          <w:rFonts w:asciiTheme="minorHAnsi" w:hAnsiTheme="minorHAnsi" w:cs="Calibri Light"/>
        </w:rPr>
        <w:t xml:space="preserve"> mégawatts sera soumise à une taxe de 1</w:t>
      </w:r>
      <w:r>
        <w:rPr>
          <w:rFonts w:asciiTheme="minorHAnsi" w:hAnsiTheme="minorHAnsi" w:cs="Calibri Light"/>
        </w:rPr>
        <w:t>8</w:t>
      </w:r>
      <w:r w:rsidRPr="00A5716F">
        <w:rPr>
          <w:rFonts w:asciiTheme="minorHAnsi" w:hAnsiTheme="minorHAnsi" w:cs="Calibri Light"/>
        </w:rPr>
        <w:t>.000 euros</w:t>
      </w:r>
    </w:p>
    <w:p w14:paraId="58FB0995" w14:textId="77777777" w:rsidR="00A5716F" w:rsidRPr="00256E9F" w:rsidRDefault="00A5716F" w:rsidP="00256E9F">
      <w:pPr>
        <w:pStyle w:val="Paragraphedeliste"/>
        <w:tabs>
          <w:tab w:val="left" w:pos="144"/>
        </w:tabs>
        <w:ind w:left="720"/>
        <w:jc w:val="both"/>
        <w:textAlignment w:val="baseline"/>
        <w:rPr>
          <w:rFonts w:asciiTheme="minorHAnsi" w:hAnsiTheme="minorHAnsi" w:cs="Calibri Light"/>
        </w:rPr>
      </w:pPr>
    </w:p>
    <w:p w14:paraId="4961934B" w14:textId="77777777" w:rsidR="00C1754A" w:rsidRPr="00256E9F" w:rsidRDefault="00C1754A" w:rsidP="00C1754A">
      <w:pPr>
        <w:tabs>
          <w:tab w:val="left" w:pos="144"/>
        </w:tabs>
        <w:jc w:val="both"/>
        <w:textAlignment w:val="baseline"/>
        <w:rPr>
          <w:rFonts w:asciiTheme="minorHAnsi" w:hAnsiTheme="minorHAnsi" w:cs="Calibri Light"/>
          <w:sz w:val="10"/>
          <w:szCs w:val="10"/>
        </w:rPr>
      </w:pPr>
    </w:p>
    <w:p w14:paraId="7D65D6FB" w14:textId="3A91A70B" w:rsidR="00F12500" w:rsidRDefault="00F12500" w:rsidP="00E063FD">
      <w:pPr>
        <w:spacing w:before="120"/>
        <w:jc w:val="both"/>
        <w:textAlignment w:val="baseline"/>
        <w:rPr>
          <w:rFonts w:asciiTheme="minorHAnsi" w:hAnsiTheme="minorHAnsi" w:cs="Calibri Light"/>
        </w:rPr>
      </w:pPr>
      <w:bookmarkStart w:id="8616" w:name="_Toc512523785"/>
      <w:bookmarkStart w:id="8617" w:name="_Toc512525546"/>
      <w:r w:rsidRPr="00F12500">
        <w:rPr>
          <w:rFonts w:asciiTheme="minorHAnsi" w:hAnsiTheme="minorHAnsi" w:cs="Calibri Light"/>
        </w:rPr>
        <w:t>La puissance nominale d’une éolienne est l’énergie que peut produire cette éolienne par unité de temps dans des conditions optimales de fonctionnement et donc la puissance à prendre en considération est celle reprise dans le permis d’urbanisme.</w:t>
      </w:r>
    </w:p>
    <w:p w14:paraId="5A0E718A" w14:textId="296E0941" w:rsidR="009B153C" w:rsidRPr="00E063FD" w:rsidRDefault="009B153C" w:rsidP="00E063FD">
      <w:pPr>
        <w:spacing w:before="120"/>
        <w:jc w:val="both"/>
        <w:textAlignment w:val="baseline"/>
        <w:rPr>
          <w:rFonts w:asciiTheme="minorHAnsi" w:hAnsiTheme="minorHAnsi" w:cs="Calibri Light"/>
        </w:rPr>
      </w:pPr>
      <w:r w:rsidRPr="00E063FD">
        <w:rPr>
          <w:rFonts w:asciiTheme="minorHAnsi" w:hAnsiTheme="minorHAnsi" w:cs="Calibri Light"/>
        </w:rPr>
        <w:t xml:space="preserve">Néanmoins, j’invite les communes à faire preuve de modération dans le choix des taux. Les éoliennes sont en effet un outil important pour la transition énergétique et elles favorisent la diminution de notre empreinte carbone. Dès lors, adapter une fiscalité en adéquation avec cette politique menée par le Gouvernement wallon en faveur du développement durable est indispensable. </w:t>
      </w:r>
    </w:p>
    <w:p w14:paraId="1EF9FCF3" w14:textId="4A8AA4B4" w:rsidR="009B153C" w:rsidRDefault="009B153C" w:rsidP="00671240">
      <w:pPr>
        <w:spacing w:before="120"/>
        <w:jc w:val="both"/>
        <w:textAlignment w:val="baseline"/>
        <w:rPr>
          <w:rFonts w:asciiTheme="minorHAnsi" w:hAnsiTheme="minorHAnsi" w:cs="Calibri Light"/>
        </w:rPr>
      </w:pPr>
      <w:r w:rsidRPr="00E063FD">
        <w:rPr>
          <w:rFonts w:asciiTheme="minorHAnsi" w:hAnsiTheme="minorHAnsi" w:cs="Calibri Light"/>
        </w:rPr>
        <w:t>Je rappelle que le Gouvernement wallon entend œuvrer à la poursuite du développement des énergies renouvelables à un rythme et à un coût sociétal supportables et maitrisés. Cela nécessite de tenir compte de leur potentiel par filière et de leur impact socio-économique et environnemental. Les entreprises wallonnes doivent aussi être encouragées à investir dans cette voie de la transition énergétique. S’inscrire dans cette politique ne peut être que bénéfique pour notre environnement.</w:t>
      </w:r>
      <w:bookmarkEnd w:id="8616"/>
      <w:bookmarkEnd w:id="8617"/>
    </w:p>
    <w:p w14:paraId="43DD6BF3" w14:textId="77777777" w:rsidR="00DE5C49" w:rsidRDefault="00DE5C49" w:rsidP="00671240">
      <w:pPr>
        <w:spacing w:before="120"/>
        <w:jc w:val="both"/>
        <w:textAlignment w:val="baseline"/>
        <w:rPr>
          <w:rFonts w:asciiTheme="minorHAnsi" w:hAnsiTheme="minorHAnsi" w:cs="Calibri Light"/>
        </w:rPr>
      </w:pPr>
    </w:p>
    <w:p w14:paraId="0F11B443" w14:textId="77777777" w:rsidR="00E41960" w:rsidRPr="008D7EB7" w:rsidRDefault="00E41960" w:rsidP="00E41960">
      <w:pPr>
        <w:numPr>
          <w:ilvl w:val="2"/>
          <w:numId w:val="2"/>
        </w:numPr>
        <w:spacing w:before="240" w:after="240"/>
        <w:jc w:val="both"/>
        <w:rPr>
          <w:b/>
          <w:sz w:val="26"/>
          <w:szCs w:val="26"/>
          <w:u w:val="single"/>
          <w:lang w:val="fr-BE"/>
        </w:rPr>
      </w:pPr>
      <w:bookmarkStart w:id="8618" w:name="_Hlk34938863"/>
      <w:r w:rsidRPr="008D7EB7">
        <w:rPr>
          <w:b/>
          <w:sz w:val="26"/>
          <w:szCs w:val="26"/>
          <w:u w:val="single"/>
          <w:lang w:val="fr-BE"/>
        </w:rPr>
        <w:t>04002/367-48 : Emplacement de parkings gratuits</w:t>
      </w:r>
      <w:bookmarkEnd w:id="8618"/>
    </w:p>
    <w:p w14:paraId="353D3047" w14:textId="77777777" w:rsidR="00E41960" w:rsidRPr="008D7EB7" w:rsidRDefault="00E41960" w:rsidP="00E41960">
      <w:pPr>
        <w:spacing w:before="120"/>
        <w:jc w:val="both"/>
        <w:textAlignment w:val="baseline"/>
        <w:rPr>
          <w:rFonts w:asciiTheme="minorHAnsi" w:hAnsiTheme="minorHAnsi" w:cs="Calibri Light"/>
          <w:spacing w:val="3"/>
        </w:rPr>
      </w:pPr>
      <w:bookmarkStart w:id="8619" w:name="_Hlk34939299"/>
      <w:r w:rsidRPr="008D7EB7">
        <w:rPr>
          <w:rFonts w:asciiTheme="minorHAnsi" w:hAnsiTheme="minorHAnsi" w:cs="Calibri Light"/>
          <w:spacing w:val="3"/>
        </w:rPr>
        <w:t>Taxe directe</w:t>
      </w:r>
    </w:p>
    <w:p w14:paraId="487604EC" w14:textId="77777777" w:rsidR="00A66735" w:rsidRPr="00A66735" w:rsidRDefault="00A66735" w:rsidP="00A66735">
      <w:pPr>
        <w:spacing w:before="120"/>
        <w:jc w:val="both"/>
        <w:textAlignment w:val="baseline"/>
        <w:rPr>
          <w:rFonts w:asciiTheme="minorHAnsi" w:hAnsiTheme="minorHAnsi" w:cs="Calibri Light"/>
          <w:spacing w:val="3"/>
        </w:rPr>
      </w:pPr>
      <w:r w:rsidRPr="00A66735">
        <w:rPr>
          <w:rFonts w:asciiTheme="minorHAnsi" w:hAnsiTheme="minorHAnsi" w:cs="Calibri Light"/>
          <w:spacing w:val="3"/>
        </w:rPr>
        <w:t>Cette disposition rencontre l’objectif de la Déclaration de Politique régionale qui vise à renforcer le pouvoir régulateur des villes et communes en matière de fiscalité relative aux grands centres commerciaux de périphérie, afin de les faire participer davantage aux politiques de redynamisation urbaine (révision du plafond autorisé pour la taxe sur les parkings) en lien avec le pacte fiscal.</w:t>
      </w:r>
    </w:p>
    <w:p w14:paraId="599A17F2" w14:textId="77777777" w:rsidR="00A66735" w:rsidRDefault="00A66735" w:rsidP="00A66735">
      <w:pPr>
        <w:spacing w:before="120"/>
        <w:jc w:val="both"/>
        <w:textAlignment w:val="baseline"/>
        <w:rPr>
          <w:rFonts w:asciiTheme="minorHAnsi" w:hAnsiTheme="minorHAnsi" w:cs="Calibri Light"/>
          <w:spacing w:val="3"/>
        </w:rPr>
      </w:pPr>
      <w:r w:rsidRPr="00A66735">
        <w:rPr>
          <w:rFonts w:asciiTheme="minorHAnsi" w:hAnsiTheme="minorHAnsi" w:cs="Calibri Light"/>
          <w:spacing w:val="3"/>
        </w:rPr>
        <w:t>Je vous invite à reprendre cet objectif dans le préambule de votre règlement.</w:t>
      </w:r>
    </w:p>
    <w:p w14:paraId="0771E7A4" w14:textId="1B49C538" w:rsidR="00E41960" w:rsidRPr="008D7EB7" w:rsidRDefault="00A66735" w:rsidP="00A66735">
      <w:pPr>
        <w:spacing w:before="120"/>
        <w:jc w:val="both"/>
        <w:textAlignment w:val="baseline"/>
        <w:rPr>
          <w:rFonts w:asciiTheme="minorHAnsi" w:hAnsiTheme="minorHAnsi" w:cs="Calibri Light"/>
          <w:spacing w:val="3"/>
        </w:rPr>
      </w:pPr>
      <w:r>
        <w:rPr>
          <w:rFonts w:asciiTheme="minorHAnsi" w:hAnsiTheme="minorHAnsi" w:cs="Calibri Light"/>
          <w:spacing w:val="3"/>
        </w:rPr>
        <w:t>Dans ce cadre, l</w:t>
      </w:r>
      <w:r w:rsidR="00E41960" w:rsidRPr="008D7EB7">
        <w:rPr>
          <w:rFonts w:asciiTheme="minorHAnsi" w:hAnsiTheme="minorHAnsi" w:cs="Calibri Light"/>
          <w:spacing w:val="3"/>
        </w:rPr>
        <w:t xml:space="preserve">e taux maximum </w:t>
      </w:r>
      <w:r>
        <w:rPr>
          <w:rFonts w:asciiTheme="minorHAnsi" w:hAnsiTheme="minorHAnsi" w:cs="Calibri Light"/>
          <w:spacing w:val="3"/>
        </w:rPr>
        <w:t>préconisé est de</w:t>
      </w:r>
      <w:r w:rsidR="00E41960" w:rsidRPr="008D7EB7">
        <w:rPr>
          <w:rFonts w:asciiTheme="minorHAnsi" w:hAnsiTheme="minorHAnsi" w:cs="Calibri Light"/>
          <w:spacing w:val="3"/>
        </w:rPr>
        <w:t xml:space="preserve"> </w:t>
      </w:r>
      <w:r>
        <w:rPr>
          <w:rFonts w:asciiTheme="minorHAnsi" w:hAnsiTheme="minorHAnsi" w:cs="Calibri Light"/>
          <w:spacing w:val="3"/>
        </w:rPr>
        <w:t>112</w:t>
      </w:r>
      <w:r w:rsidR="001073DB" w:rsidRPr="008D7EB7">
        <w:rPr>
          <w:rFonts w:asciiTheme="minorHAnsi" w:hAnsiTheme="minorHAnsi" w:cs="Calibri Light"/>
          <w:spacing w:val="3"/>
        </w:rPr>
        <w:t>,00</w:t>
      </w:r>
      <w:r w:rsidR="00384F13" w:rsidRPr="008D7EB7">
        <w:rPr>
          <w:rFonts w:asciiTheme="minorHAnsi" w:hAnsiTheme="minorHAnsi" w:cs="Calibri Light"/>
          <w:spacing w:val="3"/>
        </w:rPr>
        <w:t xml:space="preserve"> </w:t>
      </w:r>
      <w:r w:rsidR="00E41960" w:rsidRPr="008D7EB7">
        <w:rPr>
          <w:rFonts w:asciiTheme="minorHAnsi" w:hAnsiTheme="minorHAnsi" w:cs="Calibri Light"/>
          <w:spacing w:val="3"/>
        </w:rPr>
        <w:t>euros par emplacement</w:t>
      </w:r>
      <w:r w:rsidR="006844C1">
        <w:rPr>
          <w:rFonts w:asciiTheme="minorHAnsi" w:hAnsiTheme="minorHAnsi" w:cs="Calibri Light"/>
          <w:spacing w:val="3"/>
        </w:rPr>
        <w:t>, nonobstant des situations particulières justifiées pour lesquelles un taux maximum de 150 euros serait toléré.</w:t>
      </w:r>
    </w:p>
    <w:p w14:paraId="2F000C36" w14:textId="77777777" w:rsidR="00772601" w:rsidRPr="008D7EB7" w:rsidRDefault="00772601" w:rsidP="00772601">
      <w:pPr>
        <w:spacing w:before="120"/>
        <w:jc w:val="both"/>
        <w:textAlignment w:val="baseline"/>
        <w:rPr>
          <w:rFonts w:asciiTheme="minorHAnsi" w:hAnsiTheme="minorHAnsi" w:cs="Calibri Light"/>
          <w:spacing w:val="3"/>
        </w:rPr>
      </w:pPr>
      <w:r w:rsidRPr="008D7EB7">
        <w:rPr>
          <w:rFonts w:asciiTheme="minorHAnsi" w:hAnsiTheme="minorHAnsi" w:cs="Calibri Light"/>
          <w:spacing w:val="3"/>
        </w:rPr>
        <w:t xml:space="preserve">Par « emplacement de parking », on entend soit un garage fermé, soit une aire de stationnement de véhicules, un espace clos ou à l’air libre, situés sur ou dans un bien immobilier privé et mis à disposition du public par toute personne physique ou morale exploitant une entreprise de nature industrielle, artisanale, agricole, horticole, commerciale, financière ou de service, ou exerçant une profession libérale ; </w:t>
      </w:r>
    </w:p>
    <w:p w14:paraId="2FE14AFC" w14:textId="0EAABA99" w:rsidR="00772601" w:rsidRPr="008D7EB7" w:rsidRDefault="00772601" w:rsidP="00772601">
      <w:pPr>
        <w:spacing w:before="120"/>
        <w:jc w:val="both"/>
        <w:textAlignment w:val="baseline"/>
        <w:rPr>
          <w:rFonts w:asciiTheme="minorHAnsi" w:hAnsiTheme="minorHAnsi" w:cs="Calibri Light"/>
          <w:spacing w:val="3"/>
        </w:rPr>
      </w:pPr>
      <w:r w:rsidRPr="008D7EB7">
        <w:rPr>
          <w:rFonts w:asciiTheme="minorHAnsi" w:hAnsiTheme="minorHAnsi" w:cs="Calibri Light"/>
          <w:spacing w:val="3"/>
        </w:rPr>
        <w:t xml:space="preserve">La base imposable est établie en fonction du nombre d’emplacements tels que délimités par les marquages au sol ou par toute délimitation quelconque, en ce compris les emplacements situés sur l’éventuelle plate-forme du dernier niveau d’un bâtiment. En cas d’absence de marquage au sol délimitant les emplacements, la surface d’un emplacement doit être établie forfaitairement (à déterminer par les autorités communales mais la circulaire De Jaeger du 17 juin 1970 définissait les contours de la taxe sur l’absence d’emplacement de parcage prévoyait, pour un emplacement de parcage, une surface minimale de 5,50 m de longueur x 2,50 m de largeur). Dans ce cas, pour la détermination </w:t>
      </w:r>
      <w:r w:rsidRPr="008D7EB7">
        <w:rPr>
          <w:rFonts w:asciiTheme="minorHAnsi" w:hAnsiTheme="minorHAnsi" w:cs="Calibri Light"/>
          <w:spacing w:val="3"/>
        </w:rPr>
        <w:lastRenderedPageBreak/>
        <w:t>du nombre d’emplacements, il est tenu compte des dégagements nécessaires aux mouvements des véhicules.</w:t>
      </w:r>
    </w:p>
    <w:p w14:paraId="71067771" w14:textId="1E1175F2" w:rsidR="00772601" w:rsidRPr="008D7EB7" w:rsidRDefault="00772601" w:rsidP="00F915F6">
      <w:pPr>
        <w:spacing w:before="120"/>
        <w:jc w:val="both"/>
        <w:textAlignment w:val="baseline"/>
        <w:rPr>
          <w:rFonts w:asciiTheme="minorHAnsi" w:hAnsiTheme="minorHAnsi" w:cs="Calibri Light"/>
          <w:spacing w:val="3"/>
        </w:rPr>
      </w:pPr>
      <w:r w:rsidRPr="008D7EB7">
        <w:rPr>
          <w:rFonts w:asciiTheme="minorHAnsi" w:hAnsiTheme="minorHAnsi" w:cs="Calibri Light"/>
          <w:spacing w:val="3"/>
        </w:rPr>
        <w:t>Il est recommandé d’exonérer les 30 premiers emplacements ainsi que ceux réservés :</w:t>
      </w:r>
    </w:p>
    <w:p w14:paraId="20211859" w14:textId="46C52652" w:rsidR="00772601" w:rsidRPr="008D7EB7" w:rsidRDefault="00772601" w:rsidP="00F915F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aux</w:t>
      </w:r>
      <w:proofErr w:type="gramEnd"/>
      <w:r w:rsidRPr="008D7EB7">
        <w:rPr>
          <w:rFonts w:asciiTheme="minorHAnsi" w:hAnsiTheme="minorHAnsi" w:cs="Calibri Light"/>
        </w:rPr>
        <w:t xml:space="preserve"> personnes handicapées, ce qui constitue une mesure sociale ; </w:t>
      </w:r>
    </w:p>
    <w:p w14:paraId="30AFD032" w14:textId="145BEE1C" w:rsidR="00772601" w:rsidRPr="008D7EB7" w:rsidRDefault="00772601" w:rsidP="00F915F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aux</w:t>
      </w:r>
      <w:proofErr w:type="gramEnd"/>
      <w:r w:rsidRPr="008D7EB7">
        <w:rPr>
          <w:rFonts w:asciiTheme="minorHAnsi" w:hAnsiTheme="minorHAnsi" w:cs="Calibri Light"/>
        </w:rPr>
        <w:t xml:space="preserve"> membres du personnel, afin d’inciter la mise à disposition de ce type d’emplacement et ainsi désengorger le parking en voirie ; </w:t>
      </w:r>
    </w:p>
    <w:p w14:paraId="63D2DB0A" w14:textId="25CA653E" w:rsidR="00772601" w:rsidRPr="008D7EB7" w:rsidRDefault="00772601" w:rsidP="00F915F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8D7EB7">
        <w:rPr>
          <w:rFonts w:asciiTheme="minorHAnsi" w:hAnsiTheme="minorHAnsi" w:cs="Calibri Light"/>
        </w:rPr>
        <w:t>au</w:t>
      </w:r>
      <w:proofErr w:type="gramEnd"/>
      <w:r w:rsidRPr="008D7EB7">
        <w:rPr>
          <w:rFonts w:asciiTheme="minorHAnsi" w:hAnsiTheme="minorHAnsi" w:cs="Calibri Light"/>
        </w:rPr>
        <w:t xml:space="preserve"> covoiturage/navette gratuite organisée ; </w:t>
      </w:r>
    </w:p>
    <w:p w14:paraId="7585CBEC" w14:textId="77777777" w:rsidR="004D4442" w:rsidRDefault="004D4442" w:rsidP="00256E9F">
      <w:pPr>
        <w:pStyle w:val="Sam3"/>
      </w:pPr>
      <w:bookmarkStart w:id="8620" w:name="_Toc74557819"/>
      <w:bookmarkStart w:id="8621" w:name="_Hlk39073553"/>
      <w:bookmarkEnd w:id="8619"/>
    </w:p>
    <w:p w14:paraId="7769B7B0" w14:textId="28ED0629" w:rsidR="00705A12" w:rsidRDefault="008A21AC" w:rsidP="00256E9F">
      <w:pPr>
        <w:pStyle w:val="Sam3"/>
      </w:pPr>
      <w:r>
        <w:t>040/368-02 : C</w:t>
      </w:r>
      <w:r w:rsidR="00CD234B">
        <w:t xml:space="preserve">hevaux d’agrément et les </w:t>
      </w:r>
      <w:r w:rsidR="00CD234B" w:rsidRPr="001073DB">
        <w:t xml:space="preserve">poneys </w:t>
      </w:r>
      <w:r w:rsidR="00A10BE6" w:rsidRPr="001073DB">
        <w:t>(</w:t>
      </w:r>
      <w:r w:rsidR="00384F13" w:rsidRPr="001073DB">
        <w:t xml:space="preserve">et </w:t>
      </w:r>
      <w:r w:rsidR="00A10BE6" w:rsidRPr="001073DB">
        <w:t>haras</w:t>
      </w:r>
      <w:r w:rsidR="00A10BE6">
        <w:t>)</w:t>
      </w:r>
      <w:bookmarkEnd w:id="8620"/>
    </w:p>
    <w:bookmarkEnd w:id="8621"/>
    <w:p w14:paraId="2DB8CABB" w14:textId="77777777" w:rsidR="00CD234B" w:rsidRPr="00705A12" w:rsidRDefault="00705A12" w:rsidP="004D4442">
      <w:pPr>
        <w:spacing w:before="120"/>
      </w:pPr>
      <w:r w:rsidRPr="00E063FD">
        <w:t>T</w:t>
      </w:r>
      <w:r w:rsidR="00CD234B" w:rsidRPr="00E063FD">
        <w:t>axe directe</w:t>
      </w:r>
      <w:r w:rsidRPr="00E063FD">
        <w:t>.</w:t>
      </w:r>
    </w:p>
    <w:p w14:paraId="25464213" w14:textId="78581038" w:rsidR="009B153C" w:rsidRPr="00DA6BD2"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rPr>
        <w:t xml:space="preserve">Les taux maxima </w:t>
      </w:r>
      <w:r w:rsidRPr="001073DB">
        <w:rPr>
          <w:rFonts w:asciiTheme="minorHAnsi" w:hAnsiTheme="minorHAnsi" w:cs="Calibri Light"/>
        </w:rPr>
        <w:t xml:space="preserve">recommandés de </w:t>
      </w:r>
      <w:r w:rsidR="00072FAE" w:rsidRPr="001073DB">
        <w:rPr>
          <w:rFonts w:asciiTheme="minorHAnsi" w:hAnsiTheme="minorHAnsi" w:cs="Calibri Light"/>
        </w:rPr>
        <w:t>110</w:t>
      </w:r>
      <w:r w:rsidR="001073DB" w:rsidRPr="008D7EB7">
        <w:rPr>
          <w:rFonts w:asciiTheme="minorHAnsi" w:hAnsiTheme="minorHAnsi" w:cs="Calibri Light"/>
        </w:rPr>
        <w:t>,00</w:t>
      </w:r>
      <w:r w:rsidR="00072FAE" w:rsidRPr="001073DB">
        <w:rPr>
          <w:rFonts w:asciiTheme="minorHAnsi" w:hAnsiTheme="minorHAnsi" w:cs="Calibri Light"/>
        </w:rPr>
        <w:t xml:space="preserve"> </w:t>
      </w:r>
      <w:r w:rsidRPr="001073DB">
        <w:rPr>
          <w:rFonts w:asciiTheme="minorHAnsi" w:hAnsiTheme="minorHAnsi" w:cs="Calibri Light"/>
        </w:rPr>
        <w:t>euros</w:t>
      </w:r>
      <w:r w:rsidR="00772601" w:rsidRPr="001073DB">
        <w:rPr>
          <w:rFonts w:asciiTheme="minorHAnsi" w:hAnsiTheme="minorHAnsi" w:cs="Calibri Light"/>
        </w:rPr>
        <w:t xml:space="preserve"> </w:t>
      </w:r>
      <w:r w:rsidRPr="001073DB">
        <w:rPr>
          <w:rFonts w:asciiTheme="minorHAnsi" w:hAnsiTheme="minorHAnsi" w:cs="Calibri Light"/>
        </w:rPr>
        <w:t xml:space="preserve">par cheval et </w:t>
      </w:r>
      <w:r w:rsidR="00072FAE" w:rsidRPr="001073DB">
        <w:rPr>
          <w:rFonts w:asciiTheme="minorHAnsi" w:hAnsiTheme="minorHAnsi" w:cs="Calibri Light"/>
        </w:rPr>
        <w:t>30</w:t>
      </w:r>
      <w:r w:rsidR="001073DB" w:rsidRPr="008D7EB7">
        <w:rPr>
          <w:rFonts w:asciiTheme="minorHAnsi" w:hAnsiTheme="minorHAnsi" w:cs="Calibri Light"/>
        </w:rPr>
        <w:t>,00</w:t>
      </w:r>
      <w:r w:rsidR="00072FAE" w:rsidRPr="001073DB">
        <w:rPr>
          <w:rFonts w:asciiTheme="minorHAnsi" w:hAnsiTheme="minorHAnsi" w:cs="Calibri Light"/>
        </w:rPr>
        <w:t xml:space="preserve"> </w:t>
      </w:r>
      <w:r w:rsidRPr="001073DB">
        <w:rPr>
          <w:rFonts w:asciiTheme="minorHAnsi" w:hAnsiTheme="minorHAnsi" w:cs="Calibri Light"/>
        </w:rPr>
        <w:t>euros par</w:t>
      </w:r>
      <w:r w:rsidRPr="00DA6BD2">
        <w:rPr>
          <w:rFonts w:asciiTheme="minorHAnsi" w:hAnsiTheme="minorHAnsi" w:cs="Calibri Light"/>
        </w:rPr>
        <w:t xml:space="preserve"> poney peuvent être uniformisés </w:t>
      </w:r>
      <w:r w:rsidRPr="00DA6BD2">
        <w:rPr>
          <w:rFonts w:asciiTheme="minorHAnsi" w:hAnsiTheme="minorHAnsi" w:cs="Calibri Light"/>
          <w:spacing w:val="-1"/>
        </w:rPr>
        <w:t>à un taux identique pour les chevaux et les poneys.</w:t>
      </w:r>
    </w:p>
    <w:p w14:paraId="13619A16" w14:textId="789149CA" w:rsidR="009B153C" w:rsidRDefault="009B153C" w:rsidP="00E063FD">
      <w:pPr>
        <w:spacing w:before="120"/>
        <w:jc w:val="both"/>
        <w:textAlignment w:val="baseline"/>
        <w:rPr>
          <w:rFonts w:asciiTheme="minorHAnsi" w:hAnsiTheme="minorHAnsi" w:cs="Calibri Light"/>
          <w:spacing w:val="-1"/>
        </w:rPr>
      </w:pPr>
      <w:r w:rsidRPr="00DA6BD2">
        <w:rPr>
          <w:rFonts w:asciiTheme="minorHAnsi" w:hAnsiTheme="minorHAnsi" w:cs="Calibri Light"/>
          <w:spacing w:val="-1"/>
        </w:rPr>
        <w:t xml:space="preserve">Dans cette éventualité, le taux uniforme </w:t>
      </w:r>
      <w:r w:rsidRPr="001073DB">
        <w:rPr>
          <w:rFonts w:asciiTheme="minorHAnsi" w:hAnsiTheme="minorHAnsi" w:cs="Calibri Light"/>
          <w:spacing w:val="-1"/>
        </w:rPr>
        <w:t xml:space="preserve">est de </w:t>
      </w:r>
      <w:r w:rsidR="00072FAE" w:rsidRPr="001073DB">
        <w:rPr>
          <w:rFonts w:asciiTheme="minorHAnsi" w:hAnsiTheme="minorHAnsi" w:cs="Calibri Light"/>
          <w:spacing w:val="-1"/>
        </w:rPr>
        <w:t>80</w:t>
      </w:r>
      <w:r w:rsidR="001073DB" w:rsidRPr="008D7EB7">
        <w:rPr>
          <w:rFonts w:asciiTheme="minorHAnsi" w:hAnsiTheme="minorHAnsi" w:cs="Calibri Light"/>
          <w:spacing w:val="-1"/>
        </w:rPr>
        <w:t>,00</w:t>
      </w:r>
      <w:r w:rsidR="00072FAE" w:rsidRPr="001073DB">
        <w:rPr>
          <w:rFonts w:asciiTheme="minorHAnsi" w:hAnsiTheme="minorHAnsi" w:cs="Calibri Light"/>
          <w:spacing w:val="-1"/>
        </w:rPr>
        <w:t xml:space="preserve"> </w:t>
      </w:r>
      <w:r w:rsidRPr="001073DB">
        <w:rPr>
          <w:rFonts w:asciiTheme="minorHAnsi" w:hAnsiTheme="minorHAnsi" w:cs="Calibri Light"/>
          <w:spacing w:val="-1"/>
        </w:rPr>
        <w:t>euros</w:t>
      </w:r>
      <w:r w:rsidRPr="00DA6BD2">
        <w:rPr>
          <w:rFonts w:asciiTheme="minorHAnsi" w:hAnsiTheme="minorHAnsi" w:cs="Calibri Light"/>
          <w:spacing w:val="-1"/>
        </w:rPr>
        <w:t>.</w:t>
      </w:r>
    </w:p>
    <w:p w14:paraId="698F5732" w14:textId="313A2B42" w:rsidR="00384F13" w:rsidRDefault="00384F13" w:rsidP="00E063FD">
      <w:pPr>
        <w:spacing w:before="120"/>
        <w:jc w:val="both"/>
        <w:textAlignment w:val="baseline"/>
        <w:rPr>
          <w:rFonts w:asciiTheme="minorHAnsi" w:hAnsiTheme="minorHAnsi" w:cs="Calibri Light"/>
          <w:spacing w:val="-1"/>
        </w:rPr>
      </w:pPr>
      <w:r w:rsidRPr="001073DB">
        <w:rPr>
          <w:rFonts w:asciiTheme="minorHAnsi" w:hAnsiTheme="minorHAnsi" w:cs="Calibri Light"/>
          <w:spacing w:val="-1"/>
        </w:rPr>
        <w:t>Ces taux s’appliquent également aux haras.</w:t>
      </w:r>
    </w:p>
    <w:p w14:paraId="226106E6" w14:textId="0C8F9DB5" w:rsidR="009B153C" w:rsidRDefault="009B153C" w:rsidP="00E063FD">
      <w:pPr>
        <w:spacing w:before="120"/>
        <w:jc w:val="both"/>
        <w:textAlignment w:val="baseline"/>
        <w:rPr>
          <w:rFonts w:asciiTheme="minorHAnsi" w:hAnsiTheme="minorHAnsi" w:cs="Calibri Light"/>
        </w:rPr>
      </w:pPr>
      <w:r w:rsidRPr="001073DB">
        <w:rPr>
          <w:rFonts w:asciiTheme="minorHAnsi" w:hAnsiTheme="minorHAnsi" w:cs="Calibri Light"/>
        </w:rPr>
        <w:t xml:space="preserve">Pour les exploitants de manèges et les forains, les </w:t>
      </w:r>
      <w:r w:rsidR="003B0359" w:rsidRPr="001073DB">
        <w:rPr>
          <w:rFonts w:asciiTheme="minorHAnsi" w:hAnsiTheme="minorHAnsi" w:cs="Calibri Light"/>
        </w:rPr>
        <w:t>maxima</w:t>
      </w:r>
      <w:r w:rsidR="00900C39">
        <w:rPr>
          <w:rFonts w:asciiTheme="minorHAnsi" w:hAnsiTheme="minorHAnsi" w:cs="Calibri Light"/>
        </w:rPr>
        <w:t>s</w:t>
      </w:r>
      <w:r w:rsidRPr="001073DB">
        <w:rPr>
          <w:rFonts w:asciiTheme="minorHAnsi" w:hAnsiTheme="minorHAnsi" w:cs="Calibri Light"/>
        </w:rPr>
        <w:t xml:space="preserve"> précités sont réduits de moitié, c’est-à-dire </w:t>
      </w:r>
      <w:r w:rsidR="00072FAE" w:rsidRPr="001073DB">
        <w:rPr>
          <w:rFonts w:asciiTheme="minorHAnsi" w:hAnsiTheme="minorHAnsi" w:cs="Calibri Light"/>
        </w:rPr>
        <w:t>55</w:t>
      </w:r>
      <w:r w:rsidR="001073DB" w:rsidRPr="008D7EB7">
        <w:rPr>
          <w:rFonts w:asciiTheme="minorHAnsi" w:hAnsiTheme="minorHAnsi" w:cs="Calibri Light"/>
        </w:rPr>
        <w:t>,00</w:t>
      </w:r>
      <w:r w:rsidR="00072FAE" w:rsidRPr="001073DB">
        <w:rPr>
          <w:rFonts w:asciiTheme="minorHAnsi" w:hAnsiTheme="minorHAnsi" w:cs="Calibri Light"/>
        </w:rPr>
        <w:t xml:space="preserve"> </w:t>
      </w:r>
      <w:r w:rsidRPr="001073DB">
        <w:rPr>
          <w:rFonts w:asciiTheme="minorHAnsi" w:hAnsiTheme="minorHAnsi" w:cs="Calibri Light"/>
        </w:rPr>
        <w:t>euros</w:t>
      </w:r>
      <w:r w:rsidR="00772601" w:rsidRPr="001073DB">
        <w:rPr>
          <w:rFonts w:asciiTheme="minorHAnsi" w:hAnsiTheme="minorHAnsi" w:cs="Calibri Light"/>
        </w:rPr>
        <w:t xml:space="preserve"> </w:t>
      </w:r>
      <w:r w:rsidRPr="001073DB">
        <w:rPr>
          <w:rFonts w:asciiTheme="minorHAnsi" w:hAnsiTheme="minorHAnsi" w:cs="Calibri Light"/>
        </w:rPr>
        <w:t xml:space="preserve">par cheval, </w:t>
      </w:r>
      <w:r w:rsidR="00072FAE" w:rsidRPr="001073DB">
        <w:rPr>
          <w:rFonts w:asciiTheme="minorHAnsi" w:hAnsiTheme="minorHAnsi" w:cs="Calibri Light"/>
        </w:rPr>
        <w:t>15</w:t>
      </w:r>
      <w:r w:rsidR="001073DB" w:rsidRPr="008D7EB7">
        <w:rPr>
          <w:rFonts w:asciiTheme="minorHAnsi" w:hAnsiTheme="minorHAnsi" w:cs="Calibri Light"/>
        </w:rPr>
        <w:t>,00</w:t>
      </w:r>
      <w:r w:rsidRPr="001073DB">
        <w:rPr>
          <w:rFonts w:asciiTheme="minorHAnsi" w:hAnsiTheme="minorHAnsi" w:cs="Calibri Light"/>
        </w:rPr>
        <w:t xml:space="preserve"> euros par poney et </w:t>
      </w:r>
      <w:r w:rsidR="00072FAE" w:rsidRPr="001073DB">
        <w:rPr>
          <w:rFonts w:asciiTheme="minorHAnsi" w:hAnsiTheme="minorHAnsi" w:cs="Calibri Light"/>
        </w:rPr>
        <w:t>40</w:t>
      </w:r>
      <w:r w:rsidR="001073DB" w:rsidRPr="008D7EB7">
        <w:rPr>
          <w:rFonts w:asciiTheme="minorHAnsi" w:hAnsiTheme="minorHAnsi" w:cs="Calibri Light"/>
        </w:rPr>
        <w:t>,00</w:t>
      </w:r>
      <w:r w:rsidR="00072FAE" w:rsidRPr="001073DB">
        <w:rPr>
          <w:rFonts w:asciiTheme="minorHAnsi" w:hAnsiTheme="minorHAnsi" w:cs="Calibri Light"/>
        </w:rPr>
        <w:t xml:space="preserve"> </w:t>
      </w:r>
      <w:r w:rsidRPr="001073DB">
        <w:rPr>
          <w:rFonts w:asciiTheme="minorHAnsi" w:hAnsiTheme="minorHAnsi" w:cs="Calibri Light"/>
        </w:rPr>
        <w:t>euros pour un taux uniforme.</w:t>
      </w:r>
    </w:p>
    <w:p w14:paraId="70767416" w14:textId="484FAC9D" w:rsidR="00772601" w:rsidRDefault="00A10BE6" w:rsidP="008D7EB7">
      <w:pPr>
        <w:spacing w:before="120" w:after="240"/>
        <w:jc w:val="both"/>
        <w:textAlignment w:val="baseline"/>
        <w:rPr>
          <w:rFonts w:asciiTheme="minorHAnsi" w:hAnsiTheme="minorHAnsi" w:cs="Calibri Light"/>
        </w:rPr>
      </w:pPr>
      <w:r>
        <w:rPr>
          <w:rFonts w:asciiTheme="minorHAnsi" w:hAnsiTheme="minorHAnsi" w:cs="Calibri Light"/>
        </w:rPr>
        <w:t>Par ailleurs, lors de la fixation du taux, il peut être tenu compte de l’intérêt régional visant à préserver la race particulière des chevaux de trait par l’octroi d’une prime.</w:t>
      </w:r>
    </w:p>
    <w:p w14:paraId="7F527546" w14:textId="4F1B17EB" w:rsidR="009B153C" w:rsidRPr="00DA6BD2" w:rsidRDefault="009B153C" w:rsidP="00256E9F">
      <w:pPr>
        <w:pStyle w:val="Sam3"/>
      </w:pPr>
      <w:bookmarkStart w:id="8622" w:name="_Toc512525548"/>
      <w:bookmarkStart w:id="8623" w:name="_Toc515896860"/>
      <w:bookmarkStart w:id="8624" w:name="_Toc74557820"/>
      <w:r w:rsidRPr="00DA6BD2">
        <w:t>040/368-05 : Port d'armes</w:t>
      </w:r>
      <w:bookmarkEnd w:id="8622"/>
      <w:bookmarkEnd w:id="8623"/>
      <w:bookmarkEnd w:id="8624"/>
    </w:p>
    <w:p w14:paraId="196A08D3"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En matière de fiscalité communale, il faut </w:t>
      </w:r>
      <w:r w:rsidR="003B0044">
        <w:rPr>
          <w:rFonts w:asciiTheme="minorHAnsi" w:hAnsiTheme="minorHAnsi" w:cs="Calibri Light"/>
        </w:rPr>
        <w:t>retenir que</w:t>
      </w:r>
      <w:r w:rsidRPr="00DA6BD2">
        <w:rPr>
          <w:rFonts w:asciiTheme="minorHAnsi" w:hAnsiTheme="minorHAnsi" w:cs="Calibri Light"/>
        </w:rPr>
        <w:t xml:space="preserve"> les communes se sont vu retirer toute compétence pour délivrer les autorisations en matière d'arme. C'est désormais le gouverneur qui est chargé de cette mission</w:t>
      </w:r>
      <w:r w:rsidR="003B0044">
        <w:rPr>
          <w:rFonts w:asciiTheme="minorHAnsi" w:hAnsiTheme="minorHAnsi" w:cs="Calibri Light"/>
        </w:rPr>
        <w:t>.</w:t>
      </w:r>
      <w:r w:rsidRPr="00DA6BD2">
        <w:rPr>
          <w:rFonts w:asciiTheme="minorHAnsi" w:hAnsiTheme="minorHAnsi" w:cs="Calibri Light"/>
        </w:rPr>
        <w:t xml:space="preserve"> En conséquence, les communes ne peuvent plus percevoir quoi que ce soit en cette matière.</w:t>
      </w:r>
    </w:p>
    <w:p w14:paraId="13E14D03" w14:textId="5F692BA1" w:rsidR="009B153C" w:rsidRDefault="009B153C" w:rsidP="008D7EB7">
      <w:pPr>
        <w:spacing w:before="120" w:after="240"/>
        <w:jc w:val="both"/>
        <w:textAlignment w:val="baseline"/>
        <w:rPr>
          <w:rFonts w:asciiTheme="minorHAnsi" w:hAnsiTheme="minorHAnsi" w:cs="Calibri Light"/>
        </w:rPr>
      </w:pPr>
      <w:r w:rsidRPr="00DA6BD2">
        <w:rPr>
          <w:rFonts w:asciiTheme="minorHAnsi" w:hAnsiTheme="minorHAnsi" w:cs="Calibri Light"/>
        </w:rPr>
        <w:t>Cependant, la loi prévoyant que la province doit ristourner une partie de la redevance qu'elle perçoit à la commune du domicile du titulaire du permis, cet article 040/368-05 continuera d'être utilisé pour enregistrer les sommes ainsi ristournées.</w:t>
      </w:r>
    </w:p>
    <w:p w14:paraId="45543512" w14:textId="77777777" w:rsidR="009B153C" w:rsidRPr="00954208" w:rsidRDefault="009B153C" w:rsidP="00256E9F">
      <w:pPr>
        <w:pStyle w:val="Sam3"/>
      </w:pPr>
      <w:bookmarkStart w:id="8625" w:name="_Toc512525549"/>
      <w:bookmarkStart w:id="8626" w:name="_Toc515896861"/>
      <w:bookmarkStart w:id="8627" w:name="_Toc74557821"/>
      <w:r w:rsidRPr="006C6AB2">
        <w:rPr>
          <w:rStyle w:val="Titre3Car"/>
          <w:rFonts w:asciiTheme="minorHAnsi" w:eastAsia="PMingLiU" w:hAnsiTheme="minorHAnsi"/>
          <w:b/>
          <w:sz w:val="24"/>
          <w:szCs w:val="24"/>
        </w:rPr>
        <w:t>040/368-12 : Terrains de tennis privés</w:t>
      </w:r>
      <w:bookmarkEnd w:id="8625"/>
      <w:bookmarkEnd w:id="8626"/>
      <w:bookmarkEnd w:id="8627"/>
      <w:r w:rsidRPr="00954208">
        <w:t xml:space="preserve"> </w:t>
      </w:r>
    </w:p>
    <w:p w14:paraId="4A84CA3B" w14:textId="77777777" w:rsidR="008A21AC" w:rsidRDefault="008A21AC" w:rsidP="00E063FD">
      <w:pPr>
        <w:spacing w:before="120"/>
        <w:jc w:val="both"/>
        <w:textAlignment w:val="baseline"/>
        <w:rPr>
          <w:rFonts w:asciiTheme="minorHAnsi" w:hAnsiTheme="minorHAnsi" w:cs="Calibri Light"/>
        </w:rPr>
      </w:pPr>
      <w:r>
        <w:rPr>
          <w:rFonts w:asciiTheme="minorHAnsi" w:hAnsiTheme="minorHAnsi" w:cs="Calibri Light"/>
        </w:rPr>
        <w:t xml:space="preserve">Taxe directe. </w:t>
      </w:r>
    </w:p>
    <w:p w14:paraId="634F1957" w14:textId="4FDD0D96" w:rsidR="009B153C" w:rsidRDefault="009B153C" w:rsidP="00E063FD">
      <w:pPr>
        <w:spacing w:before="120"/>
        <w:jc w:val="both"/>
        <w:textAlignment w:val="baseline"/>
        <w:rPr>
          <w:rFonts w:asciiTheme="minorHAnsi" w:hAnsiTheme="minorHAnsi" w:cs="Calibri Light"/>
        </w:rPr>
      </w:pPr>
      <w:r w:rsidRPr="001073DB">
        <w:rPr>
          <w:rFonts w:asciiTheme="minorHAnsi" w:hAnsiTheme="minorHAnsi" w:cs="Calibri Light"/>
        </w:rPr>
        <w:t xml:space="preserve">Taux maximum recommandé : </w:t>
      </w:r>
      <w:r w:rsidR="00072FAE" w:rsidRPr="001073DB">
        <w:rPr>
          <w:rFonts w:asciiTheme="minorHAnsi" w:hAnsiTheme="minorHAnsi" w:cs="Calibri Light"/>
        </w:rPr>
        <w:t>900</w:t>
      </w:r>
      <w:r w:rsidR="001073DB" w:rsidRPr="008D7EB7">
        <w:rPr>
          <w:rFonts w:asciiTheme="minorHAnsi" w:hAnsiTheme="minorHAnsi" w:cs="Calibri Light"/>
        </w:rPr>
        <w:t>,00</w:t>
      </w:r>
      <w:r w:rsidR="00072FAE" w:rsidRPr="001073DB">
        <w:rPr>
          <w:rFonts w:asciiTheme="minorHAnsi" w:hAnsiTheme="minorHAnsi" w:cs="Calibri Light"/>
        </w:rPr>
        <w:t xml:space="preserve"> </w:t>
      </w:r>
      <w:r w:rsidRPr="001073DB">
        <w:rPr>
          <w:rFonts w:asciiTheme="minorHAnsi" w:hAnsiTheme="minorHAnsi" w:cs="Calibri Light"/>
        </w:rPr>
        <w:t>euros/an.</w:t>
      </w:r>
    </w:p>
    <w:p w14:paraId="42A1317A" w14:textId="77777777" w:rsidR="00CD3E51" w:rsidRPr="00F915F6" w:rsidRDefault="00CD3E51" w:rsidP="00E063FD">
      <w:pPr>
        <w:spacing w:before="120"/>
        <w:jc w:val="both"/>
        <w:textAlignment w:val="baseline"/>
        <w:rPr>
          <w:rFonts w:asciiTheme="minorHAnsi" w:hAnsiTheme="minorHAnsi" w:cs="Calibri Light"/>
          <w:sz w:val="10"/>
          <w:szCs w:val="10"/>
        </w:rPr>
      </w:pPr>
    </w:p>
    <w:p w14:paraId="6C8C0BA0" w14:textId="77777777" w:rsidR="00705A12" w:rsidRDefault="008A21AC" w:rsidP="00256E9F">
      <w:pPr>
        <w:pStyle w:val="Sam3"/>
      </w:pPr>
      <w:bookmarkStart w:id="8628" w:name="_Toc74557822"/>
      <w:r>
        <w:t>040/368-15 : G</w:t>
      </w:r>
      <w:r w:rsidR="00CD234B">
        <w:t>olfs</w:t>
      </w:r>
      <w:bookmarkEnd w:id="8628"/>
      <w:r w:rsidR="00CD234B">
        <w:t xml:space="preserve"> </w:t>
      </w:r>
    </w:p>
    <w:p w14:paraId="53A6DDFA" w14:textId="77777777" w:rsidR="00CD234B" w:rsidRPr="00705A12" w:rsidRDefault="00705A12" w:rsidP="00E063FD">
      <w:r w:rsidRPr="00E063FD">
        <w:t>T</w:t>
      </w:r>
      <w:r w:rsidR="00CD234B" w:rsidRPr="00E063FD">
        <w:t>axe directe</w:t>
      </w:r>
      <w:r w:rsidRPr="00E063FD">
        <w:t>.</w:t>
      </w:r>
    </w:p>
    <w:p w14:paraId="439EAC8B" w14:textId="3FBB4866" w:rsidR="009B153C" w:rsidRDefault="009B153C" w:rsidP="00E063FD">
      <w:pPr>
        <w:spacing w:before="120"/>
        <w:jc w:val="both"/>
        <w:textAlignment w:val="baseline"/>
        <w:rPr>
          <w:rFonts w:asciiTheme="minorHAnsi" w:hAnsiTheme="minorHAnsi" w:cs="Calibri Light"/>
        </w:rPr>
      </w:pPr>
      <w:r w:rsidRPr="001073DB">
        <w:rPr>
          <w:rFonts w:asciiTheme="minorHAnsi" w:hAnsiTheme="minorHAnsi" w:cs="Calibri Light"/>
        </w:rPr>
        <w:t xml:space="preserve">Taux maximum recommandé : </w:t>
      </w:r>
      <w:r w:rsidR="00072FAE" w:rsidRPr="001073DB">
        <w:rPr>
          <w:rFonts w:asciiTheme="minorHAnsi" w:hAnsiTheme="minorHAnsi" w:cs="Calibri Light"/>
        </w:rPr>
        <w:t>11.000</w:t>
      </w:r>
      <w:r w:rsidR="001073DB" w:rsidRPr="008D7EB7">
        <w:rPr>
          <w:rFonts w:asciiTheme="minorHAnsi" w:hAnsiTheme="minorHAnsi" w:cs="Calibri Light"/>
        </w:rPr>
        <w:t>,00</w:t>
      </w:r>
      <w:r w:rsidR="00072FAE" w:rsidRPr="001073DB">
        <w:rPr>
          <w:rFonts w:asciiTheme="minorHAnsi" w:hAnsiTheme="minorHAnsi" w:cs="Calibri Light"/>
        </w:rPr>
        <w:t xml:space="preserve"> </w:t>
      </w:r>
      <w:r w:rsidRPr="001073DB">
        <w:rPr>
          <w:rFonts w:asciiTheme="minorHAnsi" w:hAnsiTheme="minorHAnsi" w:cs="Calibri Light"/>
        </w:rPr>
        <w:t>euros par an et par terrain de golf. Ce taux peut être</w:t>
      </w:r>
      <w:r w:rsidRPr="00DA6BD2">
        <w:rPr>
          <w:rFonts w:asciiTheme="minorHAnsi" w:hAnsiTheme="minorHAnsi" w:cs="Calibri Light"/>
        </w:rPr>
        <w:t xml:space="preserve"> modulé selon le nombre de trous, la superficie consacrée à la pratique de ce sport et le droit d'entrée.</w:t>
      </w:r>
    </w:p>
    <w:p w14:paraId="0ED53C5C" w14:textId="39C4D2BD" w:rsidR="0094525A" w:rsidRDefault="0094525A" w:rsidP="00E063FD">
      <w:pPr>
        <w:spacing w:before="120"/>
        <w:jc w:val="both"/>
        <w:textAlignment w:val="baseline"/>
        <w:rPr>
          <w:rFonts w:asciiTheme="minorHAnsi" w:hAnsiTheme="minorHAnsi" w:cs="Calibri Light"/>
        </w:rPr>
      </w:pPr>
    </w:p>
    <w:p w14:paraId="4ED56112" w14:textId="77777777" w:rsidR="0094525A" w:rsidRDefault="0094525A" w:rsidP="00E063FD">
      <w:pPr>
        <w:spacing w:before="120"/>
        <w:jc w:val="both"/>
        <w:textAlignment w:val="baseline"/>
        <w:rPr>
          <w:rFonts w:asciiTheme="minorHAnsi" w:hAnsiTheme="minorHAnsi" w:cs="Calibri Light"/>
        </w:rPr>
      </w:pPr>
    </w:p>
    <w:p w14:paraId="4471B33B" w14:textId="77777777" w:rsidR="008B6D82" w:rsidRDefault="008B6D82" w:rsidP="008B6D82">
      <w:pPr>
        <w:pStyle w:val="Sam2"/>
      </w:pPr>
      <w:r w:rsidRPr="009764F6">
        <w:lastRenderedPageBreak/>
        <w:t xml:space="preserve">Taxes et redevances </w:t>
      </w:r>
      <w:r>
        <w:t>spécialement motivées par une situation particulière rencontrée par la commune.</w:t>
      </w:r>
    </w:p>
    <w:p w14:paraId="58F5B99F" w14:textId="77777777" w:rsidR="008B6D82" w:rsidRDefault="008B6D82" w:rsidP="008B6D82">
      <w:pPr>
        <w:spacing w:before="120"/>
        <w:jc w:val="both"/>
        <w:textAlignment w:val="baseline"/>
      </w:pPr>
      <w:r>
        <w:t xml:space="preserve">Ces taxes et redevances doivent être </w:t>
      </w:r>
      <w:r w:rsidRPr="009764F6">
        <w:t>liées</w:t>
      </w:r>
      <w:r w:rsidRPr="00EA5A41">
        <w:t xml:space="preserve"> notamment</w:t>
      </w:r>
      <w:r>
        <w:t xml:space="preserve"> </w:t>
      </w:r>
      <w:r w:rsidRPr="009764F6">
        <w:t>à des nuisances</w:t>
      </w:r>
      <w:r w:rsidRPr="00695421">
        <w:t>, sonores, environnementales/écologiques, économiques, urbanistiques, à l’encontre du bien-être animal, du respect la vie privée</w:t>
      </w:r>
      <w:r>
        <w:t>, …</w:t>
      </w:r>
    </w:p>
    <w:p w14:paraId="65DEE4C6" w14:textId="77777777" w:rsidR="008B6D82" w:rsidRDefault="008B6D82" w:rsidP="008B6D82">
      <w:pPr>
        <w:spacing w:before="120"/>
        <w:jc w:val="both"/>
        <w:textAlignment w:val="baseline"/>
      </w:pPr>
      <w:r>
        <w:t>Il s’agit dans les cas visés de situations particulières et spécifiques à la commune pour lesquelles il ne peut être renvoyé qu’à l’appréciation de la motivation et la justification reprise dans le préambule du règlement.</w:t>
      </w:r>
    </w:p>
    <w:p w14:paraId="32FB5BDE" w14:textId="77777777" w:rsidR="008B6D82" w:rsidRPr="00AC6B1D" w:rsidRDefault="008B6D82" w:rsidP="008B6D82">
      <w:pPr>
        <w:spacing w:before="120"/>
        <w:jc w:val="both"/>
        <w:textAlignment w:val="baseline"/>
      </w:pPr>
      <w:r>
        <w:t>Il est</w:t>
      </w:r>
      <w:r w:rsidRPr="00AC6B1D">
        <w:t xml:space="preserve"> rappel</w:t>
      </w:r>
      <w:r>
        <w:t>é</w:t>
      </w:r>
      <w:r w:rsidRPr="00AC6B1D">
        <w:t xml:space="preserve"> qu’aucune disposition légale ou réglementaire n'interdit à un Conseil communal, lorsqu'il établit une taxe justifiée par l'état de ses finances, de la faire porter par priorité sur des activités qu'il estime plus critiquables que d'autres ou dont il estime le développement nuisibl</w:t>
      </w:r>
      <w:r>
        <w:t>e</w:t>
      </w:r>
      <w:r w:rsidRPr="00AC6B1D">
        <w:t xml:space="preserve">. </w:t>
      </w:r>
    </w:p>
    <w:p w14:paraId="7000289D" w14:textId="77777777" w:rsidR="008B6D82" w:rsidRDefault="008B6D82" w:rsidP="008B6D82">
      <w:pPr>
        <w:spacing w:before="120"/>
        <w:jc w:val="both"/>
        <w:textAlignment w:val="baseline"/>
      </w:pPr>
      <w:r w:rsidRPr="00AC6B1D">
        <w:t>Il s'ensuit que si l'objectif principal de la taxe est principalement d'ordre budgétaire, rien ne s'oppose par ailleurs à ce que le Conseil communal poursuive des objectifs accessoires, non financiers, d'incitation ou de dissuasion. Cet objectif accessoire de dissuasion ne doit pas nécessairement ressortir des dispositions du règlement-taxe.</w:t>
      </w:r>
    </w:p>
    <w:p w14:paraId="51230E7D" w14:textId="170232EB" w:rsidR="008B6D82" w:rsidRDefault="008B6D82" w:rsidP="008B6D82">
      <w:pPr>
        <w:spacing w:before="120"/>
        <w:jc w:val="both"/>
        <w:textAlignment w:val="baseline"/>
      </w:pPr>
      <w:r w:rsidRPr="008D7EB7">
        <w:t xml:space="preserve">Pour de tels règlements-taxes ou redevances, il est demandé à la commune d’adresser préalablement au Ministre de tutelle un dossier circonstancié justifiant spécifiquement l’opportunité d’établir cette taxe et de ne pas l’adopter avant d’avoir </w:t>
      </w:r>
      <w:r>
        <w:t>r</w:t>
      </w:r>
      <w:r w:rsidRPr="008D7EB7">
        <w:t xml:space="preserve">eçu </w:t>
      </w:r>
      <w:r w:rsidR="002822B9" w:rsidRPr="00F915F6">
        <w:t>l’approbation du Gouvernement</w:t>
      </w:r>
      <w:r w:rsidRPr="00F915F6">
        <w:t>.</w:t>
      </w:r>
    </w:p>
    <w:p w14:paraId="67EF1C81" w14:textId="2D7EC1B1" w:rsidR="00900C39" w:rsidRDefault="00900C39" w:rsidP="007964D5">
      <w:pPr>
        <w:spacing w:before="120"/>
        <w:jc w:val="both"/>
        <w:textAlignment w:val="baseline"/>
      </w:pPr>
    </w:p>
    <w:p w14:paraId="394E197A" w14:textId="77777777" w:rsidR="009B153C" w:rsidRPr="00DA6BD2" w:rsidRDefault="009B153C" w:rsidP="00581DAD">
      <w:pPr>
        <w:pStyle w:val="Sam2"/>
      </w:pPr>
      <w:bookmarkStart w:id="8629" w:name="_Toc40185627"/>
      <w:bookmarkStart w:id="8630" w:name="_Toc40186362"/>
      <w:bookmarkStart w:id="8631" w:name="_Toc40185628"/>
      <w:bookmarkStart w:id="8632" w:name="_Toc40186363"/>
      <w:bookmarkStart w:id="8633" w:name="_Toc40185629"/>
      <w:bookmarkStart w:id="8634" w:name="_Toc40186364"/>
      <w:bookmarkStart w:id="8635" w:name="_Toc40185630"/>
      <w:bookmarkStart w:id="8636" w:name="_Toc40186365"/>
      <w:bookmarkStart w:id="8637" w:name="_Toc40185631"/>
      <w:bookmarkStart w:id="8638" w:name="_Toc40186366"/>
      <w:bookmarkStart w:id="8639" w:name="_Toc40185632"/>
      <w:bookmarkStart w:id="8640" w:name="_Toc40186367"/>
      <w:bookmarkStart w:id="8641" w:name="_Toc40185633"/>
      <w:bookmarkStart w:id="8642" w:name="_Toc40186368"/>
      <w:bookmarkStart w:id="8643" w:name="_Toc40185634"/>
      <w:bookmarkStart w:id="8644" w:name="_Toc40186369"/>
      <w:bookmarkStart w:id="8645" w:name="_Toc40185635"/>
      <w:bookmarkStart w:id="8646" w:name="_Toc40186370"/>
      <w:bookmarkStart w:id="8647" w:name="_Toc40185636"/>
      <w:bookmarkStart w:id="8648" w:name="_Toc40186371"/>
      <w:bookmarkStart w:id="8649" w:name="_Toc40185637"/>
      <w:bookmarkStart w:id="8650" w:name="_Toc40186372"/>
      <w:bookmarkStart w:id="8651" w:name="_Toc40185638"/>
      <w:bookmarkStart w:id="8652" w:name="_Toc40186373"/>
      <w:bookmarkStart w:id="8653" w:name="_Toc40185639"/>
      <w:bookmarkStart w:id="8654" w:name="_Toc40186374"/>
      <w:bookmarkStart w:id="8655" w:name="_Toc40185640"/>
      <w:bookmarkStart w:id="8656" w:name="_Toc40186375"/>
      <w:bookmarkStart w:id="8657" w:name="_Toc40185641"/>
      <w:bookmarkStart w:id="8658" w:name="_Toc40186376"/>
      <w:bookmarkStart w:id="8659" w:name="_Toc40185642"/>
      <w:bookmarkStart w:id="8660" w:name="_Toc40186377"/>
      <w:bookmarkStart w:id="8661" w:name="_Toc40185643"/>
      <w:bookmarkStart w:id="8662" w:name="_Toc40186378"/>
      <w:bookmarkStart w:id="8663" w:name="_Toc40185644"/>
      <w:bookmarkStart w:id="8664" w:name="_Toc40186379"/>
      <w:bookmarkStart w:id="8665" w:name="_Toc40185645"/>
      <w:bookmarkStart w:id="8666" w:name="_Toc40186380"/>
      <w:bookmarkStart w:id="8667" w:name="_Toc40185646"/>
      <w:bookmarkStart w:id="8668" w:name="_Toc40186381"/>
      <w:bookmarkStart w:id="8669" w:name="_Toc40185647"/>
      <w:bookmarkStart w:id="8670" w:name="_Toc40186382"/>
      <w:bookmarkStart w:id="8671" w:name="_Toc40185648"/>
      <w:bookmarkStart w:id="8672" w:name="_Toc40186383"/>
      <w:bookmarkStart w:id="8673" w:name="_Toc40185649"/>
      <w:bookmarkStart w:id="8674" w:name="_Toc40186384"/>
      <w:bookmarkStart w:id="8675" w:name="_Toc40185650"/>
      <w:bookmarkStart w:id="8676" w:name="_Toc40186385"/>
      <w:bookmarkStart w:id="8677" w:name="_Toc40185651"/>
      <w:bookmarkStart w:id="8678" w:name="_Toc40186386"/>
      <w:bookmarkStart w:id="8679" w:name="_Toc40185652"/>
      <w:bookmarkStart w:id="8680" w:name="_Toc40186387"/>
      <w:bookmarkStart w:id="8681" w:name="_Toc40185653"/>
      <w:bookmarkStart w:id="8682" w:name="_Toc40186388"/>
      <w:bookmarkStart w:id="8683" w:name="_Toc516245193"/>
      <w:bookmarkStart w:id="8684" w:name="_Toc516473764"/>
      <w:bookmarkStart w:id="8685" w:name="_Toc516474074"/>
      <w:bookmarkStart w:id="8686" w:name="_Toc516474382"/>
      <w:bookmarkStart w:id="8687" w:name="_Toc516474690"/>
      <w:bookmarkStart w:id="8688" w:name="_Toc516475022"/>
      <w:bookmarkStart w:id="8689" w:name="_Toc516479118"/>
      <w:bookmarkStart w:id="8690" w:name="_Toc516479521"/>
      <w:bookmarkStart w:id="8691" w:name="_Toc516479838"/>
      <w:bookmarkStart w:id="8692" w:name="_Toc516480160"/>
      <w:bookmarkStart w:id="8693" w:name="_Toc516480474"/>
      <w:bookmarkStart w:id="8694" w:name="_Toc516480788"/>
      <w:bookmarkStart w:id="8695" w:name="_Toc516481102"/>
      <w:bookmarkStart w:id="8696" w:name="_Toc516481416"/>
      <w:bookmarkStart w:id="8697" w:name="_Toc516481730"/>
      <w:bookmarkStart w:id="8698" w:name="_Toc516482044"/>
      <w:bookmarkStart w:id="8699" w:name="_Toc516482358"/>
      <w:bookmarkStart w:id="8700" w:name="_Toc516482672"/>
      <w:bookmarkStart w:id="8701" w:name="_Toc516740026"/>
      <w:bookmarkStart w:id="8702" w:name="_Toc516751935"/>
      <w:bookmarkStart w:id="8703" w:name="_Toc516826023"/>
      <w:bookmarkStart w:id="8704" w:name="_Toc516826581"/>
      <w:bookmarkStart w:id="8705" w:name="_Toc516837901"/>
      <w:bookmarkStart w:id="8706" w:name="_Toc516838460"/>
      <w:bookmarkStart w:id="8707" w:name="_Toc516839019"/>
      <w:bookmarkStart w:id="8708" w:name="_Toc516839579"/>
      <w:bookmarkStart w:id="8709" w:name="_Toc517173675"/>
      <w:bookmarkStart w:id="8710" w:name="_Toc517175349"/>
      <w:bookmarkStart w:id="8711" w:name="_Toc517175936"/>
      <w:bookmarkStart w:id="8712" w:name="_Toc517176524"/>
      <w:bookmarkStart w:id="8713" w:name="_Toc517337849"/>
      <w:bookmarkStart w:id="8714" w:name="_Toc517360645"/>
      <w:bookmarkStart w:id="8715" w:name="_Toc516229791"/>
      <w:bookmarkStart w:id="8716" w:name="_Toc516230086"/>
      <w:bookmarkStart w:id="8717" w:name="_Toc516230381"/>
      <w:bookmarkStart w:id="8718" w:name="_Toc516230675"/>
      <w:bookmarkStart w:id="8719" w:name="_Toc516230969"/>
      <w:bookmarkStart w:id="8720" w:name="_Toc516231264"/>
      <w:bookmarkStart w:id="8721" w:name="_Toc516231559"/>
      <w:bookmarkStart w:id="8722" w:name="_Toc516231856"/>
      <w:bookmarkStart w:id="8723" w:name="_Toc516242951"/>
      <w:bookmarkStart w:id="8724" w:name="_Toc516243255"/>
      <w:bookmarkStart w:id="8725" w:name="_Toc516245194"/>
      <w:bookmarkStart w:id="8726" w:name="_Toc516473765"/>
      <w:bookmarkStart w:id="8727" w:name="_Toc516474075"/>
      <w:bookmarkStart w:id="8728" w:name="_Toc516474383"/>
      <w:bookmarkStart w:id="8729" w:name="_Toc516474691"/>
      <w:bookmarkStart w:id="8730" w:name="_Toc516475023"/>
      <w:bookmarkStart w:id="8731" w:name="_Toc516479119"/>
      <w:bookmarkStart w:id="8732" w:name="_Toc516479522"/>
      <w:bookmarkStart w:id="8733" w:name="_Toc516479839"/>
      <w:bookmarkStart w:id="8734" w:name="_Toc516480161"/>
      <w:bookmarkStart w:id="8735" w:name="_Toc516480475"/>
      <w:bookmarkStart w:id="8736" w:name="_Toc516480789"/>
      <w:bookmarkStart w:id="8737" w:name="_Toc516481103"/>
      <w:bookmarkStart w:id="8738" w:name="_Toc516481417"/>
      <w:bookmarkStart w:id="8739" w:name="_Toc516481731"/>
      <w:bookmarkStart w:id="8740" w:name="_Toc516482045"/>
      <w:bookmarkStart w:id="8741" w:name="_Toc516482359"/>
      <w:bookmarkStart w:id="8742" w:name="_Toc516482673"/>
      <w:bookmarkStart w:id="8743" w:name="_Toc516740027"/>
      <w:bookmarkStart w:id="8744" w:name="_Toc516751936"/>
      <w:bookmarkStart w:id="8745" w:name="_Toc516826024"/>
      <w:bookmarkStart w:id="8746" w:name="_Toc516826582"/>
      <w:bookmarkStart w:id="8747" w:name="_Toc516837902"/>
      <w:bookmarkStart w:id="8748" w:name="_Toc516838461"/>
      <w:bookmarkStart w:id="8749" w:name="_Toc516839020"/>
      <w:bookmarkStart w:id="8750" w:name="_Toc516839580"/>
      <w:bookmarkStart w:id="8751" w:name="_Toc517173676"/>
      <w:bookmarkStart w:id="8752" w:name="_Toc517175350"/>
      <w:bookmarkStart w:id="8753" w:name="_Toc517175937"/>
      <w:bookmarkStart w:id="8754" w:name="_Toc517176525"/>
      <w:bookmarkStart w:id="8755" w:name="_Toc517337850"/>
      <w:bookmarkStart w:id="8756" w:name="_Toc517360646"/>
      <w:bookmarkStart w:id="8757" w:name="_Hlk73626725"/>
      <w:bookmarkStart w:id="8758" w:name="_Toc512523786"/>
      <w:bookmarkStart w:id="8759" w:name="_Toc512525551"/>
      <w:bookmarkStart w:id="8760" w:name="_Toc515896863"/>
      <w:bookmarkStart w:id="8761" w:name="_Toc74557824"/>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r w:rsidRPr="00DA6BD2">
        <w:t>Centimes additionnels</w:t>
      </w:r>
      <w:bookmarkEnd w:id="8757"/>
      <w:r w:rsidRPr="00DA6BD2">
        <w:t>, décime additionnel et impôts complémentaires</w:t>
      </w:r>
      <w:bookmarkEnd w:id="8758"/>
      <w:bookmarkEnd w:id="8759"/>
      <w:bookmarkEnd w:id="8760"/>
      <w:bookmarkEnd w:id="8761"/>
    </w:p>
    <w:p w14:paraId="04343404" w14:textId="77777777" w:rsidR="00705A12" w:rsidRDefault="009B153C" w:rsidP="00256E9F">
      <w:pPr>
        <w:pStyle w:val="Sam3"/>
      </w:pPr>
      <w:bookmarkStart w:id="8762" w:name="_Toc516245196"/>
      <w:bookmarkStart w:id="8763" w:name="_Toc516473767"/>
      <w:bookmarkStart w:id="8764" w:name="_Toc516474077"/>
      <w:bookmarkStart w:id="8765" w:name="_Toc516474385"/>
      <w:bookmarkStart w:id="8766" w:name="_Toc516474693"/>
      <w:bookmarkStart w:id="8767" w:name="_Toc516475025"/>
      <w:bookmarkStart w:id="8768" w:name="_Toc516479121"/>
      <w:bookmarkStart w:id="8769" w:name="_Toc516479524"/>
      <w:bookmarkStart w:id="8770" w:name="_Toc516479841"/>
      <w:bookmarkStart w:id="8771" w:name="_Toc516480163"/>
      <w:bookmarkStart w:id="8772" w:name="_Toc516480477"/>
      <w:bookmarkStart w:id="8773" w:name="_Toc516480791"/>
      <w:bookmarkStart w:id="8774" w:name="_Toc516481105"/>
      <w:bookmarkStart w:id="8775" w:name="_Toc516481419"/>
      <w:bookmarkStart w:id="8776" w:name="_Toc516481733"/>
      <w:bookmarkStart w:id="8777" w:name="_Toc516482047"/>
      <w:bookmarkStart w:id="8778" w:name="_Toc516482361"/>
      <w:bookmarkStart w:id="8779" w:name="_Toc516482675"/>
      <w:bookmarkStart w:id="8780" w:name="_Toc516740029"/>
      <w:bookmarkStart w:id="8781" w:name="_Toc516751938"/>
      <w:bookmarkStart w:id="8782" w:name="_Toc516826026"/>
      <w:bookmarkStart w:id="8783" w:name="_Toc516826584"/>
      <w:bookmarkStart w:id="8784" w:name="_Toc516837904"/>
      <w:bookmarkStart w:id="8785" w:name="_Toc516838463"/>
      <w:bookmarkStart w:id="8786" w:name="_Toc516839022"/>
      <w:bookmarkStart w:id="8787" w:name="_Toc516839582"/>
      <w:bookmarkStart w:id="8788" w:name="_Toc517173678"/>
      <w:bookmarkStart w:id="8789" w:name="_Toc517175352"/>
      <w:bookmarkStart w:id="8790" w:name="_Toc517175939"/>
      <w:bookmarkStart w:id="8791" w:name="_Toc517176527"/>
      <w:bookmarkStart w:id="8792" w:name="_Toc517337852"/>
      <w:bookmarkStart w:id="8793" w:name="_Toc517360648"/>
      <w:bookmarkStart w:id="8794" w:name="_Toc74557825"/>
      <w:bookmarkStart w:id="8795" w:name="_Toc512525552"/>
      <w:bookmarkStart w:id="8796" w:name="_Toc515896864"/>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r w:rsidRPr="00DA6BD2">
        <w:t>040/371-01 : Précompte immobilier - Centimes additionnels</w:t>
      </w:r>
      <w:bookmarkEnd w:id="8794"/>
      <w:r w:rsidRPr="00DA6BD2">
        <w:t xml:space="preserve"> </w:t>
      </w:r>
    </w:p>
    <w:p w14:paraId="69CFC1A4" w14:textId="68971014" w:rsidR="008A6BD6" w:rsidRPr="008D7EB7" w:rsidRDefault="008A6BD6" w:rsidP="008A6BD6">
      <w:pPr>
        <w:spacing w:after="240"/>
        <w:jc w:val="both"/>
        <w:rPr>
          <w:color w:val="000000" w:themeColor="text1"/>
        </w:rPr>
      </w:pPr>
      <w:r w:rsidRPr="008D7EB7">
        <w:rPr>
          <w:color w:val="000000" w:themeColor="text1"/>
        </w:rPr>
        <w:t>Rappelons tout d’abord qu’à partir du 1</w:t>
      </w:r>
      <w:r w:rsidRPr="008D7EB7">
        <w:rPr>
          <w:color w:val="000000" w:themeColor="text1"/>
          <w:vertAlign w:val="superscript"/>
        </w:rPr>
        <w:t>er</w:t>
      </w:r>
      <w:r w:rsidRPr="008D7EB7">
        <w:rPr>
          <w:color w:val="000000" w:themeColor="text1"/>
        </w:rPr>
        <w:t xml:space="preserve"> janvier 2021, la Région Wallon</w:t>
      </w:r>
      <w:r w:rsidR="00BF7E2A">
        <w:rPr>
          <w:color w:val="000000" w:themeColor="text1"/>
        </w:rPr>
        <w:t>n</w:t>
      </w:r>
      <w:r w:rsidRPr="008D7EB7">
        <w:rPr>
          <w:color w:val="000000" w:themeColor="text1"/>
        </w:rPr>
        <w:t xml:space="preserve">e assurera la perception du précompte immobilier. Le SPW fiscalité reprendra cette mission </w:t>
      </w:r>
      <w:r w:rsidR="001044C0" w:rsidRPr="00F0684C">
        <w:rPr>
          <w:color w:val="000000" w:themeColor="text1"/>
        </w:rPr>
        <w:t>au SPF</w:t>
      </w:r>
      <w:r w:rsidRPr="008D7EB7">
        <w:rPr>
          <w:color w:val="000000" w:themeColor="text1"/>
        </w:rPr>
        <w:t xml:space="preserve"> finances qui ne sera plus compétent en la matière. </w:t>
      </w:r>
    </w:p>
    <w:p w14:paraId="61BC36FF" w14:textId="7BB3C0D9" w:rsidR="009B153C" w:rsidRPr="00EC0561" w:rsidRDefault="00705A12" w:rsidP="00E063FD">
      <w:r w:rsidRPr="00A03E6A">
        <w:t>T</w:t>
      </w:r>
      <w:r w:rsidR="009B153C" w:rsidRPr="003F0B7B">
        <w:t>axe directe</w:t>
      </w:r>
      <w:r w:rsidRPr="00E9189F">
        <w:t>.</w:t>
      </w:r>
      <w:bookmarkEnd w:id="8795"/>
      <w:bookmarkEnd w:id="8796"/>
    </w:p>
    <w:p w14:paraId="0C96C1A9" w14:textId="77777777" w:rsidR="009B153C" w:rsidRPr="00DA6BD2" w:rsidRDefault="009B153C" w:rsidP="00E063FD">
      <w:pPr>
        <w:spacing w:before="120"/>
        <w:jc w:val="both"/>
        <w:textAlignment w:val="baseline"/>
        <w:rPr>
          <w:rFonts w:asciiTheme="minorHAnsi" w:hAnsiTheme="minorHAnsi" w:cs="Calibri Light"/>
          <w:spacing w:val="3"/>
        </w:rPr>
      </w:pPr>
      <w:r w:rsidRPr="00DA6BD2">
        <w:rPr>
          <w:rFonts w:asciiTheme="minorHAnsi" w:hAnsiTheme="minorHAnsi" w:cs="Calibri Light"/>
          <w:spacing w:val="3"/>
        </w:rPr>
        <w:t xml:space="preserve">Taux maximum recommandé : </w:t>
      </w:r>
      <w:r w:rsidRPr="00256E9F">
        <w:rPr>
          <w:rFonts w:asciiTheme="minorHAnsi" w:hAnsiTheme="minorHAnsi" w:cs="Calibri Light"/>
          <w:b/>
          <w:bCs/>
          <w:spacing w:val="3"/>
        </w:rPr>
        <w:t>2600 centimes additionnels.</w:t>
      </w:r>
    </w:p>
    <w:p w14:paraId="0E902EE3" w14:textId="7277357E" w:rsidR="009B153C" w:rsidRPr="00671240" w:rsidRDefault="009B153C" w:rsidP="00E063FD">
      <w:pPr>
        <w:spacing w:before="120"/>
        <w:jc w:val="both"/>
        <w:textAlignment w:val="baseline"/>
        <w:rPr>
          <w:rFonts w:asciiTheme="minorHAnsi" w:hAnsiTheme="minorHAnsi"/>
        </w:rPr>
      </w:pPr>
      <w:r w:rsidRPr="00671240">
        <w:rPr>
          <w:rFonts w:asciiTheme="minorHAnsi" w:hAnsiTheme="minorHAnsi"/>
        </w:rPr>
        <w:t>Les Communes qui souhaitent prévoir un taux supérieur à ce plafond devront motiver spécifiquement leur décision et ne pourront se contenter d’invoquer la nécessité d'équilibrer le budget à l'exercice propre</w:t>
      </w:r>
      <w:bookmarkStart w:id="8797" w:name="_Hlk37766389"/>
      <w:r w:rsidR="00BF7E2A">
        <w:rPr>
          <w:rFonts w:asciiTheme="minorHAnsi" w:hAnsiTheme="minorHAnsi"/>
        </w:rPr>
        <w:t>.</w:t>
      </w:r>
      <w:bookmarkEnd w:id="8797"/>
    </w:p>
    <w:p w14:paraId="4C6380AC" w14:textId="77777777" w:rsidR="009B153C" w:rsidRPr="00DA6BD2" w:rsidRDefault="009B153C" w:rsidP="00E063FD">
      <w:pPr>
        <w:spacing w:before="120"/>
        <w:jc w:val="both"/>
        <w:textAlignment w:val="baseline"/>
        <w:rPr>
          <w:rFonts w:asciiTheme="minorHAnsi" w:hAnsiTheme="minorHAnsi"/>
        </w:rPr>
      </w:pPr>
      <w:r w:rsidRPr="00DA6BD2">
        <w:rPr>
          <w:rFonts w:asciiTheme="minorHAnsi" w:hAnsiTheme="minorHAnsi"/>
        </w:rPr>
        <w:t>Les pouvoirs locaux souhaitent à juste titre favoriser l'insertion de logements privés dans le secteur locatif social.</w:t>
      </w:r>
    </w:p>
    <w:p w14:paraId="204C27E5" w14:textId="77777777" w:rsidR="009B153C" w:rsidRPr="00DA6BD2" w:rsidRDefault="009B153C" w:rsidP="00E063FD">
      <w:pPr>
        <w:spacing w:before="120"/>
        <w:jc w:val="both"/>
        <w:textAlignment w:val="baseline"/>
        <w:rPr>
          <w:rFonts w:asciiTheme="minorHAnsi" w:hAnsiTheme="minorHAnsi"/>
        </w:rPr>
      </w:pPr>
      <w:r w:rsidRPr="00DA6BD2">
        <w:rPr>
          <w:rFonts w:asciiTheme="minorHAnsi" w:hAnsiTheme="minorHAnsi"/>
        </w:rPr>
        <w:t>Il y a lieu d'attirer leur attention sur le fait que, pour réaliser cet objectif, il convient d'adopter un mécanisme de subvention au bénéfice des propriétaires prouvant le paiement d'additionnels communaux pour ces logements.</w:t>
      </w:r>
    </w:p>
    <w:p w14:paraId="24A334C4" w14:textId="78F8CA7C" w:rsidR="009B153C" w:rsidRDefault="009B153C" w:rsidP="00E063FD">
      <w:pPr>
        <w:spacing w:before="120"/>
        <w:jc w:val="both"/>
        <w:textAlignment w:val="baseline"/>
        <w:rPr>
          <w:rFonts w:asciiTheme="minorHAnsi" w:hAnsiTheme="minorHAnsi"/>
        </w:rPr>
      </w:pPr>
      <w:proofErr w:type="gramStart"/>
      <w:r w:rsidRPr="00DA6BD2">
        <w:rPr>
          <w:rFonts w:asciiTheme="minorHAnsi" w:hAnsiTheme="minorHAnsi"/>
        </w:rPr>
        <w:t>Par contre</w:t>
      </w:r>
      <w:proofErr w:type="gramEnd"/>
      <w:r w:rsidRPr="00DA6BD2">
        <w:rPr>
          <w:rFonts w:asciiTheme="minorHAnsi" w:hAnsiTheme="minorHAnsi"/>
        </w:rPr>
        <w:t xml:space="preserve">, les autorités locales ne peuvent décider localement - cette compétence étant régionale </w:t>
      </w:r>
      <w:r w:rsidRPr="00DA6BD2">
        <w:rPr>
          <w:rFonts w:asciiTheme="minorHAnsi" w:hAnsiTheme="minorHAnsi"/>
        </w:rPr>
        <w:softHyphen/>
        <w:t>- d'exonérer des additionnels au précompte immobilier les logements qui sont la propriété de personnes de droit privé insérés dans un circuit locatif social.</w:t>
      </w:r>
    </w:p>
    <w:p w14:paraId="7B7CF36D" w14:textId="5E3B9289" w:rsidR="00CD3E51" w:rsidRDefault="00CD3E51" w:rsidP="00E063FD">
      <w:pPr>
        <w:spacing w:before="120"/>
        <w:jc w:val="both"/>
        <w:textAlignment w:val="baseline"/>
        <w:rPr>
          <w:rFonts w:asciiTheme="minorHAnsi" w:hAnsiTheme="minorHAnsi"/>
        </w:rPr>
      </w:pPr>
      <w:r>
        <w:rPr>
          <w:rFonts w:asciiTheme="minorHAnsi" w:hAnsiTheme="minorHAnsi"/>
        </w:rPr>
        <w:lastRenderedPageBreak/>
        <w:t>La direction des ressources financières transmettra deux fois par an les prévisions budgétaires.</w:t>
      </w:r>
    </w:p>
    <w:p w14:paraId="291C124D" w14:textId="72B69B06" w:rsidR="00413885" w:rsidRPr="00413885" w:rsidRDefault="00413885" w:rsidP="00413885">
      <w:pPr>
        <w:spacing w:before="120"/>
        <w:jc w:val="both"/>
        <w:textAlignment w:val="baseline"/>
        <w:rPr>
          <w:rFonts w:asciiTheme="minorHAnsi" w:hAnsiTheme="minorHAnsi"/>
        </w:rPr>
      </w:pPr>
      <w:r w:rsidRPr="00413885">
        <w:rPr>
          <w:rFonts w:asciiTheme="minorHAnsi" w:hAnsiTheme="minorHAnsi"/>
        </w:rPr>
        <w:t>Les taxes additionnelles sont soumises à la tutelle générale d'annulation avec transmission obligatoire au Gouvernement wallon.</w:t>
      </w:r>
    </w:p>
    <w:p w14:paraId="34F6E712" w14:textId="77777777" w:rsidR="00413885" w:rsidRPr="00413885" w:rsidRDefault="00413885" w:rsidP="00413885">
      <w:pPr>
        <w:spacing w:before="120"/>
        <w:jc w:val="both"/>
        <w:textAlignment w:val="baseline"/>
        <w:rPr>
          <w:rFonts w:asciiTheme="minorHAnsi" w:hAnsiTheme="minorHAnsi"/>
        </w:rPr>
      </w:pPr>
      <w:r w:rsidRPr="00413885">
        <w:rPr>
          <w:rFonts w:asciiTheme="minorHAnsi" w:hAnsiTheme="minorHAnsi"/>
        </w:rPr>
        <w:t>Ainsi, les décisions concernées peuvent être publiées conformément aux articles L 1133-1 à 3 du CDLD dès leur adoption par le Conseil communal mais ne peuvent être mises à exécution avant d'avoir été transmises au Gouvernement wallon.</w:t>
      </w:r>
    </w:p>
    <w:p w14:paraId="2E717F77" w14:textId="7F0B61DF" w:rsidR="00413885" w:rsidRDefault="00413885" w:rsidP="00413885">
      <w:pPr>
        <w:spacing w:before="120"/>
        <w:jc w:val="both"/>
        <w:textAlignment w:val="baseline"/>
        <w:rPr>
          <w:rFonts w:asciiTheme="minorHAnsi" w:hAnsiTheme="minorHAnsi"/>
        </w:rPr>
      </w:pPr>
      <w:r w:rsidRPr="00413885">
        <w:rPr>
          <w:rFonts w:asciiTheme="minorHAnsi" w:hAnsiTheme="minorHAnsi"/>
        </w:rPr>
        <w:t>Puisque les taxes additionnelles sont désormais soumises à une tutelle différente des autres règlements-taxes, la procédure de transmission via e-tutelle est différente. Ce type de dossier doit donc être transmis de manière distincte par rapport aux autres règlements fiscaux.</w:t>
      </w:r>
    </w:p>
    <w:p w14:paraId="14609DD8" w14:textId="2DD0BAE0" w:rsidR="009B153C" w:rsidRDefault="00CD3E51" w:rsidP="00E063FD">
      <w:pPr>
        <w:spacing w:before="120"/>
        <w:jc w:val="both"/>
        <w:textAlignment w:val="baseline"/>
        <w:rPr>
          <w:rFonts w:asciiTheme="minorHAnsi" w:hAnsiTheme="minorHAnsi" w:cs="Calibri Light"/>
          <w:i/>
        </w:rPr>
      </w:pPr>
      <w:r>
        <w:rPr>
          <w:rFonts w:asciiTheme="minorHAnsi" w:hAnsiTheme="minorHAnsi"/>
          <w:spacing w:val="3"/>
          <w:lang w:val="fr-BE"/>
        </w:rPr>
        <w:t>D</w:t>
      </w:r>
      <w:r w:rsidR="009B153C" w:rsidRPr="0027625F">
        <w:rPr>
          <w:rFonts w:asciiTheme="minorHAnsi" w:hAnsiTheme="minorHAnsi"/>
          <w:spacing w:val="3"/>
          <w:lang w:val="fr-BE"/>
        </w:rPr>
        <w:t>ans le cadre des "Actions prioritaires pour l'Avenir wallon"</w:t>
      </w:r>
      <w:r w:rsidR="003B0044" w:rsidRPr="0027625F">
        <w:rPr>
          <w:spacing w:val="3"/>
          <w:vertAlign w:val="superscript"/>
          <w:lang w:val="fr-BE"/>
        </w:rPr>
        <w:footnoteReference w:id="192"/>
      </w:r>
      <w:r w:rsidR="009B153C" w:rsidRPr="0027625F">
        <w:rPr>
          <w:rFonts w:asciiTheme="minorHAnsi" w:hAnsiTheme="minorHAnsi"/>
          <w:spacing w:val="3"/>
          <w:lang w:val="fr-BE"/>
        </w:rPr>
        <w:t>, le Parlement</w:t>
      </w:r>
      <w:r w:rsidR="009B153C" w:rsidRPr="00DA6BD2">
        <w:rPr>
          <w:rFonts w:asciiTheme="minorHAnsi" w:hAnsiTheme="minorHAnsi" w:cs="Calibri Light"/>
        </w:rPr>
        <w:t xml:space="preserve"> de Wallonie a décidé que « </w:t>
      </w:r>
      <w:r w:rsidR="009B153C" w:rsidRPr="00DA6BD2">
        <w:rPr>
          <w:rFonts w:asciiTheme="minorHAnsi" w:hAnsiTheme="minorHAnsi" w:cs="Calibri Light"/>
          <w:i/>
        </w:rPr>
        <w:t>tous les investissements en matériel et outillage, acquis ou constitués à l'état neuf à partir du 1</w:t>
      </w:r>
      <w:r w:rsidR="009B153C" w:rsidRPr="00DA6BD2">
        <w:rPr>
          <w:rFonts w:asciiTheme="minorHAnsi" w:hAnsiTheme="minorHAnsi" w:cs="Calibri Light"/>
          <w:i/>
          <w:vertAlign w:val="superscript"/>
        </w:rPr>
        <w:t>er</w:t>
      </w:r>
      <w:r w:rsidR="009B153C" w:rsidRPr="00DA6BD2">
        <w:rPr>
          <w:rFonts w:asciiTheme="minorHAnsi" w:hAnsiTheme="minorHAnsi" w:cs="Calibri Light"/>
          <w:i/>
        </w:rPr>
        <w:t xml:space="preserve"> janvier 2006 sont exonérés du précompte immobilier. Cette mesure s'applique sur tout le territoire de la Région wallonne et à toutes les entreprises. »</w:t>
      </w:r>
    </w:p>
    <w:p w14:paraId="3B9DE7EF" w14:textId="77777777" w:rsidR="002B0522" w:rsidRPr="00DA6BD2" w:rsidRDefault="002B0522" w:rsidP="00E063FD">
      <w:pPr>
        <w:spacing w:before="120"/>
        <w:jc w:val="both"/>
        <w:textAlignment w:val="baseline"/>
        <w:rPr>
          <w:rFonts w:asciiTheme="minorHAnsi" w:hAnsiTheme="minorHAnsi" w:cs="Calibri Light"/>
        </w:rPr>
      </w:pPr>
    </w:p>
    <w:p w14:paraId="6EAE703C" w14:textId="585484E8" w:rsidR="00FA0AF5" w:rsidRPr="008D7EB7" w:rsidRDefault="009C24FA" w:rsidP="00D43802">
      <w:pPr>
        <w:spacing w:before="120"/>
        <w:jc w:val="both"/>
        <w:textAlignment w:val="baseline"/>
        <w:rPr>
          <w:rFonts w:asciiTheme="minorHAnsi" w:hAnsiTheme="minorHAnsi" w:cs="Calibri Light"/>
          <w:b/>
          <w:bCs/>
          <w:u w:val="single"/>
        </w:rPr>
      </w:pPr>
      <w:r w:rsidRPr="008D7EB7">
        <w:rPr>
          <w:rFonts w:asciiTheme="minorHAnsi" w:hAnsiTheme="minorHAnsi" w:cs="Calibri Light"/>
          <w:b/>
          <w:bCs/>
          <w:u w:val="single"/>
        </w:rPr>
        <w:t>Indicateur-expert communal</w:t>
      </w:r>
    </w:p>
    <w:p w14:paraId="59942EF3" w14:textId="14CBEF77" w:rsidR="009B153C" w:rsidRPr="008D7EB7" w:rsidRDefault="009B153C" w:rsidP="0094525A">
      <w:pPr>
        <w:spacing w:before="120" w:after="240"/>
        <w:jc w:val="both"/>
        <w:textAlignment w:val="baseline"/>
        <w:rPr>
          <w:rFonts w:asciiTheme="minorHAnsi" w:hAnsiTheme="minorHAnsi" w:cs="Calibri Light"/>
          <w:b/>
          <w:bCs/>
          <w:color w:val="0000FF"/>
        </w:rPr>
      </w:pPr>
      <w:r w:rsidRPr="008D7EB7">
        <w:rPr>
          <w:rFonts w:asciiTheme="minorHAnsi" w:hAnsiTheme="minorHAnsi" w:cs="Calibri Light"/>
          <w:b/>
          <w:bCs/>
        </w:rPr>
        <w:t xml:space="preserve">Vu l'importance des recettes du précompte immobilier, je souhaite vivement que les communes collaborent au mieux avec l'Administration du cadastre afin de permettre à cette administration de tenir parfaitement à jour la </w:t>
      </w:r>
      <w:r w:rsidRPr="008D7EB7">
        <w:rPr>
          <w:rFonts w:asciiTheme="minorHAnsi" w:hAnsiTheme="minorHAnsi" w:cs="Calibri Light"/>
          <w:b/>
          <w:bCs/>
          <w:spacing w:val="2"/>
        </w:rPr>
        <w:t>documentation cadastrale</w:t>
      </w:r>
      <w:r w:rsidR="000E6D3E" w:rsidRPr="008D7EB7">
        <w:rPr>
          <w:rFonts w:asciiTheme="minorHAnsi" w:hAnsiTheme="minorHAnsi" w:cs="Calibri Light"/>
          <w:b/>
          <w:bCs/>
          <w:spacing w:val="2"/>
        </w:rPr>
        <w:t xml:space="preserve">. </w:t>
      </w:r>
      <w:r w:rsidR="00927C5A" w:rsidRPr="008D7EB7">
        <w:rPr>
          <w:rFonts w:asciiTheme="minorHAnsi" w:hAnsiTheme="minorHAnsi" w:cs="Calibri Light"/>
          <w:b/>
          <w:bCs/>
          <w:spacing w:val="2"/>
        </w:rPr>
        <w:t>Les communes doivent prendre conscience que la mise à jour des matrices cadastrales apportera, sans modification de taux, une plus-value à leurs recettes fiscales.</w:t>
      </w:r>
    </w:p>
    <w:p w14:paraId="24DA050F" w14:textId="25AAC31F" w:rsidR="009B153C" w:rsidRPr="008D7EB7" w:rsidRDefault="009B153C" w:rsidP="0094525A">
      <w:pPr>
        <w:spacing w:before="120" w:after="240"/>
        <w:jc w:val="both"/>
        <w:textAlignment w:val="baseline"/>
        <w:rPr>
          <w:rFonts w:asciiTheme="minorHAnsi" w:hAnsiTheme="minorHAnsi" w:cs="Calibri Light"/>
          <w:b/>
          <w:bCs/>
          <w:spacing w:val="3"/>
        </w:rPr>
      </w:pPr>
      <w:r w:rsidRPr="008D7EB7">
        <w:rPr>
          <w:rFonts w:asciiTheme="minorHAnsi" w:hAnsiTheme="minorHAnsi" w:cs="Calibri Light"/>
          <w:b/>
          <w:bCs/>
          <w:spacing w:val="3"/>
        </w:rPr>
        <w:t>Je tiens à ce sujet à rappeler que</w:t>
      </w:r>
      <w:r w:rsidR="003B0044" w:rsidRPr="008D7EB7">
        <w:rPr>
          <w:rFonts w:asciiTheme="minorHAnsi" w:hAnsiTheme="minorHAnsi" w:cs="Calibri Light"/>
          <w:b/>
          <w:bCs/>
          <w:spacing w:val="3"/>
        </w:rPr>
        <w:t xml:space="preserve"> </w:t>
      </w:r>
      <w:r w:rsidRPr="008D7EB7">
        <w:rPr>
          <w:rFonts w:asciiTheme="minorHAnsi" w:hAnsiTheme="minorHAnsi" w:cs="Calibri Light"/>
          <w:b/>
          <w:bCs/>
          <w:spacing w:val="3"/>
        </w:rPr>
        <w:t xml:space="preserve">le bourgmestre de chaque commune </w:t>
      </w:r>
      <w:r w:rsidR="00624235">
        <w:rPr>
          <w:rFonts w:asciiTheme="minorHAnsi" w:hAnsiTheme="minorHAnsi" w:cs="Calibri Light"/>
          <w:b/>
          <w:bCs/>
          <w:spacing w:val="3"/>
        </w:rPr>
        <w:t xml:space="preserve">doit </w:t>
      </w:r>
      <w:r w:rsidRPr="008D7EB7">
        <w:rPr>
          <w:rFonts w:asciiTheme="minorHAnsi" w:hAnsiTheme="minorHAnsi" w:cs="Calibri Light"/>
          <w:b/>
          <w:bCs/>
          <w:spacing w:val="3"/>
        </w:rPr>
        <w:t>désigne</w:t>
      </w:r>
      <w:r w:rsidR="00624235">
        <w:rPr>
          <w:rFonts w:asciiTheme="minorHAnsi" w:hAnsiTheme="minorHAnsi" w:cs="Calibri Light"/>
          <w:b/>
          <w:bCs/>
          <w:spacing w:val="3"/>
        </w:rPr>
        <w:t>r</w:t>
      </w:r>
      <w:r w:rsidRPr="008D7EB7">
        <w:rPr>
          <w:rFonts w:asciiTheme="minorHAnsi" w:hAnsiTheme="minorHAnsi" w:cs="Calibri Light"/>
          <w:b/>
          <w:bCs/>
          <w:spacing w:val="3"/>
        </w:rPr>
        <w:t xml:space="preserve"> un indicateur-expert qui est tenu de participer aux expertises des immeubles, de concert avec le représentant de l'Administration du cadastre, et d'approuver et contresigner le procès-verbal des expertises, dressé par ledit représentant de l'Administration du cadastre.</w:t>
      </w:r>
    </w:p>
    <w:p w14:paraId="5B00CFB0" w14:textId="77777777" w:rsidR="009B153C" w:rsidRPr="00DA6BD2" w:rsidRDefault="009B153C" w:rsidP="0094525A">
      <w:pPr>
        <w:spacing w:before="120" w:after="240"/>
        <w:jc w:val="both"/>
        <w:textAlignment w:val="baseline"/>
        <w:rPr>
          <w:rFonts w:asciiTheme="minorHAnsi" w:hAnsiTheme="minorHAnsi" w:cs="Calibri Light"/>
          <w:spacing w:val="2"/>
        </w:rPr>
      </w:pPr>
      <w:r w:rsidRPr="00DA6BD2">
        <w:rPr>
          <w:rFonts w:asciiTheme="minorHAnsi" w:hAnsiTheme="minorHAnsi" w:cs="Calibri Light"/>
          <w:spacing w:val="2"/>
        </w:rPr>
        <w:t>Pour la mise à jour annuelle des documents cadastraux, les agents de l'Administration du cadastre sont amenés à visiter les immeubles repris aux inscriptions des listes 220 afin d'examiner si les nouvelles constructions prévues sont déjà occupées ou si les travaux de transformation, d'agrandissement et de démolition sont terminés. Or, beaucoup de ces visites sur place sont prématurées car les nouvelles constructions et transformations ne sont pas terminées et/ou pas occupées.</w:t>
      </w:r>
    </w:p>
    <w:p w14:paraId="492C7877" w14:textId="77777777" w:rsidR="009B153C" w:rsidRPr="00DA6BD2" w:rsidRDefault="009B153C" w:rsidP="00E063FD">
      <w:pPr>
        <w:spacing w:before="120"/>
        <w:jc w:val="both"/>
        <w:textAlignment w:val="baseline"/>
        <w:rPr>
          <w:rFonts w:asciiTheme="minorHAnsi" w:hAnsiTheme="minorHAnsi" w:cs="Calibri Light"/>
          <w:strike/>
        </w:rPr>
      </w:pPr>
      <w:r w:rsidRPr="00DA6BD2">
        <w:rPr>
          <w:rFonts w:asciiTheme="minorHAnsi" w:hAnsiTheme="minorHAnsi" w:cs="Calibri Light"/>
        </w:rPr>
        <w:t xml:space="preserve">C'est pourquoi, une collaboration plus efficace de la part des communes, via leur indicateur-expert, semble nécessaire dans l'intérêt même des communes qui sont les principales bénéficiaires des recettes du précompte immobilier.  </w:t>
      </w:r>
    </w:p>
    <w:p w14:paraId="336A7BB7" w14:textId="04E00144" w:rsidR="00CC25F0" w:rsidRDefault="00CC25F0" w:rsidP="00E063FD">
      <w:pPr>
        <w:spacing w:before="120"/>
        <w:jc w:val="both"/>
        <w:textAlignment w:val="baseline"/>
        <w:rPr>
          <w:rFonts w:asciiTheme="minorHAnsi" w:hAnsiTheme="minorHAnsi" w:cs="Calibri Light"/>
        </w:rPr>
      </w:pPr>
    </w:p>
    <w:p w14:paraId="209D459A" w14:textId="4C83EBC1" w:rsidR="0094525A" w:rsidRDefault="0094525A" w:rsidP="00E063FD">
      <w:pPr>
        <w:spacing w:before="120"/>
        <w:jc w:val="both"/>
        <w:textAlignment w:val="baseline"/>
        <w:rPr>
          <w:rFonts w:asciiTheme="minorHAnsi" w:hAnsiTheme="minorHAnsi" w:cs="Calibri Light"/>
        </w:rPr>
      </w:pPr>
    </w:p>
    <w:p w14:paraId="7BF81789" w14:textId="35A76004" w:rsidR="0094525A" w:rsidRDefault="0094525A" w:rsidP="00E063FD">
      <w:pPr>
        <w:spacing w:before="120"/>
        <w:jc w:val="both"/>
        <w:textAlignment w:val="baseline"/>
        <w:rPr>
          <w:rFonts w:asciiTheme="minorHAnsi" w:hAnsiTheme="minorHAnsi" w:cs="Calibri Light"/>
        </w:rPr>
      </w:pPr>
    </w:p>
    <w:p w14:paraId="711B589C" w14:textId="79C69254" w:rsidR="0094525A" w:rsidRDefault="0094525A" w:rsidP="00E063FD">
      <w:pPr>
        <w:spacing w:before="120"/>
        <w:jc w:val="both"/>
        <w:textAlignment w:val="baseline"/>
        <w:rPr>
          <w:rFonts w:asciiTheme="minorHAnsi" w:hAnsiTheme="minorHAnsi" w:cs="Calibri Light"/>
        </w:rPr>
      </w:pPr>
    </w:p>
    <w:p w14:paraId="51E8A105" w14:textId="77777777" w:rsidR="0094525A" w:rsidRPr="0094525A" w:rsidRDefault="0094525A" w:rsidP="00E063FD">
      <w:pPr>
        <w:spacing w:before="120"/>
        <w:jc w:val="both"/>
        <w:textAlignment w:val="baseline"/>
        <w:rPr>
          <w:rFonts w:asciiTheme="minorHAnsi" w:hAnsiTheme="minorHAnsi" w:cs="Calibri Light"/>
          <w:sz w:val="2"/>
          <w:szCs w:val="2"/>
        </w:rPr>
      </w:pPr>
    </w:p>
    <w:p w14:paraId="6BC06BB9" w14:textId="77777777" w:rsidR="00705A12" w:rsidRDefault="009B153C" w:rsidP="00256E9F">
      <w:pPr>
        <w:pStyle w:val="Sam3"/>
      </w:pPr>
      <w:bookmarkStart w:id="8798" w:name="_Toc74557826"/>
      <w:bookmarkStart w:id="8799" w:name="_Hlk39073844"/>
      <w:bookmarkStart w:id="8800" w:name="_Toc512525553"/>
      <w:bookmarkStart w:id="8801" w:name="_Toc515896865"/>
      <w:r w:rsidRPr="00DA6BD2">
        <w:lastRenderedPageBreak/>
        <w:t>040/372-01 : Personnes physiques</w:t>
      </w:r>
      <w:bookmarkEnd w:id="8798"/>
      <w:r w:rsidRPr="00DA6BD2">
        <w:t xml:space="preserve"> </w:t>
      </w:r>
    </w:p>
    <w:bookmarkEnd w:id="8799"/>
    <w:p w14:paraId="4FF192B7" w14:textId="371E03D7" w:rsidR="009B153C" w:rsidRPr="00575B2A" w:rsidRDefault="00705A12" w:rsidP="00256E9F">
      <w:pPr>
        <w:spacing w:before="120"/>
      </w:pPr>
      <w:r w:rsidRPr="00A03E6A">
        <w:t>T</w:t>
      </w:r>
      <w:r w:rsidR="009B153C" w:rsidRPr="003F0B7B">
        <w:t>ax</w:t>
      </w:r>
      <w:r w:rsidR="009B153C" w:rsidRPr="00E9189F">
        <w:t>e directe</w:t>
      </w:r>
      <w:r w:rsidRPr="00EC0561">
        <w:t>.</w:t>
      </w:r>
      <w:bookmarkEnd w:id="8800"/>
      <w:bookmarkEnd w:id="8801"/>
    </w:p>
    <w:p w14:paraId="01964FB9" w14:textId="77777777" w:rsidR="009B153C" w:rsidRPr="00256E9F" w:rsidRDefault="009B153C" w:rsidP="00256E9F">
      <w:pPr>
        <w:spacing w:before="120"/>
        <w:rPr>
          <w:rFonts w:asciiTheme="minorHAnsi" w:hAnsiTheme="minorHAnsi" w:cs="Calibri Light"/>
          <w:b/>
          <w:bCs/>
          <w:spacing w:val="-1"/>
        </w:rPr>
      </w:pPr>
      <w:r w:rsidRPr="00DA6BD2">
        <w:rPr>
          <w:rFonts w:asciiTheme="minorHAnsi" w:hAnsiTheme="minorHAnsi" w:cs="Calibri Light"/>
          <w:spacing w:val="-1"/>
        </w:rPr>
        <w:t xml:space="preserve">Taux maximum </w:t>
      </w:r>
      <w:r w:rsidRPr="00256E9F">
        <w:t>recommandé</w:t>
      </w:r>
      <w:r w:rsidRPr="00DA6BD2">
        <w:rPr>
          <w:rFonts w:asciiTheme="minorHAnsi" w:hAnsiTheme="minorHAnsi" w:cs="Calibri Light"/>
          <w:spacing w:val="-1"/>
        </w:rPr>
        <w:t xml:space="preserve"> : </w:t>
      </w:r>
      <w:r w:rsidRPr="00256E9F">
        <w:rPr>
          <w:rFonts w:asciiTheme="minorHAnsi" w:hAnsiTheme="minorHAnsi" w:cs="Calibri Light"/>
          <w:b/>
          <w:bCs/>
          <w:spacing w:val="-1"/>
        </w:rPr>
        <w:t>8,8 %</w:t>
      </w:r>
    </w:p>
    <w:p w14:paraId="7E7D2C7E" w14:textId="4B13531D" w:rsidR="00E63DA5" w:rsidRPr="00671240" w:rsidRDefault="00E63DA5" w:rsidP="00E63DA5">
      <w:pPr>
        <w:spacing w:before="120"/>
        <w:jc w:val="both"/>
        <w:textAlignment w:val="baseline"/>
        <w:rPr>
          <w:rFonts w:asciiTheme="minorHAnsi" w:hAnsiTheme="minorHAnsi"/>
        </w:rPr>
      </w:pPr>
      <w:r w:rsidRPr="00671240">
        <w:rPr>
          <w:rFonts w:asciiTheme="minorHAnsi" w:hAnsiTheme="minorHAnsi"/>
        </w:rPr>
        <w:t xml:space="preserve">Les </w:t>
      </w:r>
      <w:r w:rsidR="009C24FA">
        <w:rPr>
          <w:rFonts w:asciiTheme="minorHAnsi" w:hAnsiTheme="minorHAnsi"/>
        </w:rPr>
        <w:t>c</w:t>
      </w:r>
      <w:r w:rsidRPr="00671240">
        <w:rPr>
          <w:rFonts w:asciiTheme="minorHAnsi" w:hAnsiTheme="minorHAnsi"/>
        </w:rPr>
        <w:t>ommunes qui souhaitent prévoir un taux supérieur à ce plafond devront motiver spécifiquement leur décision et ne pourront se contenter d’invoquer la nécessité d'équilibrer le budget à l'exercice propre</w:t>
      </w:r>
      <w:r w:rsidR="00A62E25">
        <w:rPr>
          <w:rFonts w:asciiTheme="minorHAnsi" w:hAnsiTheme="minorHAnsi"/>
        </w:rPr>
        <w:t>, compte tenu par ailleurs que les règles budgétaires d’équilibre sont modifiées pour les exercices</w:t>
      </w:r>
      <w:r w:rsidR="00BF7E2A">
        <w:rPr>
          <w:rFonts w:asciiTheme="minorHAnsi" w:hAnsiTheme="minorHAnsi"/>
        </w:rPr>
        <w:t xml:space="preserve"> </w:t>
      </w:r>
      <w:r w:rsidR="00BF7E2A" w:rsidRPr="00BF7E2A">
        <w:rPr>
          <w:rFonts w:asciiTheme="minorHAnsi" w:hAnsiTheme="minorHAnsi"/>
        </w:rPr>
        <w:t>2020</w:t>
      </w:r>
      <w:r w:rsidR="0006327F">
        <w:rPr>
          <w:rFonts w:asciiTheme="minorHAnsi" w:hAnsiTheme="minorHAnsi"/>
        </w:rPr>
        <w:t xml:space="preserve"> et</w:t>
      </w:r>
      <w:r w:rsidR="00BF7E2A" w:rsidRPr="00BF7E2A">
        <w:rPr>
          <w:rFonts w:asciiTheme="minorHAnsi" w:hAnsiTheme="minorHAnsi"/>
        </w:rPr>
        <w:t xml:space="preserve"> 2021</w:t>
      </w:r>
      <w:r w:rsidR="001044C0" w:rsidRPr="00BF7E2A">
        <w:rPr>
          <w:rFonts w:asciiTheme="minorHAnsi" w:hAnsiTheme="minorHAnsi"/>
        </w:rPr>
        <w:t xml:space="preserve"> (</w:t>
      </w:r>
      <w:r w:rsidR="00BF7E2A" w:rsidRPr="00BF7E2A">
        <w:rPr>
          <w:rFonts w:asciiTheme="minorHAnsi" w:hAnsiTheme="minorHAnsi"/>
        </w:rPr>
        <w:t>cf. points I.7 et II.2).</w:t>
      </w:r>
    </w:p>
    <w:p w14:paraId="1653B0A6"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Les communes inscriront à leur budget le montant communiqué par le SPF Finances.</w:t>
      </w:r>
    </w:p>
    <w:p w14:paraId="23AC8EB9" w14:textId="77777777"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 xml:space="preserve">Lorsqu'une commune modifie son taux d'imposition au moment de l'examen du projet de budget où figure une prévision formée sur une première estimation fournie par le </w:t>
      </w:r>
      <w:r w:rsidR="003B0044">
        <w:rPr>
          <w:rFonts w:asciiTheme="minorHAnsi" w:hAnsiTheme="minorHAnsi" w:cs="Calibri Light"/>
        </w:rPr>
        <w:t>SPF</w:t>
      </w:r>
      <w:r w:rsidRPr="00DA6BD2">
        <w:rPr>
          <w:rFonts w:asciiTheme="minorHAnsi" w:hAnsiTheme="minorHAnsi" w:cs="Calibri Light"/>
        </w:rPr>
        <w:t xml:space="preserve"> Finances sur base d'un taux initial inférieur à celui modifié, il convient de solliciter une nouvelle estimation liée au nouveau taux envisagé. La prévision de recettes à porter au budget ne peut pas être évaluée en pratiquant une règle de trois basée sur la première estimation des Finances.</w:t>
      </w:r>
    </w:p>
    <w:p w14:paraId="65E68E75" w14:textId="3E5B3263"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L'article 468 du Code des Impôts sur les revenus permet aux communes de fixer un pourcentage de l'impôt dû à l'Etat comprenant une fraction limitée à une décimale.</w:t>
      </w:r>
    </w:p>
    <w:p w14:paraId="58F3FD10" w14:textId="00A1D262" w:rsidR="009B153C" w:rsidRPr="004F5CEF"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Concernant l'IPP</w:t>
      </w:r>
      <w:r w:rsidRPr="004F5CEF">
        <w:rPr>
          <w:rFonts w:asciiTheme="minorHAnsi" w:hAnsiTheme="minorHAnsi" w:cs="Calibri Light"/>
        </w:rPr>
        <w:t xml:space="preserve">, il ne fait aucun doute qu'en vertu de l'article 360 du </w:t>
      </w:r>
      <w:r w:rsidR="009A56F6">
        <w:rPr>
          <w:rFonts w:asciiTheme="minorHAnsi" w:hAnsiTheme="minorHAnsi" w:cs="Calibri Light"/>
        </w:rPr>
        <w:t>code des impôts sur les revenus</w:t>
      </w:r>
      <w:r w:rsidRPr="004F5CEF">
        <w:rPr>
          <w:rFonts w:asciiTheme="minorHAnsi" w:hAnsiTheme="minorHAnsi" w:cs="Calibri Light"/>
        </w:rPr>
        <w:t xml:space="preserve">, une taxe additionnelle votée par une commune pour l'exercice </w:t>
      </w:r>
      <w:r w:rsidR="008353A6">
        <w:rPr>
          <w:rFonts w:asciiTheme="minorHAnsi" w:hAnsiTheme="minorHAnsi" w:cs="Calibri Light"/>
        </w:rPr>
        <w:t>2023</w:t>
      </w:r>
      <w:r w:rsidR="008353A6" w:rsidRPr="004F5CEF">
        <w:rPr>
          <w:rFonts w:asciiTheme="minorHAnsi" w:hAnsiTheme="minorHAnsi" w:cs="Calibri Light"/>
        </w:rPr>
        <w:t xml:space="preserve"> </w:t>
      </w:r>
      <w:r w:rsidRPr="004F5CEF">
        <w:rPr>
          <w:rFonts w:asciiTheme="minorHAnsi" w:hAnsiTheme="minorHAnsi" w:cs="Calibri Light"/>
        </w:rPr>
        <w:t xml:space="preserve">frappe d'office les revenus recueillis par le contribuable en </w:t>
      </w:r>
      <w:r w:rsidR="008353A6">
        <w:rPr>
          <w:rFonts w:asciiTheme="minorHAnsi" w:hAnsiTheme="minorHAnsi" w:cs="Calibri Light"/>
        </w:rPr>
        <w:t>2022</w:t>
      </w:r>
      <w:r w:rsidRPr="004F5CEF">
        <w:rPr>
          <w:rFonts w:asciiTheme="minorHAnsi" w:hAnsiTheme="minorHAnsi" w:cs="Calibri Light"/>
        </w:rPr>
        <w:t xml:space="preserve">, sans que la commune puisse, au moment où elle vote sa taxe additionnelle pour l'exercice </w:t>
      </w:r>
      <w:r w:rsidR="008353A6">
        <w:rPr>
          <w:rFonts w:asciiTheme="minorHAnsi" w:hAnsiTheme="minorHAnsi" w:cs="Calibri Light"/>
        </w:rPr>
        <w:t>2023</w:t>
      </w:r>
      <w:r w:rsidRPr="004F5CEF">
        <w:rPr>
          <w:rFonts w:asciiTheme="minorHAnsi" w:hAnsiTheme="minorHAnsi" w:cs="Calibri Light"/>
        </w:rPr>
        <w:t xml:space="preserve">, décider de la faire porter sur les revenus </w:t>
      </w:r>
      <w:r w:rsidR="008353A6">
        <w:rPr>
          <w:rFonts w:asciiTheme="minorHAnsi" w:hAnsiTheme="minorHAnsi" w:cs="Calibri Light"/>
        </w:rPr>
        <w:t>2023</w:t>
      </w:r>
      <w:r w:rsidRPr="004F5CEF">
        <w:rPr>
          <w:rFonts w:asciiTheme="minorHAnsi" w:hAnsiTheme="minorHAnsi" w:cs="Calibri Light"/>
        </w:rPr>
        <w:t>.</w:t>
      </w:r>
    </w:p>
    <w:p w14:paraId="2340317F" w14:textId="38DEF02C" w:rsidR="009B153C" w:rsidRPr="00DA6BD2" w:rsidRDefault="009B153C" w:rsidP="00E063FD">
      <w:pPr>
        <w:spacing w:before="120"/>
        <w:jc w:val="both"/>
        <w:textAlignment w:val="baseline"/>
        <w:rPr>
          <w:rFonts w:asciiTheme="minorHAnsi" w:hAnsiTheme="minorHAnsi" w:cs="Calibri Light"/>
        </w:rPr>
      </w:pPr>
      <w:r w:rsidRPr="004F5CEF">
        <w:rPr>
          <w:rFonts w:asciiTheme="minorHAnsi" w:hAnsiTheme="minorHAnsi" w:cs="Calibri Light"/>
        </w:rPr>
        <w:t xml:space="preserve">Ainsi donc, une augmentation du taux de la taxe additionnelle à l'IPP décidée par une commune pour l'exercice </w:t>
      </w:r>
      <w:r w:rsidR="008353A6">
        <w:rPr>
          <w:rFonts w:asciiTheme="minorHAnsi" w:hAnsiTheme="minorHAnsi" w:cs="Calibri Light"/>
        </w:rPr>
        <w:t>2023</w:t>
      </w:r>
      <w:r w:rsidR="008353A6" w:rsidRPr="004F5CEF">
        <w:rPr>
          <w:rFonts w:asciiTheme="minorHAnsi" w:hAnsiTheme="minorHAnsi" w:cs="Calibri Light"/>
        </w:rPr>
        <w:t xml:space="preserve"> </w:t>
      </w:r>
      <w:r w:rsidRPr="004F5CEF">
        <w:rPr>
          <w:rFonts w:asciiTheme="minorHAnsi" w:hAnsiTheme="minorHAnsi" w:cs="Calibri Light"/>
        </w:rPr>
        <w:t xml:space="preserve">trouve à s'appliquer aux revenus recueillis par le redevable en </w:t>
      </w:r>
      <w:r w:rsidR="008353A6">
        <w:rPr>
          <w:rFonts w:asciiTheme="minorHAnsi" w:hAnsiTheme="minorHAnsi" w:cs="Calibri Light"/>
        </w:rPr>
        <w:t>2022</w:t>
      </w:r>
      <w:r w:rsidRPr="004F5CEF">
        <w:rPr>
          <w:rFonts w:asciiTheme="minorHAnsi" w:hAnsiTheme="minorHAnsi" w:cs="Calibri Light"/>
        </w:rPr>
        <w:t>.</w:t>
      </w:r>
    </w:p>
    <w:p w14:paraId="70B79114" w14:textId="7B06C303" w:rsidR="004F5CEF" w:rsidRDefault="00CC25F0" w:rsidP="00E063FD">
      <w:pPr>
        <w:spacing w:before="120"/>
        <w:jc w:val="both"/>
        <w:textAlignment w:val="baseline"/>
        <w:rPr>
          <w:rFonts w:asciiTheme="minorHAnsi" w:hAnsiTheme="minorHAnsi" w:cs="Calibri Light"/>
        </w:rPr>
      </w:pPr>
      <w:r>
        <w:rPr>
          <w:rFonts w:asciiTheme="minorHAnsi" w:hAnsiTheme="minorHAnsi" w:cs="Calibri Light"/>
          <w:spacing w:val="-1"/>
        </w:rPr>
        <w:t>L</w:t>
      </w:r>
      <w:r w:rsidR="009968A7">
        <w:rPr>
          <w:rFonts w:asciiTheme="minorHAnsi" w:hAnsiTheme="minorHAnsi" w:cs="Calibri Light"/>
          <w:spacing w:val="-1"/>
        </w:rPr>
        <w:t>e règlement-taxe doit entrer en vigueur avant le 31 janvier de l’exercice d’imposition</w:t>
      </w:r>
      <w:r w:rsidR="00AD26A2">
        <w:rPr>
          <w:rFonts w:asciiTheme="minorHAnsi" w:hAnsiTheme="minorHAnsi" w:cs="Calibri Light"/>
          <w:spacing w:val="-1"/>
        </w:rPr>
        <w:t>, sous peine de voir la taxe enrôlée sur base du taux de l’exercice précédent.</w:t>
      </w:r>
    </w:p>
    <w:p w14:paraId="4D459218" w14:textId="77777777" w:rsidR="009968A7" w:rsidRDefault="00F83948" w:rsidP="009968A7">
      <w:pPr>
        <w:spacing w:before="120"/>
        <w:jc w:val="both"/>
        <w:textAlignment w:val="baseline"/>
        <w:rPr>
          <w:rFonts w:asciiTheme="minorHAnsi" w:hAnsiTheme="minorHAnsi" w:cs="Calibri Light"/>
        </w:rPr>
      </w:pPr>
      <w:r>
        <w:rPr>
          <w:rFonts w:asciiTheme="minorHAnsi" w:hAnsiTheme="minorHAnsi" w:cs="Calibri Light"/>
        </w:rPr>
        <w:t>L</w:t>
      </w:r>
      <w:r w:rsidR="009B153C" w:rsidRPr="00DA6BD2">
        <w:rPr>
          <w:rFonts w:asciiTheme="minorHAnsi" w:hAnsiTheme="minorHAnsi" w:cs="Calibri Light"/>
        </w:rPr>
        <w:t xml:space="preserve">es taxes additionnelles sont soumises à la tutelle générale d'annulation avec transmission obligatoire — dans les 15 jours — au Gouvernement wallon. </w:t>
      </w:r>
    </w:p>
    <w:p w14:paraId="010276DE" w14:textId="77777777" w:rsidR="009968A7" w:rsidRPr="00DA6BD2" w:rsidRDefault="009968A7" w:rsidP="009968A7">
      <w:pPr>
        <w:spacing w:before="120"/>
        <w:jc w:val="both"/>
        <w:textAlignment w:val="baseline"/>
        <w:rPr>
          <w:rFonts w:asciiTheme="minorHAnsi" w:hAnsiTheme="minorHAnsi" w:cs="Calibri Light"/>
        </w:rPr>
      </w:pPr>
      <w:r w:rsidRPr="00DA6BD2">
        <w:rPr>
          <w:rFonts w:asciiTheme="minorHAnsi" w:hAnsiTheme="minorHAnsi" w:cs="Calibri Light"/>
        </w:rPr>
        <w:t>Ainsi, les décisions concernées peuvent être publiées conformément aux articles L 1133-1 à 3 du CDLD dès leur adoption par le Conseil communal mais ne peuvent être mises à exécution avant d'avoir été transmises au Gouvernement wallon.</w:t>
      </w:r>
    </w:p>
    <w:p w14:paraId="5696D573" w14:textId="6BC201C2"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Puisque les taxes additionnelles sont désormais soumises à une tutelle différente des autres règlements-taxes, je vous invite vivement à transmettre ce type de dossier de manière distincte par rapport aux autres règlements fiscaux.</w:t>
      </w:r>
    </w:p>
    <w:p w14:paraId="0CCA5ED3" w14:textId="77777777" w:rsidR="00CC25F0" w:rsidRPr="00DA6BD2" w:rsidRDefault="00CC25F0" w:rsidP="00E063FD">
      <w:pPr>
        <w:spacing w:before="120"/>
        <w:jc w:val="both"/>
        <w:textAlignment w:val="baseline"/>
        <w:rPr>
          <w:rFonts w:asciiTheme="minorHAnsi" w:hAnsiTheme="minorHAnsi" w:cs="Calibri Light"/>
        </w:rPr>
      </w:pPr>
    </w:p>
    <w:p w14:paraId="73877C76" w14:textId="77777777" w:rsidR="009B153C" w:rsidRPr="00DA6BD2" w:rsidRDefault="009B153C" w:rsidP="00256E9F">
      <w:pPr>
        <w:pStyle w:val="Sam3"/>
      </w:pPr>
      <w:bookmarkStart w:id="8802" w:name="_Toc516245199"/>
      <w:bookmarkStart w:id="8803" w:name="_Toc516473770"/>
      <w:bookmarkStart w:id="8804" w:name="_Toc516474080"/>
      <w:bookmarkStart w:id="8805" w:name="_Toc516474388"/>
      <w:bookmarkStart w:id="8806" w:name="_Toc516474696"/>
      <w:bookmarkStart w:id="8807" w:name="_Toc516475028"/>
      <w:bookmarkStart w:id="8808" w:name="_Toc516479126"/>
      <w:bookmarkStart w:id="8809" w:name="_Toc516479527"/>
      <w:bookmarkStart w:id="8810" w:name="_Toc516479844"/>
      <w:bookmarkStart w:id="8811" w:name="_Toc516480166"/>
      <w:bookmarkStart w:id="8812" w:name="_Toc516480480"/>
      <w:bookmarkStart w:id="8813" w:name="_Toc516480794"/>
      <w:bookmarkStart w:id="8814" w:name="_Toc516481108"/>
      <w:bookmarkStart w:id="8815" w:name="_Toc516481422"/>
      <w:bookmarkStart w:id="8816" w:name="_Toc516481736"/>
      <w:bookmarkStart w:id="8817" w:name="_Toc516482050"/>
      <w:bookmarkStart w:id="8818" w:name="_Toc516482364"/>
      <w:bookmarkStart w:id="8819" w:name="_Toc516482678"/>
      <w:bookmarkStart w:id="8820" w:name="_Toc516740032"/>
      <w:bookmarkStart w:id="8821" w:name="_Toc516751941"/>
      <w:bookmarkStart w:id="8822" w:name="_Toc516826029"/>
      <w:bookmarkStart w:id="8823" w:name="_Toc516826587"/>
      <w:bookmarkStart w:id="8824" w:name="_Toc516837907"/>
      <w:bookmarkStart w:id="8825" w:name="_Toc516838466"/>
      <w:bookmarkStart w:id="8826" w:name="_Toc516839025"/>
      <w:bookmarkStart w:id="8827" w:name="_Toc516839585"/>
      <w:bookmarkStart w:id="8828" w:name="_Toc517173681"/>
      <w:bookmarkStart w:id="8829" w:name="_Toc517175355"/>
      <w:bookmarkStart w:id="8830" w:name="_Toc517175942"/>
      <w:bookmarkStart w:id="8831" w:name="_Toc517176530"/>
      <w:bookmarkStart w:id="8832" w:name="_Toc517337855"/>
      <w:bookmarkStart w:id="8833" w:name="_Toc517360651"/>
      <w:bookmarkStart w:id="8834" w:name="_Toc512525554"/>
      <w:bookmarkStart w:id="8835" w:name="_Toc515896866"/>
      <w:bookmarkStart w:id="8836" w:name="_Toc74557827"/>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r w:rsidRPr="00DA6BD2">
        <w:t>040/373-01 : Véhicules automobiles</w:t>
      </w:r>
      <w:bookmarkEnd w:id="8834"/>
      <w:bookmarkEnd w:id="8835"/>
      <w:bookmarkEnd w:id="8836"/>
    </w:p>
    <w:p w14:paraId="2FBE9E73" w14:textId="5BE8B359" w:rsidR="000779C1" w:rsidRDefault="009B153C" w:rsidP="00E063FD">
      <w:pPr>
        <w:spacing w:before="120"/>
        <w:jc w:val="both"/>
        <w:textAlignment w:val="baseline"/>
        <w:rPr>
          <w:rFonts w:asciiTheme="minorHAnsi" w:hAnsiTheme="minorHAnsi" w:cs="Calibri Light"/>
        </w:rPr>
      </w:pPr>
      <w:bookmarkStart w:id="8837" w:name="_Hlk103786794"/>
      <w:r w:rsidRPr="00DA6BD2">
        <w:rPr>
          <w:rFonts w:asciiTheme="minorHAnsi" w:hAnsiTheme="minorHAnsi" w:cs="Calibri Light"/>
        </w:rPr>
        <w:t xml:space="preserve">Jusqu'à présent, les communes reçoivent d'office un décime additionnel à la taxe de circulation sur les véhicules automobiles. </w:t>
      </w:r>
    </w:p>
    <w:p w14:paraId="3ED164B0" w14:textId="611A1C80" w:rsidR="009B153C" w:rsidRPr="00DA6BD2"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t>Depuis le 1</w:t>
      </w:r>
      <w:r w:rsidRPr="00DA6BD2">
        <w:rPr>
          <w:rFonts w:asciiTheme="minorHAnsi" w:hAnsiTheme="minorHAnsi" w:cs="Calibri Light"/>
          <w:vertAlign w:val="superscript"/>
        </w:rPr>
        <w:t>er</w:t>
      </w:r>
      <w:r w:rsidRPr="00DA6BD2">
        <w:rPr>
          <w:rFonts w:asciiTheme="minorHAnsi" w:hAnsiTheme="minorHAnsi" w:cs="Calibri Light"/>
        </w:rPr>
        <w:t xml:space="preserve"> janvier 2014, c'est </w:t>
      </w:r>
      <w:r w:rsidR="00E1047D">
        <w:rPr>
          <w:rFonts w:asciiTheme="minorHAnsi" w:hAnsiTheme="minorHAnsi" w:cs="Calibri Light"/>
        </w:rPr>
        <w:t xml:space="preserve">la </w:t>
      </w:r>
      <w:r w:rsidRPr="00DA6BD2">
        <w:rPr>
          <w:rFonts w:asciiTheme="minorHAnsi" w:hAnsiTheme="minorHAnsi" w:cs="Calibri Light"/>
        </w:rPr>
        <w:t xml:space="preserve">DGO7 </w:t>
      </w:r>
      <w:r w:rsidR="000779C1">
        <w:rPr>
          <w:rFonts w:asciiTheme="minorHAnsi" w:hAnsiTheme="minorHAnsi" w:cs="Calibri Light"/>
        </w:rPr>
        <w:t>du SPW</w:t>
      </w:r>
      <w:r w:rsidRPr="00DA6BD2">
        <w:rPr>
          <w:rFonts w:asciiTheme="minorHAnsi" w:hAnsiTheme="minorHAnsi" w:cs="Calibri Light"/>
        </w:rPr>
        <w:t xml:space="preserve"> qui perçoit cette taxe et versera ce décime aux communes. </w:t>
      </w:r>
    </w:p>
    <w:p w14:paraId="021095A6" w14:textId="0E1D961F" w:rsidR="009B153C" w:rsidRDefault="009B153C" w:rsidP="00E063FD">
      <w:pPr>
        <w:spacing w:before="120"/>
        <w:jc w:val="both"/>
        <w:textAlignment w:val="baseline"/>
        <w:rPr>
          <w:rFonts w:asciiTheme="minorHAnsi" w:hAnsiTheme="minorHAnsi" w:cs="Calibri Light"/>
        </w:rPr>
      </w:pPr>
      <w:r w:rsidRPr="00DA6BD2">
        <w:rPr>
          <w:rFonts w:asciiTheme="minorHAnsi" w:hAnsiTheme="minorHAnsi" w:cs="Calibri Light"/>
        </w:rPr>
        <w:lastRenderedPageBreak/>
        <w:t>Dans le cadre de la législation actuelle, on ne peut concevoir une taxation des véhicules immatriculés à l'étranger.</w:t>
      </w:r>
    </w:p>
    <w:p w14:paraId="5990DAAA" w14:textId="7BC5A523" w:rsidR="00CC25F0" w:rsidRPr="00256E9F" w:rsidRDefault="00CC25F0" w:rsidP="00CC25F0">
      <w:pPr>
        <w:spacing w:before="120"/>
        <w:jc w:val="both"/>
        <w:textAlignment w:val="baseline"/>
        <w:rPr>
          <w:rFonts w:asciiTheme="minorHAnsi" w:hAnsiTheme="minorHAnsi" w:cs="Calibri Light"/>
          <w:b/>
          <w:bCs/>
        </w:rPr>
      </w:pPr>
      <w:r w:rsidRPr="00256E9F">
        <w:rPr>
          <w:rFonts w:asciiTheme="minorHAnsi" w:hAnsiTheme="minorHAnsi" w:cs="Calibri Light"/>
          <w:b/>
          <w:bCs/>
        </w:rPr>
        <w:t>Je rappelle que, concernant le leasing de flotte de véhicules, de fonction ou de service, il existe des effets indirects de la contractualisation avec des sociétés non établies sur le sol wallon.</w:t>
      </w:r>
    </w:p>
    <w:p w14:paraId="6FCADB95" w14:textId="5BB0A45F" w:rsidR="00C531F7" w:rsidRPr="00F915F6" w:rsidRDefault="00CC25F0" w:rsidP="00CC25F0">
      <w:pPr>
        <w:spacing w:before="120"/>
        <w:jc w:val="both"/>
        <w:textAlignment w:val="baseline"/>
        <w:rPr>
          <w:rFonts w:asciiTheme="minorHAnsi" w:hAnsiTheme="minorHAnsi" w:cstheme="minorHAnsi"/>
          <w:lang w:val="fr-BE"/>
        </w:rPr>
      </w:pPr>
      <w:r w:rsidRPr="00F915F6">
        <w:rPr>
          <w:rFonts w:asciiTheme="minorHAnsi" w:hAnsiTheme="minorHAnsi" w:cs="Calibri Light"/>
        </w:rPr>
        <w:t>Pour ces véhicules, la fiscalité (taxe de circulation et de mise en circulation) ainsi que les additionnels communaux y appliqués bénéficie en effet à la Région et aux communes sur le territoire desquelles la société de leasing est établie, en ce compris par conséquent le d</w:t>
      </w:r>
      <w:r w:rsidRPr="00F915F6">
        <w:rPr>
          <w:rFonts w:asciiTheme="minorHAnsi" w:hAnsiTheme="minorHAnsi" w:cstheme="minorHAnsi"/>
        </w:rPr>
        <w:t>écime additionnel</w:t>
      </w:r>
      <w:r w:rsidR="00C531F7" w:rsidRPr="00F915F6">
        <w:rPr>
          <w:rFonts w:asciiTheme="minorHAnsi" w:hAnsiTheme="minorHAnsi" w:cstheme="minorHAnsi"/>
          <w:lang w:val="fr-BE" w:eastAsia="fr-BE"/>
        </w:rPr>
        <w:t xml:space="preserve"> (Article 4 de la </w:t>
      </w:r>
      <w:r w:rsidR="00C531F7" w:rsidRPr="00F915F6">
        <w:rPr>
          <w:rFonts w:asciiTheme="minorHAnsi" w:hAnsiTheme="minorHAnsi" w:cstheme="minorHAnsi"/>
          <w:lang w:val="fr-BE"/>
        </w:rPr>
        <w:t>Loi spéciale du 16 janvier 1989 relative au financement des Communautés et des Régions.)</w:t>
      </w:r>
    </w:p>
    <w:p w14:paraId="2A7C2935" w14:textId="0A078F78" w:rsidR="002B11E2" w:rsidRPr="00F915F6" w:rsidRDefault="002B11E2" w:rsidP="00CC25F0">
      <w:pPr>
        <w:spacing w:before="120"/>
        <w:jc w:val="both"/>
        <w:textAlignment w:val="baseline"/>
        <w:rPr>
          <w:rFonts w:asciiTheme="minorHAnsi" w:hAnsiTheme="minorHAnsi" w:cs="Calibri Light"/>
        </w:rPr>
      </w:pPr>
      <w:r w:rsidRPr="00F915F6">
        <w:rPr>
          <w:rFonts w:asciiTheme="minorHAnsi" w:hAnsiTheme="minorHAnsi" w:cs="Calibri Light"/>
        </w:rPr>
        <w:t>Or, la majorité des sociétés de leasing sont établies en dehors du territoire de la Région wallonne.</w:t>
      </w:r>
    </w:p>
    <w:bookmarkEnd w:id="8837"/>
    <w:p w14:paraId="222E60D6" w14:textId="77777777" w:rsidR="00CC25F0" w:rsidRPr="00F915F6" w:rsidRDefault="00CC25F0" w:rsidP="00E063FD">
      <w:pPr>
        <w:spacing w:before="120"/>
        <w:jc w:val="both"/>
        <w:textAlignment w:val="baseline"/>
        <w:rPr>
          <w:rFonts w:asciiTheme="minorHAnsi" w:hAnsiTheme="minorHAnsi" w:cs="Calibri Light"/>
        </w:rPr>
      </w:pPr>
    </w:p>
    <w:p w14:paraId="5149AF63" w14:textId="77777777" w:rsidR="009B153C" w:rsidRPr="00DA6BD2" w:rsidRDefault="009B153C" w:rsidP="00256E9F">
      <w:pPr>
        <w:pStyle w:val="Sam3"/>
      </w:pPr>
      <w:bookmarkStart w:id="8838" w:name="_Toc512525555"/>
      <w:bookmarkStart w:id="8839" w:name="_Toc515896867"/>
      <w:bookmarkStart w:id="8840" w:name="_Toc74557828"/>
      <w:bookmarkStart w:id="8841" w:name="_Hlk103789214"/>
      <w:r w:rsidRPr="00DA6BD2">
        <w:t>04001/377-01 : Sites d'activité économique désaffectés</w:t>
      </w:r>
      <w:bookmarkEnd w:id="8838"/>
      <w:bookmarkEnd w:id="8839"/>
      <w:bookmarkEnd w:id="8840"/>
    </w:p>
    <w:p w14:paraId="12DA37A5" w14:textId="6E8AE1DF" w:rsidR="000779C1" w:rsidRDefault="009B153C" w:rsidP="00E063FD">
      <w:pPr>
        <w:spacing w:before="120"/>
        <w:jc w:val="both"/>
        <w:textAlignment w:val="baseline"/>
        <w:rPr>
          <w:rFonts w:asciiTheme="minorHAnsi" w:hAnsiTheme="minorHAnsi" w:cs="Calibri Light"/>
        </w:rPr>
      </w:pPr>
      <w:bookmarkStart w:id="8842" w:name="_Hlk102040805"/>
      <w:r w:rsidRPr="00DA6BD2">
        <w:rPr>
          <w:rFonts w:asciiTheme="minorHAnsi" w:hAnsiTheme="minorHAnsi" w:cs="Calibri Light"/>
        </w:rPr>
        <w:t xml:space="preserve">Le décret du 27 mai 2004 instituant une taxe régionale sur les sites d'activité économique désaffectés permet aujourd'hui </w:t>
      </w:r>
      <w:r w:rsidR="00EB22C3">
        <w:rPr>
          <w:rFonts w:asciiTheme="minorHAnsi" w:hAnsiTheme="minorHAnsi" w:cs="Calibri Light"/>
        </w:rPr>
        <w:t xml:space="preserve">à la Région </w:t>
      </w:r>
      <w:r w:rsidRPr="00DA6BD2">
        <w:rPr>
          <w:rFonts w:asciiTheme="minorHAnsi" w:hAnsiTheme="minorHAnsi" w:cs="Calibri Light"/>
        </w:rPr>
        <w:t>de taxer les sites de plus de 1.000 m</w:t>
      </w:r>
      <w:r w:rsidRPr="00DA6BD2">
        <w:rPr>
          <w:rFonts w:asciiTheme="minorHAnsi" w:hAnsiTheme="minorHAnsi" w:cs="Calibri Light"/>
          <w:vertAlign w:val="superscript"/>
        </w:rPr>
        <w:t>2</w:t>
      </w:r>
      <w:r w:rsidRPr="00DA6BD2">
        <w:rPr>
          <w:rFonts w:asciiTheme="minorHAnsi" w:hAnsiTheme="minorHAnsi" w:cs="Calibri Light"/>
        </w:rPr>
        <w:t xml:space="preserve">. </w:t>
      </w:r>
    </w:p>
    <w:p w14:paraId="589574C7" w14:textId="610817CE" w:rsidR="000779C1" w:rsidRDefault="0072135E" w:rsidP="00E063FD">
      <w:pPr>
        <w:spacing w:before="120"/>
        <w:jc w:val="both"/>
        <w:textAlignment w:val="baseline"/>
        <w:rPr>
          <w:rFonts w:asciiTheme="minorHAnsi" w:hAnsiTheme="minorHAnsi" w:cs="Calibri Light"/>
        </w:rPr>
      </w:pPr>
      <w:r>
        <w:rPr>
          <w:rFonts w:asciiTheme="minorHAnsi" w:hAnsiTheme="minorHAnsi" w:cs="Calibri Light"/>
        </w:rPr>
        <w:t xml:space="preserve">Concernant cette taxe régionale, si le décret dispose que </w:t>
      </w:r>
      <w:r w:rsidR="009B153C" w:rsidRPr="00DA6BD2">
        <w:rPr>
          <w:rFonts w:asciiTheme="minorHAnsi" w:hAnsiTheme="minorHAnsi" w:cs="Calibri Light"/>
        </w:rPr>
        <w:t xml:space="preserve">les communes qui participent annuellement au recensement et à la mise à jour de la liste des sites susceptibles d'être concernés par la présente taxe, </w:t>
      </w:r>
      <w:r w:rsidR="004475F1">
        <w:rPr>
          <w:rFonts w:asciiTheme="minorHAnsi" w:hAnsiTheme="minorHAnsi" w:cs="Calibri Light"/>
        </w:rPr>
        <w:t>peuvent</w:t>
      </w:r>
      <w:r w:rsidR="009B153C" w:rsidRPr="00DA6BD2">
        <w:rPr>
          <w:rFonts w:asciiTheme="minorHAnsi" w:hAnsiTheme="minorHAnsi" w:cs="Calibri Light"/>
        </w:rPr>
        <w:t xml:space="preserve"> lever des centimes additionnels à la taxe régionale</w:t>
      </w:r>
      <w:r>
        <w:rPr>
          <w:rFonts w:asciiTheme="minorHAnsi" w:hAnsiTheme="minorHAnsi" w:cs="Calibri Light"/>
        </w:rPr>
        <w:t xml:space="preserve">, </w:t>
      </w:r>
      <w:r w:rsidRPr="0072135E">
        <w:rPr>
          <w:rFonts w:asciiTheme="minorHAnsi" w:hAnsiTheme="minorHAnsi" w:cs="Calibri Light"/>
        </w:rPr>
        <w:t xml:space="preserve">l’opérationnalisation complète du décret, </w:t>
      </w:r>
      <w:r w:rsidR="001516DA">
        <w:rPr>
          <w:rFonts w:asciiTheme="minorHAnsi" w:hAnsiTheme="minorHAnsi" w:cs="Calibri Light"/>
        </w:rPr>
        <w:t>notamment en ce qui concerne</w:t>
      </w:r>
      <w:r w:rsidRPr="0072135E">
        <w:rPr>
          <w:rFonts w:asciiTheme="minorHAnsi" w:hAnsiTheme="minorHAnsi" w:cs="Calibri Light"/>
        </w:rPr>
        <w:t xml:space="preserve"> l’intervention des communes et l’application des additionnels, </w:t>
      </w:r>
      <w:r w:rsidR="001516DA">
        <w:rPr>
          <w:rFonts w:asciiTheme="minorHAnsi" w:hAnsiTheme="minorHAnsi" w:cs="Calibri Light"/>
        </w:rPr>
        <w:t>n’</w:t>
      </w:r>
      <w:r w:rsidRPr="0072135E">
        <w:rPr>
          <w:rFonts w:asciiTheme="minorHAnsi" w:hAnsiTheme="minorHAnsi" w:cs="Calibri Light"/>
        </w:rPr>
        <w:t xml:space="preserve">a </w:t>
      </w:r>
      <w:r w:rsidR="001516DA">
        <w:rPr>
          <w:rFonts w:asciiTheme="minorHAnsi" w:hAnsiTheme="minorHAnsi" w:cs="Calibri Light"/>
        </w:rPr>
        <w:t>toujours pas été finalisée</w:t>
      </w:r>
      <w:r w:rsidR="009B153C" w:rsidRPr="00DA6BD2">
        <w:rPr>
          <w:rFonts w:asciiTheme="minorHAnsi" w:hAnsiTheme="minorHAnsi" w:cs="Calibri Light"/>
        </w:rPr>
        <w:t xml:space="preserve">. </w:t>
      </w:r>
    </w:p>
    <w:p w14:paraId="78ADED33" w14:textId="58FA0B82" w:rsidR="00C32AF2" w:rsidRDefault="001516DA">
      <w:pPr>
        <w:spacing w:before="120"/>
        <w:jc w:val="both"/>
        <w:textAlignment w:val="baseline"/>
        <w:rPr>
          <w:rFonts w:asciiTheme="minorHAnsi" w:hAnsiTheme="minorHAnsi" w:cs="Calibri Light"/>
        </w:rPr>
      </w:pPr>
      <w:r>
        <w:rPr>
          <w:rFonts w:asciiTheme="minorHAnsi" w:hAnsiTheme="minorHAnsi" w:cs="Calibri Light"/>
        </w:rPr>
        <w:t>Dans l’éventualité d’une telle effectivité, l</w:t>
      </w:r>
      <w:r w:rsidR="009B153C" w:rsidRPr="00DA6BD2">
        <w:rPr>
          <w:rFonts w:asciiTheme="minorHAnsi" w:hAnsiTheme="minorHAnsi" w:cs="Calibri Light"/>
        </w:rPr>
        <w:t xml:space="preserve">e taux maximum recommandé est de 150 centimes additionnels. </w:t>
      </w:r>
    </w:p>
    <w:p w14:paraId="14638FA7" w14:textId="01CD6046" w:rsidR="00900C39" w:rsidRDefault="004475F1">
      <w:pPr>
        <w:spacing w:before="120"/>
        <w:jc w:val="both"/>
        <w:textAlignment w:val="baseline"/>
      </w:pPr>
      <w:r w:rsidRPr="004475F1">
        <w:rPr>
          <w:rFonts w:asciiTheme="minorHAnsi" w:hAnsiTheme="minorHAnsi" w:cs="Calibri Light"/>
        </w:rPr>
        <w:t>Puisque cette procédure n’est, à l’heure actuelle, toujours pas établie, il n’y a pas d’inconvénient à lever une taxe communale sur ces sites qui s’inspirerait, se fonderait, serait proportionnée à la taxe régionale</w:t>
      </w:r>
      <w:bookmarkEnd w:id="8841"/>
      <w:r>
        <w:rPr>
          <w:rStyle w:val="Appelnotedebasdep"/>
          <w:rFonts w:asciiTheme="minorHAnsi" w:hAnsiTheme="minorHAnsi" w:cs="Calibri Light"/>
        </w:rPr>
        <w:footnoteReference w:id="193"/>
      </w:r>
      <w:r w:rsidRPr="004475F1">
        <w:rPr>
          <w:rFonts w:asciiTheme="minorHAnsi" w:hAnsiTheme="minorHAnsi" w:cs="Calibri Light"/>
        </w:rPr>
        <w:t>.</w:t>
      </w:r>
      <w:bookmarkEnd w:id="8842"/>
      <w:r w:rsidR="009F4DF1">
        <w:t>Pour information complémentaire, les taux de la taxe régionale</w:t>
      </w:r>
      <w:r w:rsidR="00934569">
        <w:t xml:space="preserve"> pour la période 2022 sont les suivants (MB 02.09.2021) :</w:t>
      </w:r>
    </w:p>
    <w:p w14:paraId="3C7C5B97" w14:textId="333E446B" w:rsidR="00934569" w:rsidRDefault="00934569" w:rsidP="00256E9F">
      <w:pPr>
        <w:jc w:val="both"/>
        <w:textAlignment w:val="baseline"/>
      </w:pPr>
      <w:r>
        <w:t>- par are de surface bâtie : 728,47 euros (550 euros non indexés</w:t>
      </w:r>
      <w:proofErr w:type="gramStart"/>
      <w:r>
        <w:t>);</w:t>
      </w:r>
      <w:proofErr w:type="gramEnd"/>
    </w:p>
    <w:p w14:paraId="63525E93" w14:textId="42F8AE98" w:rsidR="00934569" w:rsidRDefault="00934569" w:rsidP="00256E9F">
      <w:pPr>
        <w:jc w:val="both"/>
        <w:textAlignment w:val="baseline"/>
      </w:pPr>
      <w:r>
        <w:t>- par are de surface non bâtie : 92,70 euros (70 euros non indexés).</w:t>
      </w:r>
    </w:p>
    <w:p w14:paraId="594EE6F1" w14:textId="77777777" w:rsidR="00F915F6" w:rsidRPr="008D7EB7" w:rsidRDefault="00F915F6" w:rsidP="00256E9F">
      <w:pPr>
        <w:jc w:val="both"/>
        <w:textAlignment w:val="baseline"/>
      </w:pPr>
    </w:p>
    <w:p w14:paraId="7F0C8F4B" w14:textId="77F3FF98" w:rsidR="00C54DC1" w:rsidRDefault="00C54DC1" w:rsidP="00581DAD">
      <w:pPr>
        <w:pStyle w:val="Sam1"/>
      </w:pPr>
      <w:bookmarkStart w:id="8843" w:name="_Toc516482681"/>
      <w:bookmarkStart w:id="8844" w:name="_Toc516740035"/>
      <w:bookmarkStart w:id="8845" w:name="_Toc516751944"/>
      <w:bookmarkStart w:id="8846" w:name="_Toc516826032"/>
      <w:bookmarkStart w:id="8847" w:name="_Toc516826590"/>
      <w:bookmarkStart w:id="8848" w:name="_Toc516837910"/>
      <w:bookmarkStart w:id="8849" w:name="_Toc516838469"/>
      <w:bookmarkStart w:id="8850" w:name="_Toc516839028"/>
      <w:bookmarkStart w:id="8851" w:name="_Toc516839588"/>
      <w:bookmarkStart w:id="8852" w:name="_Toc517173684"/>
      <w:bookmarkStart w:id="8853" w:name="_Toc517175358"/>
      <w:bookmarkStart w:id="8854" w:name="_Toc517175945"/>
      <w:bookmarkStart w:id="8855" w:name="_Toc517176533"/>
      <w:bookmarkStart w:id="8856" w:name="_Toc517337858"/>
      <w:bookmarkStart w:id="8857" w:name="_Toc517360654"/>
      <w:bookmarkStart w:id="8858" w:name="_Toc516245202"/>
      <w:bookmarkStart w:id="8859" w:name="_Toc516473773"/>
      <w:bookmarkStart w:id="8860" w:name="_Toc516474083"/>
      <w:bookmarkStart w:id="8861" w:name="_Toc516474391"/>
      <w:bookmarkStart w:id="8862" w:name="_Toc516474699"/>
      <w:bookmarkStart w:id="8863" w:name="_Toc516475031"/>
      <w:bookmarkStart w:id="8864" w:name="_Toc516479129"/>
      <w:bookmarkStart w:id="8865" w:name="_Toc516479530"/>
      <w:bookmarkStart w:id="8866" w:name="_Toc516479847"/>
      <w:bookmarkStart w:id="8867" w:name="_Toc516480169"/>
      <w:bookmarkStart w:id="8868" w:name="_Toc516480483"/>
      <w:bookmarkStart w:id="8869" w:name="_Toc516480797"/>
      <w:bookmarkStart w:id="8870" w:name="_Toc516481111"/>
      <w:bookmarkStart w:id="8871" w:name="_Toc516481425"/>
      <w:bookmarkStart w:id="8872" w:name="_Toc516481739"/>
      <w:bookmarkStart w:id="8873" w:name="_Toc516482053"/>
      <w:bookmarkStart w:id="8874" w:name="_Toc516482367"/>
      <w:bookmarkStart w:id="8875" w:name="_Toc516482682"/>
      <w:bookmarkStart w:id="8876" w:name="_Toc516740036"/>
      <w:bookmarkStart w:id="8877" w:name="_Toc516751945"/>
      <w:bookmarkStart w:id="8878" w:name="_Toc516826033"/>
      <w:bookmarkStart w:id="8879" w:name="_Toc516826591"/>
      <w:bookmarkStart w:id="8880" w:name="_Toc516837911"/>
      <w:bookmarkStart w:id="8881" w:name="_Toc516838470"/>
      <w:bookmarkStart w:id="8882" w:name="_Toc516839029"/>
      <w:bookmarkStart w:id="8883" w:name="_Toc516839589"/>
      <w:bookmarkStart w:id="8884" w:name="_Toc517173685"/>
      <w:bookmarkStart w:id="8885" w:name="_Toc517175359"/>
      <w:bookmarkStart w:id="8886" w:name="_Toc517175946"/>
      <w:bookmarkStart w:id="8887" w:name="_Toc517176534"/>
      <w:bookmarkStart w:id="8888" w:name="_Toc517337859"/>
      <w:bookmarkStart w:id="8889" w:name="_Toc517360655"/>
      <w:bookmarkStart w:id="8890" w:name="_Toc516245203"/>
      <w:bookmarkStart w:id="8891" w:name="_Toc516473774"/>
      <w:bookmarkStart w:id="8892" w:name="_Toc516474084"/>
      <w:bookmarkStart w:id="8893" w:name="_Toc516474392"/>
      <w:bookmarkStart w:id="8894" w:name="_Toc516474700"/>
      <w:bookmarkStart w:id="8895" w:name="_Toc516475032"/>
      <w:bookmarkStart w:id="8896" w:name="_Toc516479130"/>
      <w:bookmarkStart w:id="8897" w:name="_Toc516479531"/>
      <w:bookmarkStart w:id="8898" w:name="_Toc516479848"/>
      <w:bookmarkStart w:id="8899" w:name="_Toc516480170"/>
      <w:bookmarkStart w:id="8900" w:name="_Toc516480484"/>
      <w:bookmarkStart w:id="8901" w:name="_Toc516480798"/>
      <w:bookmarkStart w:id="8902" w:name="_Toc516481112"/>
      <w:bookmarkStart w:id="8903" w:name="_Toc516481426"/>
      <w:bookmarkStart w:id="8904" w:name="_Toc516481740"/>
      <w:bookmarkStart w:id="8905" w:name="_Toc516482054"/>
      <w:bookmarkStart w:id="8906" w:name="_Toc516482368"/>
      <w:bookmarkStart w:id="8907" w:name="_Toc516482683"/>
      <w:bookmarkStart w:id="8908" w:name="_Toc516740037"/>
      <w:bookmarkStart w:id="8909" w:name="_Toc516751946"/>
      <w:bookmarkStart w:id="8910" w:name="_Toc516826034"/>
      <w:bookmarkStart w:id="8911" w:name="_Toc516826592"/>
      <w:bookmarkStart w:id="8912" w:name="_Toc516837912"/>
      <w:bookmarkStart w:id="8913" w:name="_Toc516838471"/>
      <w:bookmarkStart w:id="8914" w:name="_Toc516839030"/>
      <w:bookmarkStart w:id="8915" w:name="_Toc516839590"/>
      <w:bookmarkStart w:id="8916" w:name="_Toc517173686"/>
      <w:bookmarkStart w:id="8917" w:name="_Toc517175360"/>
      <w:bookmarkStart w:id="8918" w:name="_Toc517175947"/>
      <w:bookmarkStart w:id="8919" w:name="_Toc517176535"/>
      <w:bookmarkStart w:id="8920" w:name="_Toc517337860"/>
      <w:bookmarkStart w:id="8921" w:name="_Toc517360656"/>
      <w:bookmarkStart w:id="8922" w:name="_Toc516245204"/>
      <w:bookmarkStart w:id="8923" w:name="_Toc516473775"/>
      <w:bookmarkStart w:id="8924" w:name="_Toc516474085"/>
      <w:bookmarkStart w:id="8925" w:name="_Toc516474393"/>
      <w:bookmarkStart w:id="8926" w:name="_Toc516474701"/>
      <w:bookmarkStart w:id="8927" w:name="_Toc516475033"/>
      <w:bookmarkStart w:id="8928" w:name="_Toc516479131"/>
      <w:bookmarkStart w:id="8929" w:name="_Toc516479532"/>
      <w:bookmarkStart w:id="8930" w:name="_Toc516479849"/>
      <w:bookmarkStart w:id="8931" w:name="_Toc516480171"/>
      <w:bookmarkStart w:id="8932" w:name="_Toc516480485"/>
      <w:bookmarkStart w:id="8933" w:name="_Toc516480799"/>
      <w:bookmarkStart w:id="8934" w:name="_Toc516481113"/>
      <w:bookmarkStart w:id="8935" w:name="_Toc516481427"/>
      <w:bookmarkStart w:id="8936" w:name="_Toc516481741"/>
      <w:bookmarkStart w:id="8937" w:name="_Toc516482055"/>
      <w:bookmarkStart w:id="8938" w:name="_Toc516482369"/>
      <w:bookmarkStart w:id="8939" w:name="_Toc516482684"/>
      <w:bookmarkStart w:id="8940" w:name="_Toc516740038"/>
      <w:bookmarkStart w:id="8941" w:name="_Toc516751947"/>
      <w:bookmarkStart w:id="8942" w:name="_Toc516826035"/>
      <w:bookmarkStart w:id="8943" w:name="_Toc516826593"/>
      <w:bookmarkStart w:id="8944" w:name="_Toc516837913"/>
      <w:bookmarkStart w:id="8945" w:name="_Toc516838472"/>
      <w:bookmarkStart w:id="8946" w:name="_Toc516839031"/>
      <w:bookmarkStart w:id="8947" w:name="_Toc516839591"/>
      <w:bookmarkStart w:id="8948" w:name="_Toc517173687"/>
      <w:bookmarkStart w:id="8949" w:name="_Toc517175361"/>
      <w:bookmarkStart w:id="8950" w:name="_Toc517175948"/>
      <w:bookmarkStart w:id="8951" w:name="_Toc517176536"/>
      <w:bookmarkStart w:id="8952" w:name="_Toc517337861"/>
      <w:bookmarkStart w:id="8953" w:name="_Toc517360657"/>
      <w:bookmarkStart w:id="8954" w:name="_Toc74557829"/>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r>
        <w:t>Conclusion</w:t>
      </w:r>
      <w:bookmarkEnd w:id="8954"/>
      <w:r>
        <w:t xml:space="preserve"> </w:t>
      </w:r>
    </w:p>
    <w:p w14:paraId="1FE22AAE" w14:textId="5EC60B69" w:rsidR="00C54DC1" w:rsidRDefault="00C54DC1" w:rsidP="00DC5EFB">
      <w:pPr>
        <w:jc w:val="both"/>
      </w:pPr>
      <w:r>
        <w:t>Cette circulaire rassemble</w:t>
      </w:r>
      <w:r w:rsidRPr="00C54DC1">
        <w:t xml:space="preserve"> l'essentiel des éléments utiles à la compréhension et à la confection des budgets communaux pour </w:t>
      </w:r>
      <w:r w:rsidRPr="00F0684C">
        <w:t xml:space="preserve">l'exercice </w:t>
      </w:r>
      <w:r w:rsidR="005221EE">
        <w:t>2023</w:t>
      </w:r>
      <w:r w:rsidR="007E25B1" w:rsidRPr="00F0684C">
        <w:t xml:space="preserve">. </w:t>
      </w:r>
      <w:r w:rsidRPr="00F0684C">
        <w:t>E</w:t>
      </w:r>
      <w:r w:rsidR="00D76E8E" w:rsidRPr="00F0684C">
        <w:t>n ce sens, e</w:t>
      </w:r>
      <w:r w:rsidRPr="00F0684C">
        <w:t xml:space="preserve">lle constitue </w:t>
      </w:r>
      <w:r w:rsidR="00D76E8E" w:rsidRPr="00F0684C">
        <w:t>votre</w:t>
      </w:r>
      <w:r w:rsidRPr="00F0684C">
        <w:t xml:space="preserve"> document de référence</w:t>
      </w:r>
      <w:r w:rsidR="00D76E8E" w:rsidRPr="00F0684C">
        <w:t>.</w:t>
      </w:r>
    </w:p>
    <w:p w14:paraId="428C278F" w14:textId="77777777" w:rsidR="00D76E8E" w:rsidRDefault="00D76E8E">
      <w:pPr>
        <w:jc w:val="both"/>
      </w:pPr>
    </w:p>
    <w:p w14:paraId="15D66454" w14:textId="77777777" w:rsidR="00D76E8E" w:rsidRPr="00830537" w:rsidRDefault="00D76E8E">
      <w:pPr>
        <w:jc w:val="both"/>
        <w:rPr>
          <w:rFonts w:cs="Arial"/>
        </w:rPr>
      </w:pPr>
      <w:r w:rsidRPr="00830537">
        <w:rPr>
          <w:rFonts w:cs="Arial"/>
        </w:rPr>
        <w:t xml:space="preserve">Elle </w:t>
      </w:r>
      <w:r w:rsidR="00221BF5">
        <w:rPr>
          <w:rFonts w:cs="Arial"/>
        </w:rPr>
        <w:t xml:space="preserve">entend </w:t>
      </w:r>
      <w:r w:rsidRPr="00830537">
        <w:rPr>
          <w:rFonts w:cs="Arial"/>
        </w:rPr>
        <w:t>contribue</w:t>
      </w:r>
      <w:r w:rsidR="00221BF5">
        <w:rPr>
          <w:rFonts w:cs="Arial"/>
        </w:rPr>
        <w:t>r</w:t>
      </w:r>
      <w:r w:rsidRPr="00830537">
        <w:rPr>
          <w:rFonts w:cs="Arial"/>
        </w:rPr>
        <w:t xml:space="preserve"> à l’objectif de </w:t>
      </w:r>
      <w:r>
        <w:rPr>
          <w:rFonts w:cs="Arial"/>
        </w:rPr>
        <w:t>bonne gestion</w:t>
      </w:r>
      <w:r w:rsidRPr="00830537">
        <w:rPr>
          <w:rFonts w:cs="Arial"/>
        </w:rPr>
        <w:t xml:space="preserve"> des Pouvoirs locaux et de leurs entités consolidées et ce, au bénéfice de tous les citoyens</w:t>
      </w:r>
      <w:r w:rsidR="00221BF5">
        <w:rPr>
          <w:rFonts w:cs="Arial"/>
        </w:rPr>
        <w:t>,</w:t>
      </w:r>
      <w:r w:rsidRPr="00830537">
        <w:rPr>
          <w:rFonts w:cs="Arial"/>
        </w:rPr>
        <w:t xml:space="preserve"> </w:t>
      </w:r>
      <w:r>
        <w:rPr>
          <w:rFonts w:cs="Arial"/>
        </w:rPr>
        <w:t xml:space="preserve">tout en s’inscrivant </w:t>
      </w:r>
      <w:r w:rsidRPr="00830537">
        <w:rPr>
          <w:rFonts w:cs="Arial"/>
        </w:rPr>
        <w:t>dans le respect des dispositions européennes.</w:t>
      </w:r>
    </w:p>
    <w:p w14:paraId="5CD3BA03" w14:textId="77777777" w:rsidR="00D76E8E" w:rsidRPr="00221BF5" w:rsidRDefault="00D76E8E">
      <w:pPr>
        <w:jc w:val="both"/>
      </w:pPr>
    </w:p>
    <w:p w14:paraId="4193FA94" w14:textId="77777777" w:rsidR="00221BF5" w:rsidRPr="00221BF5" w:rsidRDefault="00221BF5" w:rsidP="00E063FD">
      <w:pPr>
        <w:ind w:right="-1"/>
        <w:jc w:val="both"/>
        <w:textAlignment w:val="baseline"/>
      </w:pPr>
      <w:r w:rsidRPr="00221BF5">
        <w:rPr>
          <w:spacing w:val="-2"/>
        </w:rPr>
        <w:lastRenderedPageBreak/>
        <w:t>Dans le cadre</w:t>
      </w:r>
      <w:r w:rsidR="009B2D64">
        <w:rPr>
          <w:spacing w:val="-2"/>
        </w:rPr>
        <w:t xml:space="preserve"> de leur mission d’accompagnement d</w:t>
      </w:r>
      <w:r w:rsidRPr="00221BF5">
        <w:rPr>
          <w:spacing w:val="-2"/>
        </w:rPr>
        <w:t>es autorités locales</w:t>
      </w:r>
      <w:r w:rsidR="009B2D64">
        <w:rPr>
          <w:spacing w:val="-2"/>
        </w:rPr>
        <w:t xml:space="preserve">, les différentes Directions de la </w:t>
      </w:r>
      <w:r w:rsidRPr="00221BF5">
        <w:rPr>
          <w:spacing w:val="-2"/>
        </w:rPr>
        <w:t>tutelle</w:t>
      </w:r>
      <w:r w:rsidR="009B2D64" w:rsidRPr="009B2D64">
        <w:t xml:space="preserve"> peu</w:t>
      </w:r>
      <w:r w:rsidR="009B2D64">
        <w:t>ven</w:t>
      </w:r>
      <w:r w:rsidRPr="00221BF5">
        <w:t xml:space="preserve">t vous apporter toutes leurs compétences pour les questions que vous souhaiteriez poser, notamment au sujet </w:t>
      </w:r>
      <w:r w:rsidR="009B2D64" w:rsidRPr="009B2D64">
        <w:t>de la</w:t>
      </w:r>
      <w:r w:rsidRPr="00221BF5">
        <w:t xml:space="preserve"> présente circulaire :</w:t>
      </w:r>
    </w:p>
    <w:p w14:paraId="6500D269" w14:textId="77777777" w:rsidR="00221BF5" w:rsidRPr="00221BF5" w:rsidRDefault="00221BF5" w:rsidP="00E063FD">
      <w:pPr>
        <w:ind w:right="-1"/>
        <w:jc w:val="both"/>
        <w:textAlignment w:val="baseline"/>
      </w:pPr>
    </w:p>
    <w:p w14:paraId="6B94ED65" w14:textId="12144948" w:rsidR="00221BF5" w:rsidRPr="00F0684C" w:rsidRDefault="007E25B1" w:rsidP="00E063FD">
      <w:pPr>
        <w:pStyle w:val="Paragraphedeliste"/>
        <w:numPr>
          <w:ilvl w:val="0"/>
          <w:numId w:val="19"/>
        </w:numPr>
        <w:ind w:right="-1"/>
        <w:contextualSpacing/>
        <w:jc w:val="both"/>
        <w:textAlignment w:val="baseline"/>
        <w:rPr>
          <w:spacing w:val="-2"/>
          <w:u w:val="single"/>
        </w:rPr>
      </w:pPr>
      <w:proofErr w:type="gramStart"/>
      <w:r w:rsidRPr="00F0684C">
        <w:t>le</w:t>
      </w:r>
      <w:proofErr w:type="gramEnd"/>
      <w:r w:rsidRPr="00F0684C">
        <w:t xml:space="preserve"> SPW Intérieur Action sociale</w:t>
      </w:r>
      <w:r w:rsidR="00221BF5" w:rsidRPr="00F0684C">
        <w:t xml:space="preserve">, Avenue G. </w:t>
      </w:r>
      <w:proofErr w:type="spellStart"/>
      <w:r w:rsidR="00221BF5" w:rsidRPr="00F0684C">
        <w:t>Bovesse</w:t>
      </w:r>
      <w:proofErr w:type="spellEnd"/>
      <w:r w:rsidR="00221BF5" w:rsidRPr="00F0684C">
        <w:t>, 100 à 5100 Namur (Jambes)</w:t>
      </w:r>
    </w:p>
    <w:p w14:paraId="4B642112" w14:textId="77777777" w:rsidR="009B2D64" w:rsidRPr="009B2D64" w:rsidRDefault="00221BF5" w:rsidP="00E063FD">
      <w:pPr>
        <w:pStyle w:val="Paragraphedeliste"/>
        <w:ind w:right="-1"/>
        <w:jc w:val="both"/>
        <w:textAlignment w:val="baseline"/>
        <w:rPr>
          <w:spacing w:val="-2"/>
          <w:u w:val="single"/>
        </w:rPr>
      </w:pPr>
      <w:r w:rsidRPr="00F0684C">
        <w:rPr>
          <w:spacing w:val="-3"/>
        </w:rPr>
        <w:sym w:font="Wingdings" w:char="F028"/>
      </w:r>
      <w:r w:rsidRPr="00F0684C">
        <w:t xml:space="preserve"> 081/32.72.11</w:t>
      </w:r>
      <w:r w:rsidRPr="00F0684C">
        <w:rPr>
          <w:spacing w:val="-2"/>
        </w:rPr>
        <w:t xml:space="preserve">- </w:t>
      </w:r>
      <w:proofErr w:type="gramStart"/>
      <w:r w:rsidRPr="00F0684C">
        <w:rPr>
          <w:spacing w:val="-2"/>
        </w:rPr>
        <w:t>E-mail</w:t>
      </w:r>
      <w:proofErr w:type="gramEnd"/>
      <w:r w:rsidRPr="00F0684C">
        <w:rPr>
          <w:spacing w:val="-2"/>
        </w:rPr>
        <w:t xml:space="preserve"> : </w:t>
      </w:r>
      <w:hyperlink r:id="rId31">
        <w:r w:rsidRPr="00F0684C">
          <w:rPr>
            <w:spacing w:val="-2"/>
            <w:u w:val="single"/>
          </w:rPr>
          <w:t>PouvoirsLocaux@spw.wallonie.be</w:t>
        </w:r>
      </w:hyperlink>
      <w:r w:rsidR="008C3FFA">
        <w:t xml:space="preserve"> </w:t>
      </w:r>
    </w:p>
    <w:p w14:paraId="5B55803C" w14:textId="77777777" w:rsidR="00221BF5" w:rsidRPr="00221BF5" w:rsidRDefault="00221BF5" w:rsidP="00E063FD">
      <w:pPr>
        <w:pStyle w:val="Paragraphedeliste"/>
        <w:ind w:right="-1"/>
        <w:jc w:val="both"/>
        <w:textAlignment w:val="baseline"/>
        <w:rPr>
          <w:spacing w:val="-2"/>
          <w:u w:val="single"/>
        </w:rPr>
      </w:pPr>
      <w:r w:rsidRPr="00221BF5">
        <w:rPr>
          <w:spacing w:val="-2"/>
        </w:rPr>
        <w:t xml:space="preserve">Site internet : </w:t>
      </w:r>
      <w:hyperlink r:id="rId32" w:history="1">
        <w:r w:rsidRPr="0027625F">
          <w:rPr>
            <w:u w:val="single"/>
          </w:rPr>
          <w:t>http://pouvoirslocaux.wallonie.be</w:t>
        </w:r>
      </w:hyperlink>
      <w:r w:rsidRPr="00221BF5">
        <w:rPr>
          <w:spacing w:val="-2"/>
        </w:rPr>
        <w:t xml:space="preserve"> </w:t>
      </w:r>
    </w:p>
    <w:p w14:paraId="7A256FAF" w14:textId="77777777" w:rsidR="00221BF5" w:rsidRPr="00221BF5" w:rsidRDefault="00221BF5" w:rsidP="00E063FD">
      <w:pPr>
        <w:pStyle w:val="Paragraphedeliste"/>
        <w:numPr>
          <w:ilvl w:val="0"/>
          <w:numId w:val="19"/>
        </w:numPr>
        <w:ind w:right="-1"/>
        <w:contextualSpacing/>
        <w:jc w:val="both"/>
        <w:textAlignment w:val="baseline"/>
        <w:rPr>
          <w:spacing w:val="-2"/>
        </w:rPr>
      </w:pPr>
      <w:proofErr w:type="gramStart"/>
      <w:r w:rsidRPr="00221BF5">
        <w:rPr>
          <w:spacing w:val="-3"/>
        </w:rPr>
        <w:t>la</w:t>
      </w:r>
      <w:proofErr w:type="gramEnd"/>
      <w:r w:rsidRPr="00221BF5">
        <w:rPr>
          <w:spacing w:val="-3"/>
        </w:rPr>
        <w:t xml:space="preserve"> Direction extérieure de Hainaut </w:t>
      </w:r>
    </w:p>
    <w:p w14:paraId="093A9060" w14:textId="77777777" w:rsidR="009B2D64" w:rsidRPr="009B2D64" w:rsidRDefault="00221BF5" w:rsidP="00E063FD">
      <w:pPr>
        <w:pStyle w:val="Paragraphedeliste"/>
        <w:ind w:right="-1"/>
        <w:jc w:val="both"/>
        <w:textAlignment w:val="baseline"/>
        <w:rPr>
          <w:spacing w:val="-3"/>
        </w:rPr>
      </w:pPr>
      <w:r w:rsidRPr="00221BF5">
        <w:sym w:font="Wingdings" w:char="F028"/>
      </w:r>
      <w:r w:rsidRPr="00221BF5">
        <w:rPr>
          <w:spacing w:val="-3"/>
        </w:rPr>
        <w:t xml:space="preserve">065.32.81.11 </w:t>
      </w:r>
    </w:p>
    <w:p w14:paraId="26C179D5" w14:textId="77777777" w:rsidR="00221BF5" w:rsidRPr="00221BF5" w:rsidRDefault="00221BF5" w:rsidP="00E063FD">
      <w:pPr>
        <w:pStyle w:val="Paragraphedeliste"/>
        <w:ind w:right="-1"/>
        <w:jc w:val="both"/>
        <w:textAlignment w:val="baseline"/>
        <w:rPr>
          <w:spacing w:val="-2"/>
        </w:rPr>
      </w:pPr>
      <w:proofErr w:type="gramStart"/>
      <w:r w:rsidRPr="00221BF5">
        <w:rPr>
          <w:spacing w:val="-2"/>
        </w:rPr>
        <w:t>E-mail</w:t>
      </w:r>
      <w:proofErr w:type="gramEnd"/>
      <w:r w:rsidRPr="00221BF5">
        <w:rPr>
          <w:spacing w:val="-2"/>
        </w:rPr>
        <w:t xml:space="preserve"> : </w:t>
      </w:r>
      <w:r w:rsidRPr="0027625F">
        <w:rPr>
          <w:spacing w:val="-2"/>
          <w:u w:val="single"/>
        </w:rPr>
        <w:t>dgo5.hainaut@spw.wallonie.be</w:t>
      </w:r>
    </w:p>
    <w:p w14:paraId="676BBABE" w14:textId="77777777" w:rsidR="00221BF5" w:rsidRPr="00221BF5" w:rsidRDefault="00221BF5" w:rsidP="00E063FD">
      <w:pPr>
        <w:pStyle w:val="Paragraphedeliste"/>
        <w:numPr>
          <w:ilvl w:val="0"/>
          <w:numId w:val="19"/>
        </w:numPr>
        <w:ind w:right="-1"/>
        <w:contextualSpacing/>
        <w:jc w:val="both"/>
        <w:textAlignment w:val="baseline"/>
        <w:rPr>
          <w:spacing w:val="-2"/>
        </w:rPr>
      </w:pPr>
      <w:proofErr w:type="gramStart"/>
      <w:r w:rsidRPr="00221BF5">
        <w:rPr>
          <w:spacing w:val="-3"/>
        </w:rPr>
        <w:t>la</w:t>
      </w:r>
      <w:proofErr w:type="gramEnd"/>
      <w:r w:rsidRPr="00221BF5">
        <w:rPr>
          <w:spacing w:val="-3"/>
        </w:rPr>
        <w:t xml:space="preserve"> Direction extérieure de Liège </w:t>
      </w:r>
    </w:p>
    <w:p w14:paraId="2AE7E71D" w14:textId="77777777" w:rsidR="009B2D64" w:rsidRPr="009B2D64" w:rsidRDefault="00221BF5" w:rsidP="00E063FD">
      <w:pPr>
        <w:pStyle w:val="Paragraphedeliste"/>
        <w:ind w:right="-1"/>
        <w:jc w:val="both"/>
        <w:textAlignment w:val="baseline"/>
        <w:rPr>
          <w:spacing w:val="-3"/>
        </w:rPr>
      </w:pPr>
      <w:r w:rsidRPr="00221BF5">
        <w:sym w:font="Wingdings" w:char="F028"/>
      </w:r>
      <w:r w:rsidRPr="00221BF5">
        <w:rPr>
          <w:spacing w:val="-3"/>
        </w:rPr>
        <w:t xml:space="preserve"> 04.224.54.11 </w:t>
      </w:r>
    </w:p>
    <w:p w14:paraId="1D9A0014" w14:textId="77777777" w:rsidR="00221BF5" w:rsidRPr="00221BF5" w:rsidRDefault="00221BF5" w:rsidP="00E063FD">
      <w:pPr>
        <w:pStyle w:val="Paragraphedeliste"/>
        <w:ind w:right="-1"/>
        <w:jc w:val="both"/>
        <w:textAlignment w:val="baseline"/>
        <w:rPr>
          <w:spacing w:val="-2"/>
        </w:rPr>
      </w:pPr>
      <w:proofErr w:type="gramStart"/>
      <w:r w:rsidRPr="00221BF5">
        <w:rPr>
          <w:spacing w:val="-2"/>
        </w:rPr>
        <w:t>E-mail</w:t>
      </w:r>
      <w:proofErr w:type="gramEnd"/>
      <w:r w:rsidRPr="00221BF5">
        <w:rPr>
          <w:spacing w:val="-2"/>
        </w:rPr>
        <w:t xml:space="preserve"> :</w:t>
      </w:r>
      <w:r w:rsidRPr="0027625F">
        <w:rPr>
          <w:spacing w:val="-2"/>
          <w:u w:val="single"/>
        </w:rPr>
        <w:t xml:space="preserve"> dgo5.liege@spw.wallonie.be</w:t>
      </w:r>
    </w:p>
    <w:p w14:paraId="3801D01D" w14:textId="77777777" w:rsidR="00221BF5" w:rsidRPr="00221BF5" w:rsidRDefault="00221BF5" w:rsidP="00E063FD">
      <w:pPr>
        <w:pStyle w:val="Paragraphedeliste"/>
        <w:numPr>
          <w:ilvl w:val="0"/>
          <w:numId w:val="19"/>
        </w:numPr>
        <w:ind w:right="-1"/>
        <w:contextualSpacing/>
        <w:jc w:val="both"/>
        <w:textAlignment w:val="baseline"/>
        <w:rPr>
          <w:spacing w:val="-2"/>
        </w:rPr>
      </w:pPr>
      <w:proofErr w:type="gramStart"/>
      <w:r w:rsidRPr="00221BF5">
        <w:rPr>
          <w:spacing w:val="-2"/>
        </w:rPr>
        <w:t>la</w:t>
      </w:r>
      <w:proofErr w:type="gramEnd"/>
      <w:r w:rsidRPr="00221BF5">
        <w:rPr>
          <w:spacing w:val="-2"/>
        </w:rPr>
        <w:t xml:space="preserve"> Direction extérieure de Luxembourg</w:t>
      </w:r>
    </w:p>
    <w:p w14:paraId="3899C200" w14:textId="77777777" w:rsidR="009B2D64" w:rsidRPr="009B2D64" w:rsidRDefault="00221BF5" w:rsidP="00E063FD">
      <w:pPr>
        <w:pStyle w:val="Paragraphedeliste"/>
        <w:ind w:right="-1"/>
        <w:jc w:val="both"/>
        <w:textAlignment w:val="baseline"/>
        <w:rPr>
          <w:spacing w:val="-3"/>
        </w:rPr>
      </w:pPr>
      <w:r w:rsidRPr="00221BF5">
        <w:sym w:font="Wingdings" w:char="F028"/>
      </w:r>
      <w:r w:rsidRPr="00221BF5">
        <w:rPr>
          <w:spacing w:val="-3"/>
        </w:rPr>
        <w:t xml:space="preserve"> 063.58.90.75 </w:t>
      </w:r>
    </w:p>
    <w:p w14:paraId="7DB44F31" w14:textId="77777777" w:rsidR="00221BF5" w:rsidRPr="00221BF5" w:rsidRDefault="00221BF5" w:rsidP="00E063FD">
      <w:pPr>
        <w:pStyle w:val="Paragraphedeliste"/>
        <w:ind w:right="-1"/>
        <w:jc w:val="both"/>
        <w:textAlignment w:val="baseline"/>
        <w:rPr>
          <w:strike/>
          <w:spacing w:val="-2"/>
        </w:rPr>
      </w:pPr>
      <w:proofErr w:type="gramStart"/>
      <w:r w:rsidRPr="00221BF5">
        <w:rPr>
          <w:spacing w:val="-2"/>
        </w:rPr>
        <w:t>E-mail</w:t>
      </w:r>
      <w:proofErr w:type="gramEnd"/>
      <w:r w:rsidRPr="00221BF5">
        <w:rPr>
          <w:spacing w:val="-2"/>
        </w:rPr>
        <w:t xml:space="preserve"> : </w:t>
      </w:r>
      <w:r w:rsidRPr="0027625F">
        <w:rPr>
          <w:spacing w:val="-2"/>
          <w:u w:val="single"/>
        </w:rPr>
        <w:t>dgo5.luxembourg@spw.wallonie.be</w:t>
      </w:r>
    </w:p>
    <w:p w14:paraId="094EF8CD" w14:textId="77777777" w:rsidR="00221BF5" w:rsidRPr="00221BF5" w:rsidRDefault="00221BF5" w:rsidP="00E063FD">
      <w:pPr>
        <w:pStyle w:val="Paragraphedeliste"/>
        <w:numPr>
          <w:ilvl w:val="0"/>
          <w:numId w:val="19"/>
        </w:numPr>
        <w:ind w:right="-1"/>
        <w:contextualSpacing/>
        <w:jc w:val="both"/>
        <w:textAlignment w:val="baseline"/>
        <w:rPr>
          <w:spacing w:val="-2"/>
        </w:rPr>
      </w:pPr>
      <w:proofErr w:type="gramStart"/>
      <w:r w:rsidRPr="00221BF5">
        <w:rPr>
          <w:spacing w:val="-3"/>
        </w:rPr>
        <w:t>la</w:t>
      </w:r>
      <w:proofErr w:type="gramEnd"/>
      <w:r w:rsidRPr="00221BF5">
        <w:rPr>
          <w:spacing w:val="-3"/>
        </w:rPr>
        <w:t xml:space="preserve"> Direction extérieure de Namur et du Brabant wallon</w:t>
      </w:r>
    </w:p>
    <w:p w14:paraId="35AB7676" w14:textId="77777777" w:rsidR="009B2D64" w:rsidRPr="009B2D64" w:rsidRDefault="00221BF5" w:rsidP="00E063FD">
      <w:pPr>
        <w:pStyle w:val="Paragraphedeliste"/>
        <w:ind w:right="-1"/>
        <w:jc w:val="both"/>
        <w:textAlignment w:val="baseline"/>
        <w:rPr>
          <w:spacing w:val="-3"/>
        </w:rPr>
      </w:pPr>
      <w:r w:rsidRPr="00221BF5">
        <w:sym w:font="Wingdings" w:char="F028"/>
      </w:r>
      <w:r w:rsidRPr="00221BF5">
        <w:rPr>
          <w:spacing w:val="-3"/>
        </w:rPr>
        <w:t xml:space="preserve"> 081.71.56.11</w:t>
      </w:r>
    </w:p>
    <w:p w14:paraId="0DEC6A3B" w14:textId="77777777" w:rsidR="009B2D64" w:rsidRPr="009B2D64" w:rsidRDefault="00221BF5" w:rsidP="00E063FD">
      <w:pPr>
        <w:pStyle w:val="Paragraphedeliste"/>
        <w:ind w:right="-1"/>
        <w:jc w:val="both"/>
        <w:textAlignment w:val="baseline"/>
        <w:rPr>
          <w:spacing w:val="-2"/>
        </w:rPr>
      </w:pPr>
      <w:proofErr w:type="gramStart"/>
      <w:r w:rsidRPr="00221BF5">
        <w:rPr>
          <w:spacing w:val="-2"/>
        </w:rPr>
        <w:t>E-mail</w:t>
      </w:r>
      <w:proofErr w:type="gramEnd"/>
      <w:r w:rsidRPr="00221BF5">
        <w:rPr>
          <w:spacing w:val="-2"/>
        </w:rPr>
        <w:t xml:space="preserve"> : </w:t>
      </w:r>
      <w:hyperlink r:id="rId33" w:history="1">
        <w:r w:rsidR="009B2D64" w:rsidRPr="0027625F">
          <w:rPr>
            <w:u w:val="single"/>
          </w:rPr>
          <w:t>dgo5.namur@spw.wallonie.be</w:t>
        </w:r>
      </w:hyperlink>
    </w:p>
    <w:p w14:paraId="41B41959" w14:textId="77777777" w:rsidR="00221BF5" w:rsidRPr="0043554F" w:rsidRDefault="00221BF5" w:rsidP="00E063FD">
      <w:pPr>
        <w:pStyle w:val="Paragraphedeliste"/>
        <w:ind w:right="-1"/>
        <w:jc w:val="both"/>
        <w:textAlignment w:val="baseline"/>
        <w:rPr>
          <w:u w:val="single"/>
        </w:rPr>
      </w:pPr>
      <w:r w:rsidRPr="0043554F">
        <w:rPr>
          <w:u w:val="single"/>
        </w:rPr>
        <w:t>dgo5.brabantwallon@spw.wallonie.be</w:t>
      </w:r>
    </w:p>
    <w:p w14:paraId="353D42D9" w14:textId="77777777" w:rsidR="00221BF5" w:rsidRPr="00221BF5" w:rsidRDefault="00221BF5" w:rsidP="00E063FD">
      <w:pPr>
        <w:pStyle w:val="Paragraphedeliste"/>
        <w:numPr>
          <w:ilvl w:val="0"/>
          <w:numId w:val="19"/>
        </w:numPr>
        <w:ind w:right="-1"/>
        <w:contextualSpacing/>
        <w:jc w:val="both"/>
        <w:textAlignment w:val="baseline"/>
        <w:rPr>
          <w:spacing w:val="-2"/>
        </w:rPr>
      </w:pPr>
      <w:proofErr w:type="gramStart"/>
      <w:r w:rsidRPr="00221BF5">
        <w:rPr>
          <w:spacing w:val="-3"/>
        </w:rPr>
        <w:t>le</w:t>
      </w:r>
      <w:proofErr w:type="gramEnd"/>
      <w:r w:rsidRPr="00221BF5">
        <w:rPr>
          <w:spacing w:val="-3"/>
        </w:rPr>
        <w:t xml:space="preserve"> Centre Régional d'Aide aux Communes, Allée du Stade, 1 à 5100 Namur (Jambes)</w:t>
      </w:r>
    </w:p>
    <w:p w14:paraId="0A3A5EAB" w14:textId="77777777" w:rsidR="009B2D64" w:rsidRPr="009B2D64" w:rsidRDefault="00221BF5" w:rsidP="00E063FD">
      <w:pPr>
        <w:pStyle w:val="Paragraphedeliste"/>
        <w:ind w:right="-1"/>
        <w:jc w:val="both"/>
        <w:textAlignment w:val="baseline"/>
        <w:rPr>
          <w:spacing w:val="2"/>
        </w:rPr>
      </w:pPr>
      <w:r w:rsidRPr="00221BF5">
        <w:sym w:font="Wingdings" w:char="F028"/>
      </w:r>
      <w:r w:rsidRPr="00221BF5">
        <w:rPr>
          <w:spacing w:val="-3"/>
        </w:rPr>
        <w:t xml:space="preserve"> </w:t>
      </w:r>
      <w:r w:rsidR="009B2D64" w:rsidRPr="009B2D64">
        <w:rPr>
          <w:spacing w:val="2"/>
        </w:rPr>
        <w:t>081/32.71.11</w:t>
      </w:r>
    </w:p>
    <w:p w14:paraId="7C4E85CF" w14:textId="77777777" w:rsidR="009B2D64" w:rsidRPr="009B2D64" w:rsidRDefault="00221BF5" w:rsidP="00E063FD">
      <w:pPr>
        <w:pStyle w:val="Paragraphedeliste"/>
        <w:ind w:right="-1"/>
        <w:jc w:val="both"/>
        <w:textAlignment w:val="baseline"/>
        <w:rPr>
          <w:spacing w:val="2"/>
        </w:rPr>
      </w:pPr>
      <w:r w:rsidRPr="00221BF5">
        <w:rPr>
          <w:spacing w:val="2"/>
        </w:rPr>
        <w:sym w:font="Wingdings 2" w:char="F037"/>
      </w:r>
      <w:r w:rsidR="009B2D64" w:rsidRPr="009B2D64">
        <w:rPr>
          <w:spacing w:val="2"/>
        </w:rPr>
        <w:t xml:space="preserve"> 081/32.71.91</w:t>
      </w:r>
    </w:p>
    <w:p w14:paraId="6B703F2C" w14:textId="77777777" w:rsidR="009B2D64" w:rsidRPr="009B2D64" w:rsidRDefault="00221BF5" w:rsidP="00E063FD">
      <w:pPr>
        <w:pStyle w:val="Paragraphedeliste"/>
        <w:ind w:right="-1"/>
        <w:jc w:val="both"/>
        <w:textAlignment w:val="baseline"/>
        <w:rPr>
          <w:spacing w:val="2"/>
        </w:rPr>
      </w:pPr>
      <w:proofErr w:type="gramStart"/>
      <w:r w:rsidRPr="00221BF5">
        <w:rPr>
          <w:spacing w:val="2"/>
        </w:rPr>
        <w:t>E-mail</w:t>
      </w:r>
      <w:proofErr w:type="gramEnd"/>
      <w:r w:rsidRPr="00221BF5">
        <w:rPr>
          <w:spacing w:val="2"/>
        </w:rPr>
        <w:t xml:space="preserve"> : </w:t>
      </w:r>
      <w:hyperlink r:id="rId34">
        <w:r w:rsidRPr="00221BF5">
          <w:rPr>
            <w:spacing w:val="2"/>
            <w:u w:val="single"/>
          </w:rPr>
          <w:t>info@crac.wallonie.be</w:t>
        </w:r>
      </w:hyperlink>
      <w:r w:rsidRPr="00221BF5">
        <w:rPr>
          <w:spacing w:val="2"/>
        </w:rPr>
        <w:t xml:space="preserve"> </w:t>
      </w:r>
    </w:p>
    <w:p w14:paraId="4C346741" w14:textId="77777777" w:rsidR="00221BF5" w:rsidRPr="00221BF5" w:rsidRDefault="00221BF5" w:rsidP="00E063FD">
      <w:pPr>
        <w:pStyle w:val="Paragraphedeliste"/>
        <w:ind w:right="-1"/>
        <w:jc w:val="both"/>
        <w:textAlignment w:val="baseline"/>
        <w:rPr>
          <w:spacing w:val="-2"/>
        </w:rPr>
      </w:pPr>
      <w:r w:rsidRPr="00221BF5">
        <w:rPr>
          <w:spacing w:val="2"/>
        </w:rPr>
        <w:t>Site internet :</w:t>
      </w:r>
      <w:r w:rsidRPr="00221BF5">
        <w:rPr>
          <w:spacing w:val="-3"/>
        </w:rPr>
        <w:t xml:space="preserve"> </w:t>
      </w:r>
      <w:hyperlink r:id="rId35" w:history="1">
        <w:r w:rsidRPr="0027625F">
          <w:rPr>
            <w:u w:val="single"/>
          </w:rPr>
          <w:t>http://crac.wallonie.be</w:t>
        </w:r>
      </w:hyperlink>
      <w:r w:rsidRPr="00221BF5">
        <w:rPr>
          <w:spacing w:val="-3"/>
        </w:rPr>
        <w:t xml:space="preserve"> </w:t>
      </w:r>
    </w:p>
    <w:p w14:paraId="116A1497" w14:textId="2F4C05B5" w:rsidR="00221BF5" w:rsidRPr="00221BF5" w:rsidRDefault="00221BF5" w:rsidP="00E063FD">
      <w:pPr>
        <w:pStyle w:val="Paragraphedeliste"/>
        <w:numPr>
          <w:ilvl w:val="0"/>
          <w:numId w:val="19"/>
        </w:numPr>
        <w:ind w:right="-1"/>
        <w:contextualSpacing/>
        <w:jc w:val="both"/>
        <w:textAlignment w:val="baseline"/>
        <w:rPr>
          <w:spacing w:val="-2"/>
        </w:rPr>
      </w:pPr>
      <w:proofErr w:type="gramStart"/>
      <w:r w:rsidRPr="00221BF5">
        <w:rPr>
          <w:spacing w:val="-2"/>
        </w:rPr>
        <w:t>mon</w:t>
      </w:r>
      <w:proofErr w:type="gramEnd"/>
      <w:r w:rsidRPr="00221BF5">
        <w:rPr>
          <w:spacing w:val="-2"/>
        </w:rPr>
        <w:t xml:space="preserve"> Cabinet, </w:t>
      </w:r>
      <w:r w:rsidR="007E25B1" w:rsidRPr="00F0684C">
        <w:rPr>
          <w:spacing w:val="-2"/>
        </w:rPr>
        <w:t>Chaussée de Liège 140-142</w:t>
      </w:r>
      <w:r w:rsidR="007E25B1">
        <w:rPr>
          <w:spacing w:val="-2"/>
        </w:rPr>
        <w:t xml:space="preserve"> </w:t>
      </w:r>
      <w:r w:rsidRPr="00221BF5">
        <w:rPr>
          <w:spacing w:val="-2"/>
        </w:rPr>
        <w:t xml:space="preserve">à 5100 Namur (Jambes) </w:t>
      </w:r>
    </w:p>
    <w:p w14:paraId="2DA48E84" w14:textId="77777777" w:rsidR="00221BF5" w:rsidRPr="00221BF5" w:rsidRDefault="00221BF5" w:rsidP="00E063FD">
      <w:pPr>
        <w:pStyle w:val="Paragraphedeliste"/>
        <w:ind w:right="-1"/>
        <w:jc w:val="both"/>
        <w:textAlignment w:val="baseline"/>
        <w:rPr>
          <w:spacing w:val="-2"/>
        </w:rPr>
      </w:pPr>
      <w:r w:rsidRPr="00221BF5">
        <w:sym w:font="Wingdings" w:char="F028"/>
      </w:r>
      <w:r w:rsidRPr="00221BF5">
        <w:rPr>
          <w:spacing w:val="-3"/>
        </w:rPr>
        <w:t xml:space="preserve"> </w:t>
      </w:r>
      <w:r w:rsidRPr="00221BF5">
        <w:rPr>
          <w:spacing w:val="2"/>
        </w:rPr>
        <w:t>081/323.511</w:t>
      </w:r>
    </w:p>
    <w:p w14:paraId="653836CE" w14:textId="5C96C611" w:rsidR="00E41B77" w:rsidRPr="001E1353" w:rsidRDefault="004A2669" w:rsidP="00671240">
      <w:pPr>
        <w:jc w:val="center"/>
      </w:pPr>
      <w:r w:rsidRPr="001E1353">
        <w:t>* * *</w:t>
      </w:r>
    </w:p>
    <w:sectPr w:rsidR="00E41B77" w:rsidRPr="001E1353" w:rsidSect="00240A67">
      <w:headerReference w:type="even" r:id="rId36"/>
      <w:headerReference w:type="default" r:id="rId37"/>
      <w:footerReference w:type="default" r:id="rId3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EB72" w14:textId="77777777" w:rsidR="00BE462A" w:rsidRDefault="00BE462A" w:rsidP="009E2DEA">
      <w:r>
        <w:separator/>
      </w:r>
    </w:p>
  </w:endnote>
  <w:endnote w:type="continuationSeparator" w:id="0">
    <w:p w14:paraId="0F2B2686" w14:textId="77777777" w:rsidR="00BE462A" w:rsidRDefault="00BE462A" w:rsidP="009E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64" w:type="pct"/>
      <w:tblInd w:w="-1415" w:type="dxa"/>
      <w:shd w:val="clear" w:color="auto" w:fill="4F81BD" w:themeFill="accent1"/>
      <w:tblCellMar>
        <w:left w:w="115" w:type="dxa"/>
        <w:right w:w="115" w:type="dxa"/>
      </w:tblCellMar>
      <w:tblLook w:val="04A0" w:firstRow="1" w:lastRow="0" w:firstColumn="1" w:lastColumn="0" w:noHBand="0" w:noVBand="1"/>
    </w:tblPr>
    <w:tblGrid>
      <w:gridCol w:w="8932"/>
      <w:gridCol w:w="2978"/>
    </w:tblGrid>
    <w:tr w:rsidR="005B484B" w14:paraId="13B7DED6" w14:textId="77777777" w:rsidTr="00E62F4C">
      <w:trPr>
        <w:trHeight w:val="75"/>
      </w:trPr>
      <w:tc>
        <w:tcPr>
          <w:tcW w:w="3750" w:type="pct"/>
          <w:shd w:val="clear" w:color="auto" w:fill="4F81BD" w:themeFill="accent1"/>
          <w:vAlign w:val="center"/>
        </w:tcPr>
        <w:p w14:paraId="23284D14" w14:textId="77777777" w:rsidR="005B484B" w:rsidRPr="000B2C5D" w:rsidRDefault="00BE462A" w:rsidP="00E62F4C">
          <w:pPr>
            <w:pStyle w:val="Pieddepage"/>
            <w:spacing w:before="80" w:after="80"/>
            <w:ind w:firstLine="304"/>
            <w:jc w:val="both"/>
            <w:rPr>
              <w:i/>
              <w:caps/>
              <w:color w:val="FFFFFF" w:themeColor="background1"/>
              <w:sz w:val="16"/>
              <w:szCs w:val="16"/>
            </w:rPr>
          </w:pPr>
          <w:sdt>
            <w:sdtPr>
              <w:rPr>
                <w:i/>
                <w:caps/>
                <w:color w:val="FFFFFF" w:themeColor="background1"/>
                <w:sz w:val="16"/>
                <w:szCs w:val="16"/>
              </w:rPr>
              <w:alias w:val="Titre"/>
              <w:tag w:val=""/>
              <w:id w:val="960536558"/>
              <w:dataBinding w:prefixMappings="xmlns:ns0='http://purl.org/dc/elements/1.1/' xmlns:ns1='http://schemas.openxmlformats.org/package/2006/metadata/core-properties' " w:xpath="/ns1:coreProperties[1]/ns0:title[1]" w:storeItemID="{6C3C8BC8-F283-45AE-878A-BAB7291924A1}"/>
              <w:text/>
            </w:sdtPr>
            <w:sdtEndPr/>
            <w:sdtContent>
              <w:r w:rsidR="005B484B">
                <w:rPr>
                  <w:i/>
                  <w:caps/>
                  <w:color w:val="FFFFFF" w:themeColor="background1"/>
                  <w:sz w:val="16"/>
                  <w:szCs w:val="16"/>
                </w:rPr>
                <w:t>Circulaire relative à l’élaboration des budgets des communes de la Région walloNne</w:t>
              </w:r>
            </w:sdtContent>
          </w:sdt>
        </w:p>
      </w:tc>
      <w:tc>
        <w:tcPr>
          <w:tcW w:w="1250" w:type="pct"/>
          <w:shd w:val="clear" w:color="auto" w:fill="4F81BD" w:themeFill="accent1"/>
          <w:vAlign w:val="center"/>
        </w:tcPr>
        <w:sdt>
          <w:sdtPr>
            <w:rPr>
              <w:i/>
              <w:caps/>
              <w:color w:val="FFFFFF" w:themeColor="background1"/>
              <w:sz w:val="16"/>
              <w:szCs w:val="16"/>
            </w:rPr>
            <w:alias w:val="Auteur"/>
            <w:tag w:val=""/>
            <w:id w:val="-569120502"/>
            <w:dataBinding w:prefixMappings="xmlns:ns0='http://purl.org/dc/elements/1.1/' xmlns:ns1='http://schemas.openxmlformats.org/package/2006/metadata/core-properties' " w:xpath="/ns1:coreProperties[1]/ns0:creator[1]" w:storeItemID="{6C3C8BC8-F283-45AE-878A-BAB7291924A1}"/>
            <w:text/>
          </w:sdtPr>
          <w:sdtEndPr/>
          <w:sdtContent>
            <w:p w14:paraId="5C21B209" w14:textId="556DE433" w:rsidR="005B484B" w:rsidRPr="000B2C5D" w:rsidRDefault="00D1182E" w:rsidP="00E62F4C">
              <w:pPr>
                <w:pStyle w:val="Pieddepage"/>
                <w:spacing w:before="80" w:after="80"/>
                <w:ind w:right="317"/>
                <w:jc w:val="right"/>
                <w:rPr>
                  <w:i/>
                  <w:caps/>
                  <w:color w:val="FFFFFF" w:themeColor="background1"/>
                  <w:sz w:val="16"/>
                  <w:szCs w:val="16"/>
                </w:rPr>
              </w:pPr>
              <w:r>
                <w:rPr>
                  <w:i/>
                  <w:caps/>
                  <w:color w:val="FFFFFF" w:themeColor="background1"/>
                  <w:sz w:val="16"/>
                  <w:szCs w:val="16"/>
                </w:rPr>
                <w:t>Année 2023</w:t>
              </w:r>
            </w:p>
          </w:sdtContent>
        </w:sdt>
      </w:tc>
    </w:tr>
  </w:tbl>
  <w:p w14:paraId="0FEC69DF" w14:textId="77777777" w:rsidR="005B484B" w:rsidRDefault="005B484B" w:rsidP="002A7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D480" w14:textId="77777777" w:rsidR="00BE462A" w:rsidRDefault="00BE462A" w:rsidP="009E2DEA">
      <w:r>
        <w:separator/>
      </w:r>
    </w:p>
  </w:footnote>
  <w:footnote w:type="continuationSeparator" w:id="0">
    <w:p w14:paraId="72830C07" w14:textId="77777777" w:rsidR="00BE462A" w:rsidRDefault="00BE462A" w:rsidP="009E2DEA">
      <w:r>
        <w:continuationSeparator/>
      </w:r>
    </w:p>
  </w:footnote>
  <w:footnote w:id="1">
    <w:p w14:paraId="4704736D" w14:textId="7EEBF3D1"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L1313-1 du CDLD</w:t>
      </w:r>
      <w:r>
        <w:rPr>
          <w:lang w:val="fr-BE"/>
        </w:rPr>
        <w:t>.</w:t>
      </w:r>
    </w:p>
  </w:footnote>
  <w:footnote w:id="2">
    <w:p w14:paraId="074F2DEB" w14:textId="637447E2" w:rsidR="005B484B" w:rsidRPr="008D7EB7" w:rsidRDefault="005B484B">
      <w:pPr>
        <w:pStyle w:val="Notedebasdepage"/>
        <w:rPr>
          <w:lang w:val="fr-BE"/>
        </w:rPr>
      </w:pPr>
      <w:r>
        <w:rPr>
          <w:rStyle w:val="Appelnotedebasdep"/>
        </w:rPr>
        <w:footnoteRef/>
      </w:r>
      <w:r w:rsidRPr="008D7EB7">
        <w:rPr>
          <w:lang w:val="fr-BE"/>
        </w:rPr>
        <w:t xml:space="preserve"> Moniteur belge du 23 avril 2019.</w:t>
      </w:r>
    </w:p>
  </w:footnote>
  <w:footnote w:id="3">
    <w:p w14:paraId="1D477DF0" w14:textId="76658585" w:rsidR="005B484B" w:rsidRPr="008D7EB7" w:rsidRDefault="005B484B">
      <w:pPr>
        <w:pStyle w:val="Notedebasdepage"/>
        <w:rPr>
          <w:lang w:val="fr-BE"/>
        </w:rPr>
      </w:pPr>
      <w:r>
        <w:rPr>
          <w:rStyle w:val="Appelnotedebasdep"/>
        </w:rPr>
        <w:footnoteRef/>
      </w:r>
      <w:r w:rsidRPr="008D7EB7">
        <w:rPr>
          <w:lang w:val="fr-BE"/>
        </w:rPr>
        <w:t xml:space="preserve"> Document en ligne sur http://ecomptes.wallonie.be/ecomptes/index.php?aide&amp;logiciel=D2FE3446-31BC-4444-85B0-5F8D334528CA&amp;id=EC856C8A-2AD8-40E8-9564-0FAE464AF21E</w:t>
      </w:r>
      <w:r>
        <w:rPr>
          <w:lang w:val="fr-BE"/>
        </w:rPr>
        <w:t>.</w:t>
      </w:r>
    </w:p>
  </w:footnote>
  <w:footnote w:id="4">
    <w:p w14:paraId="451375B9" w14:textId="6F6A8C48"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rticles L1314-1 et -2 du CDLD</w:t>
      </w:r>
      <w:r>
        <w:rPr>
          <w:lang w:val="fr-BE"/>
        </w:rPr>
        <w:t>.</w:t>
      </w:r>
    </w:p>
  </w:footnote>
  <w:footnote w:id="5">
    <w:p w14:paraId="0DAB570B" w14:textId="64BB8C45" w:rsidR="005B484B" w:rsidRPr="008D7EB7" w:rsidRDefault="005B484B" w:rsidP="008D7EB7">
      <w:pPr>
        <w:pStyle w:val="Notedebasdepage"/>
        <w:jc w:val="both"/>
        <w:rPr>
          <w:lang w:val="fr-BE"/>
        </w:rPr>
      </w:pPr>
      <w:r>
        <w:rPr>
          <w:rStyle w:val="Appelnotedebasdep"/>
        </w:rPr>
        <w:footnoteRef/>
      </w:r>
      <w:r w:rsidRPr="008D7EB7">
        <w:rPr>
          <w:lang w:val="fr-BE"/>
        </w:rPr>
        <w:t xml:space="preserve"> Arrêtés ministériels du 30 octobre 1990.</w:t>
      </w:r>
    </w:p>
  </w:footnote>
  <w:footnote w:id="6">
    <w:p w14:paraId="54C3550C" w14:textId="601D05BD"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394F8E">
        <w:rPr>
          <w:lang w:val="fr-BE"/>
        </w:rPr>
        <w:t>rticle L1122-23 du CDLD</w:t>
      </w:r>
      <w:r>
        <w:rPr>
          <w:lang w:val="fr-BE"/>
        </w:rPr>
        <w:t>.</w:t>
      </w:r>
    </w:p>
  </w:footnote>
  <w:footnote w:id="7">
    <w:p w14:paraId="1D59701F" w14:textId="77777777" w:rsidR="005B484B" w:rsidRPr="008D7EB7" w:rsidRDefault="005B484B">
      <w:pPr>
        <w:pStyle w:val="Notedebasdepage"/>
        <w:rPr>
          <w:lang w:val="fr-BE"/>
        </w:rPr>
      </w:pPr>
      <w:r w:rsidRPr="006126A1">
        <w:rPr>
          <w:rStyle w:val="Appelnotedebasdep"/>
        </w:rPr>
        <w:footnoteRef/>
      </w:r>
      <w:r w:rsidRPr="008D7EB7">
        <w:rPr>
          <w:lang w:val="fr-BE"/>
        </w:rPr>
        <w:t xml:space="preserve"> Articles 1, 4° et 2 du RGCC et Arrêté ministériel du 6 mars 2009. </w:t>
      </w:r>
    </w:p>
  </w:footnote>
  <w:footnote w:id="8">
    <w:p w14:paraId="241BC6FA" w14:textId="57A7356B"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5E467C">
        <w:rPr>
          <w:lang w:val="fr-BE"/>
        </w:rPr>
        <w:t>rticle 7 du RGCC</w:t>
      </w:r>
      <w:r>
        <w:rPr>
          <w:lang w:val="fr-BE"/>
        </w:rPr>
        <w:t>.</w:t>
      </w:r>
    </w:p>
  </w:footnote>
  <w:footnote w:id="9">
    <w:p w14:paraId="4EC0FF16" w14:textId="376E678F" w:rsidR="005B484B" w:rsidRPr="008D7EB7" w:rsidRDefault="005B484B">
      <w:pPr>
        <w:pStyle w:val="Notedebasdepage"/>
        <w:rPr>
          <w:lang w:val="fr-BE"/>
        </w:rPr>
      </w:pPr>
      <w:r>
        <w:rPr>
          <w:rStyle w:val="Appelnotedebasdep"/>
        </w:rPr>
        <w:footnoteRef/>
      </w:r>
      <w:r w:rsidRPr="008D7EB7">
        <w:rPr>
          <w:lang w:val="fr-BE"/>
        </w:rPr>
        <w:t xml:space="preserve"> </w:t>
      </w:r>
      <w:r>
        <w:rPr>
          <w:lang w:val="fr-BE"/>
        </w:rPr>
        <w:t>Mi</w:t>
      </w:r>
      <w:r w:rsidRPr="00FD0BF2">
        <w:rPr>
          <w:lang w:val="fr-BE"/>
        </w:rPr>
        <w:t>se en application des articles L3112-1 et L3113-1 du CDLD</w:t>
      </w:r>
      <w:r>
        <w:rPr>
          <w:lang w:val="fr-BE"/>
        </w:rPr>
        <w:t>.</w:t>
      </w:r>
    </w:p>
  </w:footnote>
  <w:footnote w:id="10">
    <w:p w14:paraId="270F780B" w14:textId="62B870DF" w:rsidR="005B484B" w:rsidRPr="008D7EB7" w:rsidRDefault="005B484B" w:rsidP="008D7EB7">
      <w:pPr>
        <w:pStyle w:val="Notedebasdepage"/>
        <w:jc w:val="both"/>
        <w:rPr>
          <w:lang w:val="fr-BE"/>
        </w:rPr>
      </w:pPr>
      <w:r>
        <w:rPr>
          <w:rStyle w:val="Appelnotedebasdep"/>
        </w:rPr>
        <w:footnoteRef/>
      </w:r>
      <w:r w:rsidRPr="008D7EB7">
        <w:rPr>
          <w:lang w:val="fr-BE"/>
        </w:rPr>
        <w:t xml:space="preserve"> Cf. document en ligne </w:t>
      </w:r>
      <w:proofErr w:type="gramStart"/>
      <w:r w:rsidRPr="008D7EB7">
        <w:rPr>
          <w:lang w:val="fr-BE"/>
        </w:rPr>
        <w:t>sur  http://ecomptes.wallonie.be/ecomptes/index.php?aide&amp;logiciel=D2FE3446-31BC-4444-85B0-5F8D334528CA&amp;id=4B40F9F5-A057-4EE1-9C7B-23B1DE56293B</w:t>
      </w:r>
      <w:proofErr w:type="gramEnd"/>
      <w:r w:rsidRPr="008D7EB7">
        <w:rPr>
          <w:lang w:val="fr-BE"/>
        </w:rPr>
        <w:t>.</w:t>
      </w:r>
    </w:p>
  </w:footnote>
  <w:footnote w:id="11">
    <w:p w14:paraId="3A8732E7" w14:textId="5AAB5BA2" w:rsidR="005B484B" w:rsidRPr="008D7EB7" w:rsidRDefault="005B484B">
      <w:pPr>
        <w:pStyle w:val="Notedebasdepage"/>
        <w:rPr>
          <w:lang w:val="fr-BE"/>
        </w:rPr>
      </w:pPr>
      <w:r>
        <w:rPr>
          <w:rStyle w:val="Appelnotedebasdep"/>
        </w:rPr>
        <w:footnoteRef/>
      </w:r>
      <w:r w:rsidRPr="008D7EB7">
        <w:rPr>
          <w:lang w:val="fr-BE"/>
        </w:rPr>
        <w:t xml:space="preserve"> </w:t>
      </w:r>
      <w:r w:rsidRPr="000A2D19">
        <w:rPr>
          <w:lang w:val="fr-BE"/>
        </w:rPr>
        <w:t>Moniteur belge du 5 janvier 2016</w:t>
      </w:r>
      <w:r>
        <w:rPr>
          <w:lang w:val="fr-BE"/>
        </w:rPr>
        <w:t>.</w:t>
      </w:r>
    </w:p>
  </w:footnote>
  <w:footnote w:id="12">
    <w:p w14:paraId="684B759C" w14:textId="4FFC4B63"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10 du RGCC</w:t>
      </w:r>
      <w:r>
        <w:rPr>
          <w:lang w:val="fr-BE"/>
        </w:rPr>
        <w:t>.</w:t>
      </w:r>
    </w:p>
  </w:footnote>
  <w:footnote w:id="13">
    <w:p w14:paraId="19D2FE5A" w14:textId="08D3F3B9"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0A2D19">
        <w:rPr>
          <w:lang w:val="fr-BE"/>
        </w:rPr>
        <w:t>rticle 10 du RGCC</w:t>
      </w:r>
      <w:r>
        <w:rPr>
          <w:lang w:val="fr-BE"/>
        </w:rPr>
        <w:t>.</w:t>
      </w:r>
    </w:p>
  </w:footnote>
  <w:footnote w:id="14">
    <w:p w14:paraId="78D474D0" w14:textId="6DBFD6D5" w:rsidR="005B484B" w:rsidRPr="008D7EB7" w:rsidRDefault="005B484B">
      <w:pPr>
        <w:pStyle w:val="Notedebasdepage"/>
        <w:rPr>
          <w:lang w:val="fr-BE"/>
        </w:rPr>
      </w:pPr>
      <w:r>
        <w:rPr>
          <w:rStyle w:val="Appelnotedebasdep"/>
        </w:rPr>
        <w:footnoteRef/>
      </w:r>
      <w:r w:rsidRPr="008D7EB7">
        <w:rPr>
          <w:lang w:val="fr-BE"/>
        </w:rPr>
        <w:t xml:space="preserve"> </w:t>
      </w:r>
      <w:r>
        <w:rPr>
          <w:lang w:val="fr-BE"/>
        </w:rPr>
        <w:t>Ar</w:t>
      </w:r>
      <w:r w:rsidRPr="000A2D19">
        <w:rPr>
          <w:lang w:val="fr-BE"/>
        </w:rPr>
        <w:t>ticle L3321-4 du CDLD</w:t>
      </w:r>
      <w:r>
        <w:rPr>
          <w:lang w:val="fr-BE"/>
        </w:rPr>
        <w:t>.</w:t>
      </w:r>
    </w:p>
  </w:footnote>
  <w:footnote w:id="15">
    <w:p w14:paraId="3A26B617" w14:textId="479EBFFE"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1</w:t>
      </w:r>
      <w:r w:rsidRPr="008D7EB7">
        <w:rPr>
          <w:vertAlign w:val="superscript"/>
          <w:lang w:val="fr-BE"/>
        </w:rPr>
        <w:t>er</w:t>
      </w:r>
      <w:r w:rsidRPr="008D7EB7">
        <w:rPr>
          <w:lang w:val="fr-BE"/>
        </w:rPr>
        <w:t xml:space="preserve"> juillet 2013, 1</w:t>
      </w:r>
      <w:r w:rsidRPr="008D7EB7">
        <w:rPr>
          <w:vertAlign w:val="superscript"/>
          <w:lang w:val="fr-BE"/>
        </w:rPr>
        <w:t>e</w:t>
      </w:r>
      <w:r w:rsidRPr="008D7EB7">
        <w:rPr>
          <w:lang w:val="fr-BE"/>
        </w:rPr>
        <w:t xml:space="preserve"> </w:t>
      </w:r>
      <w:r w:rsidRPr="00ED2CF5">
        <w:rPr>
          <w:lang w:val="fr-BE"/>
        </w:rPr>
        <w:t>édition</w:t>
      </w:r>
      <w:r w:rsidRPr="008D7EB7">
        <w:rPr>
          <w:lang w:val="fr-BE"/>
        </w:rPr>
        <w:t>.</w:t>
      </w:r>
    </w:p>
  </w:footnote>
  <w:footnote w:id="16">
    <w:p w14:paraId="23257C08" w14:textId="1243D160"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 du 20 juin 2014, 4</w:t>
      </w:r>
      <w:r w:rsidRPr="008D7EB7">
        <w:rPr>
          <w:i/>
          <w:vertAlign w:val="superscript"/>
          <w:lang w:val="fr-BE"/>
        </w:rPr>
        <w:t>e</w:t>
      </w:r>
      <w:r w:rsidRPr="008D7EB7">
        <w:rPr>
          <w:i/>
          <w:lang w:val="fr-BE"/>
        </w:rPr>
        <w:t xml:space="preserve"> </w:t>
      </w:r>
      <w:proofErr w:type="spellStart"/>
      <w:r w:rsidRPr="008D7EB7">
        <w:rPr>
          <w:i/>
          <w:lang w:val="fr-BE"/>
        </w:rPr>
        <w:t>edition</w:t>
      </w:r>
      <w:proofErr w:type="spellEnd"/>
      <w:r w:rsidRPr="008D7EB7">
        <w:rPr>
          <w:i/>
          <w:lang w:val="fr-BE"/>
        </w:rPr>
        <w:t>.</w:t>
      </w:r>
    </w:p>
  </w:footnote>
  <w:footnote w:id="17">
    <w:p w14:paraId="20AA4965" w14:textId="682E9777"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20 juin 2008, 2</w:t>
      </w:r>
      <w:r w:rsidRPr="008D7EB7">
        <w:rPr>
          <w:vertAlign w:val="superscript"/>
          <w:lang w:val="fr-BE"/>
        </w:rPr>
        <w:t>e</w:t>
      </w:r>
      <w:r w:rsidRPr="008D7EB7">
        <w:rPr>
          <w:lang w:val="fr-BE"/>
        </w:rPr>
        <w:t xml:space="preserve"> </w:t>
      </w:r>
      <w:proofErr w:type="spellStart"/>
      <w:r w:rsidRPr="008D7EB7">
        <w:rPr>
          <w:lang w:val="fr-BE"/>
        </w:rPr>
        <w:t>edition</w:t>
      </w:r>
      <w:proofErr w:type="spellEnd"/>
      <w:r w:rsidRPr="008D7EB7">
        <w:rPr>
          <w:lang w:val="fr-BE"/>
        </w:rPr>
        <w:t xml:space="preserve">. </w:t>
      </w:r>
    </w:p>
  </w:footnote>
  <w:footnote w:id="18">
    <w:p w14:paraId="1FF78E70" w14:textId="01C8F0F3"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18 juillet 2017.</w:t>
      </w:r>
    </w:p>
  </w:footnote>
  <w:footnote w:id="19">
    <w:p w14:paraId="469BA108" w14:textId="069F2913" w:rsidR="00F5243A" w:rsidRPr="00256E9F" w:rsidRDefault="00F5243A">
      <w:pPr>
        <w:pStyle w:val="Notedebasdepage"/>
        <w:rPr>
          <w:lang w:val="fr-BE"/>
        </w:rPr>
      </w:pPr>
      <w:r>
        <w:rPr>
          <w:rStyle w:val="Appelnotedebasdep"/>
        </w:rPr>
        <w:footnoteRef/>
      </w:r>
      <w:r>
        <w:t xml:space="preserve"> </w:t>
      </w:r>
      <w:r w:rsidRPr="00256E9F">
        <w:rPr>
          <w:i/>
          <w:iCs/>
          <w:lang w:val="fr-BE"/>
        </w:rPr>
        <w:t>Moniteur belge</w:t>
      </w:r>
      <w:r>
        <w:rPr>
          <w:lang w:val="fr-BE"/>
        </w:rPr>
        <w:t xml:space="preserve"> du 1</w:t>
      </w:r>
      <w:r w:rsidRPr="00256E9F">
        <w:rPr>
          <w:vertAlign w:val="superscript"/>
          <w:lang w:val="fr-BE"/>
        </w:rPr>
        <w:t>er</w:t>
      </w:r>
      <w:r>
        <w:rPr>
          <w:lang w:val="fr-BE"/>
        </w:rPr>
        <w:t xml:space="preserve"> septembre 2021.</w:t>
      </w:r>
    </w:p>
  </w:footnote>
  <w:footnote w:id="20">
    <w:p w14:paraId="1902A7F2" w14:textId="450C17A1" w:rsidR="005B484B" w:rsidRPr="008D7EB7" w:rsidRDefault="005B484B">
      <w:pPr>
        <w:pStyle w:val="Notedebasdepage"/>
        <w:rPr>
          <w:lang w:val="fr-BE"/>
        </w:rPr>
      </w:pPr>
      <w:r>
        <w:rPr>
          <w:rStyle w:val="Appelnotedebasdep"/>
        </w:rPr>
        <w:footnoteRef/>
      </w:r>
      <w:r w:rsidRPr="008D7EB7">
        <w:rPr>
          <w:lang w:val="fr-BE"/>
        </w:rPr>
        <w:t xml:space="preserve"> Moniteur belge du 18 décembre 2018</w:t>
      </w:r>
      <w:r>
        <w:rPr>
          <w:lang w:val="fr-BE"/>
        </w:rPr>
        <w:t>.</w:t>
      </w:r>
    </w:p>
  </w:footnote>
  <w:footnote w:id="21">
    <w:p w14:paraId="78F4BBF9" w14:textId="40E1F4C9" w:rsidR="005B484B" w:rsidRPr="008D7EB7" w:rsidRDefault="005B484B">
      <w:pPr>
        <w:pStyle w:val="Notedebasdepage"/>
        <w:rPr>
          <w:lang w:val="fr-BE"/>
        </w:rPr>
      </w:pPr>
      <w:r>
        <w:rPr>
          <w:rStyle w:val="Appelnotedebasdep"/>
        </w:rPr>
        <w:footnoteRef/>
      </w:r>
      <w:r w:rsidRPr="008D7EB7">
        <w:rPr>
          <w:lang w:val="fr-BE"/>
        </w:rPr>
        <w:t xml:space="preserve"> </w:t>
      </w:r>
      <w:r>
        <w:rPr>
          <w:lang w:val="fr-BE"/>
        </w:rPr>
        <w:t>C</w:t>
      </w:r>
      <w:r w:rsidRPr="00F528FC">
        <w:rPr>
          <w:lang w:val="fr-BE"/>
        </w:rPr>
        <w:t>irculaire du 24 novembre 2009</w:t>
      </w:r>
    </w:p>
  </w:footnote>
  <w:footnote w:id="22">
    <w:p w14:paraId="28D8FE4F" w14:textId="41B13CD1" w:rsidR="005B484B" w:rsidRPr="008D7EB7" w:rsidRDefault="005B484B">
      <w:pPr>
        <w:pStyle w:val="Notedebasdepage"/>
        <w:rPr>
          <w:lang w:val="fr-BE"/>
        </w:rPr>
      </w:pPr>
      <w:r>
        <w:rPr>
          <w:rStyle w:val="Appelnotedebasdep"/>
        </w:rPr>
        <w:footnoteRef/>
      </w:r>
      <w:r w:rsidRPr="008D7EB7">
        <w:rPr>
          <w:lang w:val="fr-BE"/>
        </w:rPr>
        <w:t xml:space="preserve"> </w:t>
      </w:r>
      <w:r w:rsidRPr="00F528FC">
        <w:rPr>
          <w:lang w:val="fr-BE"/>
        </w:rPr>
        <w:t>Moniteur belge du 3 novembre 2011</w:t>
      </w:r>
      <w:r>
        <w:rPr>
          <w:lang w:val="fr-BE"/>
        </w:rPr>
        <w:t>.</w:t>
      </w:r>
    </w:p>
  </w:footnote>
  <w:footnote w:id="23">
    <w:p w14:paraId="19D8790E" w14:textId="77777777" w:rsidR="005B484B" w:rsidRPr="00900C39" w:rsidRDefault="005B484B" w:rsidP="001B1015">
      <w:pPr>
        <w:pStyle w:val="Notedebasdepage"/>
        <w:jc w:val="both"/>
        <w:rPr>
          <w:lang w:val="fr-BE"/>
        </w:rPr>
      </w:pPr>
      <w:r w:rsidRPr="00900C39">
        <w:rPr>
          <w:rStyle w:val="Appelnotedebasdep"/>
          <w:lang w:val="fr-BE"/>
        </w:rPr>
        <w:t>[1]</w:t>
      </w:r>
      <w:r w:rsidRPr="00900C39">
        <w:rPr>
          <w:lang w:val="fr-BE"/>
        </w:rPr>
        <w:t xml:space="preserve"> Relative à la non prise en considération de services en tant que personnel non nommé à titre définitif dans une pension du secteur public, modifiant la responsabilisation individuelle des administrations provinciales et locales au sein du Fonds de pension solidarisé, adaptant la règlementation des pensions complémentaires, modifiant les modalités de financement du Fonds de pension solidarise des administrations provinciales et locales et portant un financement supplémentaire du Fonds de pension solidarise des administrations provinciales et locales.</w:t>
      </w:r>
    </w:p>
  </w:footnote>
  <w:footnote w:id="24">
    <w:p w14:paraId="20A8D7AB" w14:textId="77777777" w:rsidR="005B484B" w:rsidRPr="00900C39" w:rsidRDefault="005B484B" w:rsidP="001B1015">
      <w:pPr>
        <w:pStyle w:val="Notedebasdepage"/>
        <w:jc w:val="both"/>
        <w:rPr>
          <w:lang w:val="fr-BE"/>
        </w:rPr>
      </w:pPr>
      <w:r w:rsidRPr="00900C39">
        <w:rPr>
          <w:rStyle w:val="Appelnotedebasdep"/>
          <w:lang w:val="fr-BE"/>
        </w:rPr>
        <w:t>[2]</w:t>
      </w:r>
      <w:r w:rsidRPr="00900C39">
        <w:rPr>
          <w:lang w:val="fr-BE"/>
        </w:rPr>
        <w:t xml:space="preserve"> La mise en place de cette pension est présentée comme un incitant suffisant pour ne plus nommer des contractuels de manière tardive et ainsi limiter le coût des pensions de fonctionnaires.</w:t>
      </w:r>
    </w:p>
  </w:footnote>
  <w:footnote w:id="25">
    <w:p w14:paraId="0F451FEE" w14:textId="2A1FAB54" w:rsidR="005B484B" w:rsidRPr="008D7EB7" w:rsidRDefault="005B484B">
      <w:pPr>
        <w:pStyle w:val="Notedebasdepage"/>
        <w:rPr>
          <w:lang w:val="fr-BE"/>
        </w:rPr>
      </w:pPr>
      <w:r>
        <w:rPr>
          <w:rStyle w:val="Appelnotedebasdep"/>
        </w:rPr>
        <w:footnoteRef/>
      </w:r>
      <w:r w:rsidRPr="008D7EB7">
        <w:rPr>
          <w:lang w:val="fr-BE"/>
        </w:rPr>
        <w:t xml:space="preserve"> Moniteur belge du 20 septembre 2019.</w:t>
      </w:r>
    </w:p>
  </w:footnote>
  <w:footnote w:id="26">
    <w:p w14:paraId="0C135F7A" w14:textId="3F63D9E0" w:rsidR="005B484B" w:rsidRPr="008D7EB7" w:rsidRDefault="005B484B">
      <w:pPr>
        <w:pStyle w:val="Notedebasdepage"/>
        <w:rPr>
          <w:lang w:val="fr-BE"/>
        </w:rPr>
      </w:pPr>
      <w:r>
        <w:rPr>
          <w:rStyle w:val="Appelnotedebasdep"/>
        </w:rPr>
        <w:footnoteRef/>
      </w:r>
      <w:r w:rsidRPr="008D7EB7">
        <w:rPr>
          <w:lang w:val="fr-BE"/>
        </w:rPr>
        <w:t xml:space="preserve"> Moniteur belge du 6 décembre 2019.</w:t>
      </w:r>
    </w:p>
  </w:footnote>
  <w:footnote w:id="27">
    <w:p w14:paraId="187728FB" w14:textId="2D20D6E4" w:rsidR="005B484B" w:rsidRPr="008D7EB7" w:rsidRDefault="005B484B">
      <w:pPr>
        <w:pStyle w:val="Notedebasdepage"/>
        <w:rPr>
          <w:lang w:val="fr-BE"/>
        </w:rPr>
      </w:pPr>
      <w:r>
        <w:rPr>
          <w:rStyle w:val="Appelnotedebasdep"/>
        </w:rPr>
        <w:footnoteRef/>
      </w:r>
      <w:r w:rsidRPr="008D7EB7">
        <w:rPr>
          <w:lang w:val="fr-BE"/>
        </w:rPr>
        <w:t xml:space="preserve"> </w:t>
      </w:r>
      <w:r w:rsidRPr="00582A82">
        <w:rPr>
          <w:lang w:val="fr-BE"/>
        </w:rPr>
        <w:t>Moniteur belge du 22 juin 2009</w:t>
      </w:r>
      <w:r>
        <w:rPr>
          <w:lang w:val="fr-BE"/>
        </w:rPr>
        <w:t>.</w:t>
      </w:r>
    </w:p>
  </w:footnote>
  <w:footnote w:id="28">
    <w:p w14:paraId="0B2F1AA6" w14:textId="77777777" w:rsidR="005B484B" w:rsidRPr="00E063FD" w:rsidRDefault="005B484B" w:rsidP="00E063FD">
      <w:pPr>
        <w:pStyle w:val="Notedebasdepage"/>
        <w:jc w:val="both"/>
        <w:rPr>
          <w:sz w:val="16"/>
          <w:szCs w:val="16"/>
          <w:lang w:val="fr-BE"/>
        </w:rPr>
      </w:pPr>
      <w:r w:rsidRPr="00E063FD">
        <w:rPr>
          <w:rStyle w:val="Appelnotedebasdep"/>
          <w:sz w:val="16"/>
          <w:szCs w:val="16"/>
        </w:rPr>
        <w:footnoteRef/>
      </w:r>
      <w:r w:rsidRPr="00E063FD">
        <w:rPr>
          <w:sz w:val="16"/>
          <w:szCs w:val="16"/>
          <w:lang w:val="fr-BE"/>
        </w:rPr>
        <w:t xml:space="preserve"> </w:t>
      </w:r>
      <w:r w:rsidRPr="00E063FD">
        <w:rPr>
          <w:rFonts w:eastAsia="Times New Roman"/>
          <w:color w:val="000000"/>
          <w:spacing w:val="3"/>
          <w:sz w:val="16"/>
          <w:szCs w:val="16"/>
          <w:lang w:val="fr-FR"/>
        </w:rPr>
        <w:t xml:space="preserve">Eurostat est une direction générale de la Commission européenne chargée de l'information statistique à l'échelle </w:t>
      </w:r>
      <w:r w:rsidRPr="00E063FD">
        <w:rPr>
          <w:rFonts w:eastAsia="Times New Roman"/>
          <w:color w:val="000000"/>
          <w:sz w:val="16"/>
          <w:szCs w:val="16"/>
          <w:lang w:val="fr-FR"/>
        </w:rPr>
        <w:t>communautaire. Elle a pour rôle de produire les statistiques officielles de l'Union européenne, principalement en collectant, harmonisant et agrégeant les données publiées par les instituts nationaux de statistiques des pays membres</w:t>
      </w:r>
    </w:p>
  </w:footnote>
  <w:footnote w:id="29">
    <w:p w14:paraId="2B0DC9ED" w14:textId="7C780F8D"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3 du RGCC</w:t>
      </w:r>
      <w:r>
        <w:rPr>
          <w:lang w:val="fr-BE"/>
        </w:rPr>
        <w:t>.</w:t>
      </w:r>
    </w:p>
  </w:footnote>
  <w:footnote w:id="30">
    <w:p w14:paraId="59C6E9C5" w14:textId="6FDB0627" w:rsidR="005B484B" w:rsidRPr="008D7EB7" w:rsidRDefault="005B484B">
      <w:pPr>
        <w:pStyle w:val="Notedebasdepage"/>
        <w:rPr>
          <w:lang w:val="fr-BE"/>
        </w:rPr>
      </w:pPr>
      <w:r>
        <w:rPr>
          <w:rStyle w:val="Appelnotedebasdep"/>
        </w:rPr>
        <w:footnoteRef/>
      </w:r>
      <w:r w:rsidRPr="008D7EB7">
        <w:rPr>
          <w:lang w:val="fr-BE"/>
        </w:rPr>
        <w:t xml:space="preserve"> Moniteur belge du 10 octobre 2018.</w:t>
      </w:r>
    </w:p>
  </w:footnote>
  <w:footnote w:id="31">
    <w:p w14:paraId="7C035BF8" w14:textId="4A367D6C" w:rsidR="005B484B" w:rsidRPr="008D7EB7" w:rsidRDefault="005B484B">
      <w:pPr>
        <w:pStyle w:val="Notedebasdepage"/>
        <w:rPr>
          <w:lang w:val="fr-BE"/>
        </w:rPr>
      </w:pPr>
      <w:r>
        <w:rPr>
          <w:rStyle w:val="Appelnotedebasdep"/>
        </w:rPr>
        <w:footnoteRef/>
      </w:r>
      <w:r w:rsidRPr="008D7EB7">
        <w:rPr>
          <w:lang w:val="fr-BE"/>
        </w:rPr>
        <w:t xml:space="preserve"> Moniteur belge du 10 octobre 2018</w:t>
      </w:r>
      <w:r>
        <w:rPr>
          <w:lang w:val="fr-BE"/>
        </w:rPr>
        <w:t>.</w:t>
      </w:r>
    </w:p>
  </w:footnote>
  <w:footnote w:id="32">
    <w:p w14:paraId="39E3F99D" w14:textId="62428BA9" w:rsidR="005B484B" w:rsidRPr="008D7EB7" w:rsidRDefault="005B484B">
      <w:pPr>
        <w:pStyle w:val="Notedebasdepage"/>
        <w:rPr>
          <w:lang w:val="fr-BE"/>
        </w:rPr>
      </w:pPr>
      <w:r>
        <w:rPr>
          <w:rStyle w:val="Appelnotedebasdep"/>
        </w:rPr>
        <w:footnoteRef/>
      </w:r>
      <w:r w:rsidRPr="008D7EB7">
        <w:rPr>
          <w:lang w:val="fr-BE"/>
        </w:rPr>
        <w:t xml:space="preserve"> </w:t>
      </w:r>
      <w:r>
        <w:rPr>
          <w:lang w:val="fr-BE"/>
        </w:rPr>
        <w:t>C</w:t>
      </w:r>
      <w:r w:rsidRPr="008D7EB7">
        <w:rPr>
          <w:lang w:val="fr-BE"/>
        </w:rPr>
        <w:t>irculaire du 21 janvier 2019.</w:t>
      </w:r>
    </w:p>
  </w:footnote>
  <w:footnote w:id="33">
    <w:p w14:paraId="67AF5DF2" w14:textId="74D286B6"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14 juillet 2016.</w:t>
      </w:r>
    </w:p>
  </w:footnote>
  <w:footnote w:id="34">
    <w:p w14:paraId="12972821" w14:textId="57F6ED3A"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9 mai 2017.</w:t>
      </w:r>
    </w:p>
  </w:footnote>
  <w:footnote w:id="35">
    <w:p w14:paraId="584ED12C" w14:textId="2691FBCA"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23 juin 2017.</w:t>
      </w:r>
    </w:p>
  </w:footnote>
  <w:footnote w:id="36">
    <w:p w14:paraId="2FA0A7EC" w14:textId="79A77766" w:rsidR="005B484B" w:rsidRPr="008D7EB7" w:rsidRDefault="005B484B">
      <w:pPr>
        <w:pStyle w:val="Notedebasdepage"/>
        <w:rPr>
          <w:lang w:val="fr-BE"/>
        </w:rPr>
      </w:pPr>
      <w:r>
        <w:rPr>
          <w:rStyle w:val="Appelnotedebasdep"/>
        </w:rPr>
        <w:footnoteRef/>
      </w:r>
      <w:r w:rsidRPr="008D7EB7">
        <w:rPr>
          <w:i/>
          <w:lang w:val="fr-BE"/>
        </w:rPr>
        <w:t xml:space="preserve"> Moniteur belge</w:t>
      </w:r>
      <w:r w:rsidRPr="008D7EB7">
        <w:rPr>
          <w:lang w:val="fr-BE"/>
        </w:rPr>
        <w:t xml:space="preserve"> du 29 juin 2017. </w:t>
      </w:r>
    </w:p>
  </w:footnote>
  <w:footnote w:id="37">
    <w:p w14:paraId="13A81679" w14:textId="31F450F3"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24 juin 2013.</w:t>
      </w:r>
    </w:p>
  </w:footnote>
  <w:footnote w:id="38">
    <w:p w14:paraId="65EA9C37" w14:textId="47B564DC" w:rsidR="001646D9" w:rsidRPr="00256E9F" w:rsidRDefault="001646D9">
      <w:pPr>
        <w:pStyle w:val="Notedebasdepage"/>
        <w:rPr>
          <w:lang w:val="fr-BE"/>
        </w:rPr>
      </w:pPr>
      <w:r>
        <w:rPr>
          <w:rStyle w:val="Appelnotedebasdep"/>
        </w:rPr>
        <w:footnoteRef/>
      </w:r>
      <w:r>
        <w:t xml:space="preserve"> </w:t>
      </w:r>
      <w:r w:rsidRPr="00256E9F">
        <w:rPr>
          <w:i/>
          <w:iCs/>
          <w:lang w:val="fr-BE"/>
        </w:rPr>
        <w:t>Moniteur belge</w:t>
      </w:r>
      <w:r>
        <w:rPr>
          <w:lang w:val="fr-BE"/>
        </w:rPr>
        <w:t xml:space="preserve"> du 16 avril 2019</w:t>
      </w:r>
    </w:p>
  </w:footnote>
  <w:footnote w:id="39">
    <w:p w14:paraId="5AC64B2F" w14:textId="4D0F517D" w:rsidR="001646D9" w:rsidRPr="00256E9F" w:rsidRDefault="001646D9">
      <w:pPr>
        <w:pStyle w:val="Notedebasdepage"/>
        <w:rPr>
          <w:lang w:val="fr-BE"/>
        </w:rPr>
      </w:pPr>
      <w:r>
        <w:rPr>
          <w:rStyle w:val="Appelnotedebasdep"/>
        </w:rPr>
        <w:footnoteRef/>
      </w:r>
      <w:r>
        <w:t xml:space="preserve"> </w:t>
      </w:r>
      <w:r w:rsidRPr="00256E9F">
        <w:rPr>
          <w:i/>
          <w:iCs/>
          <w:lang w:val="fr-BE"/>
        </w:rPr>
        <w:t>Moniteur belge</w:t>
      </w:r>
      <w:r>
        <w:rPr>
          <w:lang w:val="fr-BE"/>
        </w:rPr>
        <w:t xml:space="preserve"> du 31 mars 2022</w:t>
      </w:r>
    </w:p>
  </w:footnote>
  <w:footnote w:id="40">
    <w:p w14:paraId="142432F8" w14:textId="061C8BB2"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9 mars 2016.</w:t>
      </w:r>
    </w:p>
  </w:footnote>
  <w:footnote w:id="41">
    <w:p w14:paraId="12D0722C" w14:textId="2FE82F8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 xml:space="preserve">Arrêt </w:t>
      </w:r>
      <w:r>
        <w:rPr>
          <w:lang w:val="fr-BE"/>
        </w:rPr>
        <w:t>du 30 novembre 1950 et 13 juin 1961.</w:t>
      </w:r>
    </w:p>
  </w:footnote>
  <w:footnote w:id="42">
    <w:p w14:paraId="6D1B7FD3" w14:textId="475830D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Arrêts du 10 mai 2002 (C.01.0034.F/1) et 14 janvier 2013 (C.11.0769.N/3).</w:t>
      </w:r>
    </w:p>
  </w:footnote>
  <w:footnote w:id="43">
    <w:p w14:paraId="5B57DB36" w14:textId="6845987B"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 89/2010 du 29 juillet 2010, point B.15.2.</w:t>
      </w:r>
    </w:p>
  </w:footnote>
  <w:footnote w:id="44">
    <w:p w14:paraId="3C9FDBCF" w14:textId="3E6A84FB"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 xml:space="preserve">Instruction </w:t>
      </w:r>
      <w:proofErr w:type="spellStart"/>
      <w:r w:rsidRPr="007E3849">
        <w:rPr>
          <w:lang w:val="fr-BE"/>
        </w:rPr>
        <w:t>AGFisc</w:t>
      </w:r>
      <w:proofErr w:type="spellEnd"/>
      <w:r w:rsidRPr="007E3849">
        <w:rPr>
          <w:lang w:val="fr-BE"/>
        </w:rPr>
        <w:t xml:space="preserve"> n°19/2016 (N°Ci.702.951) du 3 octobre 2016.</w:t>
      </w:r>
    </w:p>
  </w:footnote>
  <w:footnote w:id="45">
    <w:p w14:paraId="033C6A23" w14:textId="5DFCF6D3"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Toutefois, ces articles ne s’appliquent pas aux taxes additionnelles aux impôts de l’autorité fédérale ainsi qu’aux taxes additionnelles perçues par la Région wallonne au profit des provinces et des communes.</w:t>
      </w:r>
    </w:p>
  </w:footnote>
  <w:footnote w:id="46">
    <w:p w14:paraId="08559D76" w14:textId="7E03E883"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Article 469 du code des impôts sur les revenus.</w:t>
      </w:r>
    </w:p>
  </w:footnote>
  <w:footnote w:id="47">
    <w:p w14:paraId="75238A00" w14:textId="1B564463"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 xml:space="preserve">Arrêt de la Cour de </w:t>
      </w:r>
      <w:proofErr w:type="gramStart"/>
      <w:r w:rsidRPr="007E3849">
        <w:rPr>
          <w:lang w:val="fr-BE"/>
        </w:rPr>
        <w:t>Cassation</w:t>
      </w:r>
      <w:proofErr w:type="gramEnd"/>
      <w:r w:rsidRPr="007E3849">
        <w:rPr>
          <w:lang w:val="fr-BE"/>
        </w:rPr>
        <w:t xml:space="preserve"> du 17 février 2005 (F.04.0023.F/3) qui cite E. </w:t>
      </w:r>
      <w:proofErr w:type="spellStart"/>
      <w:r w:rsidRPr="007E3849">
        <w:rPr>
          <w:lang w:val="fr-BE"/>
        </w:rPr>
        <w:t>Willemart</w:t>
      </w:r>
      <w:proofErr w:type="spellEnd"/>
      <w:r w:rsidRPr="007E3849">
        <w:rPr>
          <w:lang w:val="fr-BE"/>
        </w:rPr>
        <w:t xml:space="preserve">, Les limites constitutionnelles du pouvoir fiscal. </w:t>
      </w:r>
    </w:p>
  </w:footnote>
  <w:footnote w:id="48">
    <w:p w14:paraId="30F71CD5" w14:textId="102AD124"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n°173/2005 du 30 novembre 2005 (point B.6.5).</w:t>
      </w:r>
    </w:p>
  </w:footnote>
  <w:footnote w:id="49">
    <w:p w14:paraId="5128303A" w14:textId="2E6FE55C" w:rsidR="005B484B" w:rsidRPr="008D7EB7" w:rsidRDefault="005B484B">
      <w:pPr>
        <w:pStyle w:val="Notedebasdepage"/>
        <w:rPr>
          <w:lang w:val="fr-BE"/>
        </w:rPr>
      </w:pPr>
      <w:r>
        <w:rPr>
          <w:rStyle w:val="Appelnotedebasdep"/>
        </w:rPr>
        <w:footnoteRef/>
      </w:r>
      <w:r w:rsidRPr="008D7EB7">
        <w:rPr>
          <w:lang w:val="fr-BE"/>
        </w:rPr>
        <w:t xml:space="preserve"> </w:t>
      </w:r>
      <w:r w:rsidRPr="007E3849">
        <w:rPr>
          <w:sz w:val="18"/>
          <w:szCs w:val="18"/>
          <w:lang w:val="fr-BE"/>
        </w:rPr>
        <w:t>Arrêt du 10 novembre 1994 (F940024F).</w:t>
      </w:r>
    </w:p>
  </w:footnote>
  <w:footnote w:id="50">
    <w:p w14:paraId="4BE2805E" w14:textId="7C6AA8F9" w:rsidR="005B484B" w:rsidRPr="008D7EB7" w:rsidRDefault="005B484B">
      <w:pPr>
        <w:pStyle w:val="Notedebasdepage"/>
        <w:rPr>
          <w:lang w:val="fr-BE"/>
        </w:rPr>
      </w:pPr>
      <w:r>
        <w:rPr>
          <w:rStyle w:val="Appelnotedebasdep"/>
        </w:rPr>
        <w:footnoteRef/>
      </w:r>
      <w:r w:rsidRPr="008D7EB7">
        <w:rPr>
          <w:lang w:val="fr-BE"/>
        </w:rPr>
        <w:t xml:space="preserve"> </w:t>
      </w:r>
      <w:r w:rsidRPr="007E3849">
        <w:rPr>
          <w:sz w:val="18"/>
          <w:szCs w:val="18"/>
          <w:lang w:val="fr-BE"/>
        </w:rPr>
        <w:t>Cour constitutionnelle, Arrêt n° 39/96 du 27 juin 1996 (point B2.2).</w:t>
      </w:r>
    </w:p>
  </w:footnote>
  <w:footnote w:id="51">
    <w:p w14:paraId="7E5168BF" w14:textId="7884772D"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Cour constitutionnelle, Arrêts n° 163/2016 du 14 décembre 2016 (point B3) et n° 21/98 du 18 février 1998.</w:t>
      </w:r>
    </w:p>
  </w:footnote>
  <w:footnote w:id="52">
    <w:p w14:paraId="47A1CB8C" w14:textId="44F662F9"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n°242.959 du 16 novembre 2018.</w:t>
      </w:r>
    </w:p>
  </w:footnote>
  <w:footnote w:id="53">
    <w:p w14:paraId="742D8796" w14:textId="77777777" w:rsidR="006B2F77" w:rsidRPr="00AC2E2F" w:rsidRDefault="006B2F77" w:rsidP="006B2F77">
      <w:pPr>
        <w:pStyle w:val="Notedebasdepage"/>
        <w:rPr>
          <w:color w:val="0000FF"/>
          <w:lang w:val="fr-BE"/>
        </w:rPr>
      </w:pPr>
      <w:r w:rsidRPr="00AC2E2F">
        <w:rPr>
          <w:rStyle w:val="Appelnotedebasdep"/>
          <w:color w:val="0000FF"/>
        </w:rPr>
        <w:footnoteRef/>
      </w:r>
      <w:r w:rsidRPr="00AC2E2F">
        <w:rPr>
          <w:color w:val="0000FF"/>
        </w:rPr>
        <w:t xml:space="preserve"> </w:t>
      </w:r>
      <w:bookmarkStart w:id="3897" w:name="_Hlk93303643"/>
      <w:proofErr w:type="spellStart"/>
      <w:r w:rsidRPr="00AC2E2F">
        <w:rPr>
          <w:color w:val="0000FF"/>
        </w:rPr>
        <w:t>Arrêt</w:t>
      </w:r>
      <w:proofErr w:type="spellEnd"/>
      <w:r w:rsidRPr="00AC2E2F">
        <w:rPr>
          <w:color w:val="0000FF"/>
        </w:rPr>
        <w:t xml:space="preserve"> du 19 </w:t>
      </w:r>
      <w:proofErr w:type="spellStart"/>
      <w:r w:rsidRPr="00AC2E2F">
        <w:rPr>
          <w:color w:val="0000FF"/>
        </w:rPr>
        <w:t>avril</w:t>
      </w:r>
      <w:proofErr w:type="spellEnd"/>
      <w:r w:rsidRPr="00AC2E2F">
        <w:rPr>
          <w:color w:val="0000FF"/>
        </w:rPr>
        <w:t xml:space="preserve"> 2021 3ème Ch., F200132 </w:t>
      </w:r>
      <w:proofErr w:type="spellStart"/>
      <w:r w:rsidRPr="00AC2E2F">
        <w:rPr>
          <w:color w:val="0000FF"/>
        </w:rPr>
        <w:t>mettant</w:t>
      </w:r>
      <w:proofErr w:type="spellEnd"/>
      <w:r w:rsidRPr="00AC2E2F">
        <w:rPr>
          <w:color w:val="0000FF"/>
        </w:rPr>
        <w:t xml:space="preserve"> </w:t>
      </w:r>
      <w:proofErr w:type="spellStart"/>
      <w:r w:rsidRPr="00AC2E2F">
        <w:rPr>
          <w:color w:val="0000FF"/>
        </w:rPr>
        <w:t>en</w:t>
      </w:r>
      <w:proofErr w:type="spellEnd"/>
      <w:r w:rsidRPr="00AC2E2F">
        <w:rPr>
          <w:color w:val="0000FF"/>
        </w:rPr>
        <w:t xml:space="preserve"> cause la </w:t>
      </w:r>
      <w:proofErr w:type="spellStart"/>
      <w:r w:rsidRPr="00AC2E2F">
        <w:rPr>
          <w:color w:val="0000FF"/>
        </w:rPr>
        <w:t>ville</w:t>
      </w:r>
      <w:proofErr w:type="spellEnd"/>
      <w:r w:rsidRPr="00AC2E2F">
        <w:rPr>
          <w:color w:val="0000FF"/>
        </w:rPr>
        <w:t xml:space="preserve"> de </w:t>
      </w:r>
      <w:proofErr w:type="gramStart"/>
      <w:r w:rsidRPr="00AC2E2F">
        <w:rPr>
          <w:color w:val="0000FF"/>
        </w:rPr>
        <w:t>Charleroi  c</w:t>
      </w:r>
      <w:proofErr w:type="gramEnd"/>
      <w:r w:rsidRPr="00AC2E2F">
        <w:rPr>
          <w:color w:val="0000FF"/>
        </w:rPr>
        <w:t xml:space="preserve">/ DKMY </w:t>
      </w:r>
      <w:proofErr w:type="spellStart"/>
      <w:r w:rsidRPr="00AC2E2F">
        <w:rPr>
          <w:color w:val="0000FF"/>
        </w:rPr>
        <w:t>s.p.r.l</w:t>
      </w:r>
      <w:proofErr w:type="spellEnd"/>
      <w:r w:rsidRPr="00AC2E2F">
        <w:rPr>
          <w:color w:val="0000FF"/>
        </w:rPr>
        <w:t>.</w:t>
      </w:r>
      <w:bookmarkEnd w:id="3897"/>
    </w:p>
  </w:footnote>
  <w:footnote w:id="54">
    <w:p w14:paraId="438F0F7A" w14:textId="740C0952" w:rsidR="005B484B" w:rsidRPr="008D7EB7" w:rsidRDefault="005B484B">
      <w:pPr>
        <w:pStyle w:val="Notedebasdepage"/>
        <w:rPr>
          <w:lang w:val="fr-BE"/>
        </w:rPr>
      </w:pPr>
      <w:r>
        <w:rPr>
          <w:rStyle w:val="Appelnotedebasdep"/>
        </w:rPr>
        <w:footnoteRef/>
      </w:r>
      <w:r w:rsidRPr="008D7EB7">
        <w:rPr>
          <w:lang w:val="fr-BE"/>
        </w:rPr>
        <w:t xml:space="preserve"> </w:t>
      </w:r>
      <w:r w:rsidRPr="007E3849">
        <w:rPr>
          <w:spacing w:val="3"/>
          <w:lang w:val="fr-BE"/>
        </w:rPr>
        <w:t>Arrêt n°180.381 du 4 mars 2008.</w:t>
      </w:r>
    </w:p>
  </w:footnote>
  <w:footnote w:id="55">
    <w:p w14:paraId="011440A1" w14:textId="651B9EE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 xml:space="preserve">Arrêt du 4 février 1931, </w:t>
      </w:r>
      <w:proofErr w:type="spellStart"/>
      <w:r w:rsidRPr="007E3849">
        <w:rPr>
          <w:lang w:val="fr-BE"/>
        </w:rPr>
        <w:t>Pasicrisie</w:t>
      </w:r>
      <w:proofErr w:type="spellEnd"/>
      <w:r w:rsidRPr="007E3849">
        <w:rPr>
          <w:lang w:val="fr-BE"/>
        </w:rPr>
        <w:t xml:space="preserve"> belge, Année 1931, page 55.</w:t>
      </w:r>
    </w:p>
  </w:footnote>
  <w:footnote w:id="56">
    <w:p w14:paraId="0D9AD43E" w14:textId="50960234"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du 16 octobre 1997 (F950035N).</w:t>
      </w:r>
    </w:p>
  </w:footnote>
  <w:footnote w:id="57">
    <w:p w14:paraId="3BC08B72" w14:textId="40012315"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 85.916 du 14 mars 2000.</w:t>
      </w:r>
    </w:p>
  </w:footnote>
  <w:footnote w:id="58">
    <w:p w14:paraId="67CB20F5" w14:textId="18C5F126" w:rsidR="005B484B" w:rsidRPr="008D7EB7" w:rsidRDefault="005B484B">
      <w:pPr>
        <w:pStyle w:val="Notedebasdepage"/>
        <w:rPr>
          <w:lang w:val="fr-BE"/>
        </w:rPr>
      </w:pPr>
      <w:r>
        <w:rPr>
          <w:rStyle w:val="Appelnotedebasdep"/>
        </w:rPr>
        <w:footnoteRef/>
      </w:r>
      <w:r w:rsidRPr="008D7EB7">
        <w:rPr>
          <w:lang w:val="fr-BE"/>
        </w:rPr>
        <w:t xml:space="preserve"> </w:t>
      </w:r>
      <w:r w:rsidRPr="007E3849">
        <w:rPr>
          <w:rFonts w:cs="Calibri"/>
          <w:spacing w:val="2"/>
          <w:sz w:val="18"/>
          <w:szCs w:val="18"/>
          <w:lang w:val="fr-BE"/>
        </w:rPr>
        <w:t>Conseil d'État, arrêt n°7842 du 12 mai 1960.</w:t>
      </w:r>
    </w:p>
  </w:footnote>
  <w:footnote w:id="59">
    <w:p w14:paraId="4D8E033C" w14:textId="000E47CB" w:rsidR="005B484B" w:rsidRPr="008D7EB7" w:rsidRDefault="005B484B">
      <w:pPr>
        <w:pStyle w:val="Notedebasdepage"/>
        <w:rPr>
          <w:lang w:val="fr-BE"/>
        </w:rPr>
      </w:pPr>
      <w:r>
        <w:rPr>
          <w:rStyle w:val="Appelnotedebasdep"/>
        </w:rPr>
        <w:footnoteRef/>
      </w:r>
      <w:r w:rsidRPr="008D7EB7">
        <w:rPr>
          <w:lang w:val="fr-BE"/>
        </w:rPr>
        <w:t xml:space="preserve"> Arrêt n°91/2008 </w:t>
      </w:r>
      <w:proofErr w:type="gramStart"/>
      <w:r w:rsidRPr="008D7EB7">
        <w:rPr>
          <w:lang w:val="fr-BE"/>
        </w:rPr>
        <w:t>du  18</w:t>
      </w:r>
      <w:proofErr w:type="gramEnd"/>
      <w:r w:rsidRPr="008D7EB7">
        <w:rPr>
          <w:lang w:val="fr-BE"/>
        </w:rPr>
        <w:t xml:space="preserve"> juin 2008 (cf. point B.8.1).</w:t>
      </w:r>
    </w:p>
  </w:footnote>
  <w:footnote w:id="60">
    <w:p w14:paraId="70CEE94C" w14:textId="0856788E" w:rsidR="005B484B" w:rsidRPr="008D7EB7" w:rsidRDefault="005B484B">
      <w:pPr>
        <w:pStyle w:val="Notedebasdepage"/>
        <w:rPr>
          <w:lang w:val="fr-BE"/>
        </w:rPr>
      </w:pPr>
      <w:r>
        <w:rPr>
          <w:rStyle w:val="Appelnotedebasdep"/>
        </w:rPr>
        <w:footnoteRef/>
      </w:r>
      <w:r w:rsidRPr="008D7EB7">
        <w:rPr>
          <w:lang w:val="fr-BE"/>
        </w:rPr>
        <w:t xml:space="preserve"> Arrêt n°7/2009 du 23 janvier 2019 (cf. point B.12.3).</w:t>
      </w:r>
    </w:p>
  </w:footnote>
  <w:footnote w:id="61">
    <w:p w14:paraId="0DEACB86" w14:textId="3E488493" w:rsidR="005B484B" w:rsidRPr="008D7EB7" w:rsidRDefault="005B484B">
      <w:pPr>
        <w:pStyle w:val="Notedebasdepage"/>
        <w:rPr>
          <w:lang w:val="fr-BE"/>
        </w:rPr>
      </w:pPr>
      <w:r>
        <w:rPr>
          <w:rStyle w:val="Appelnotedebasdep"/>
        </w:rPr>
        <w:footnoteRef/>
      </w:r>
      <w:r w:rsidRPr="008D7EB7">
        <w:rPr>
          <w:lang w:val="fr-BE"/>
        </w:rPr>
        <w:t xml:space="preserve"> Document parlementaire, Sénat, 1980-1981, n° 566/1, pp. 2-3.</w:t>
      </w:r>
    </w:p>
  </w:footnote>
  <w:footnote w:id="62">
    <w:p w14:paraId="2F06298A" w14:textId="6B6B32F4" w:rsidR="005B484B" w:rsidRPr="008D7EB7" w:rsidRDefault="005B484B">
      <w:pPr>
        <w:pStyle w:val="Notedebasdepage"/>
        <w:rPr>
          <w:lang w:val="fr-BE"/>
        </w:rPr>
      </w:pPr>
      <w:r>
        <w:rPr>
          <w:rStyle w:val="Appelnotedebasdep"/>
        </w:rPr>
        <w:footnoteRef/>
      </w:r>
      <w:r w:rsidRPr="008D7EB7">
        <w:rPr>
          <w:lang w:val="fr-BE"/>
        </w:rPr>
        <w:t xml:space="preserve"> </w:t>
      </w:r>
      <w:r>
        <w:rPr>
          <w:lang w:val="fr-BE"/>
        </w:rPr>
        <w:t>Article 445 du Code des impôts sur les revenus.</w:t>
      </w:r>
    </w:p>
  </w:footnote>
  <w:footnote w:id="63">
    <w:p w14:paraId="3DC1BE64" w14:textId="358FBA0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Cour de Cassation du 31 janvier 2000 (F980075F).</w:t>
      </w:r>
    </w:p>
  </w:footnote>
  <w:footnote w:id="64">
    <w:p w14:paraId="03D81293" w14:textId="0CD0FE16"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Cour Constitutionnelle du 18 avril 2001, Cour de cassation du 8 octobre 2001 et 7 février 2002.</w:t>
      </w:r>
    </w:p>
  </w:footnote>
  <w:footnote w:id="65">
    <w:p w14:paraId="12DE450D" w14:textId="77777777" w:rsidR="005B484B" w:rsidRPr="007E3849" w:rsidRDefault="005B484B" w:rsidP="00805FA2">
      <w:pPr>
        <w:pStyle w:val="Notedebasdepage"/>
        <w:rPr>
          <w:lang w:val="fr-BE"/>
        </w:rPr>
      </w:pPr>
      <w:r>
        <w:rPr>
          <w:rStyle w:val="Appelnotedebasdep"/>
        </w:rPr>
        <w:footnoteRef/>
      </w:r>
      <w:r w:rsidRPr="008D7EB7">
        <w:rPr>
          <w:lang w:val="fr-BE"/>
        </w:rPr>
        <w:t xml:space="preserve"> </w:t>
      </w:r>
      <w:r w:rsidRPr="007E3849">
        <w:rPr>
          <w:lang w:val="fr-BE"/>
        </w:rPr>
        <w:t>Arrêt du 2 décembre 2004 (C.03.0125.F/4).</w:t>
      </w:r>
    </w:p>
    <w:p w14:paraId="2614DFC5" w14:textId="740BB64C" w:rsidR="005B484B" w:rsidRPr="008D7EB7" w:rsidRDefault="005B484B">
      <w:pPr>
        <w:pStyle w:val="Notedebasdepage"/>
        <w:rPr>
          <w:lang w:val="fr-BE"/>
        </w:rPr>
      </w:pPr>
    </w:p>
  </w:footnote>
  <w:footnote w:id="66">
    <w:p w14:paraId="7C60FC5A" w14:textId="1C87FCB3"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92/2007 du 20 juin 2007.</w:t>
      </w:r>
    </w:p>
  </w:footnote>
  <w:footnote w:id="67">
    <w:p w14:paraId="4A78AF65" w14:textId="66F70441"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du 13 février 2009.</w:t>
      </w:r>
    </w:p>
  </w:footnote>
  <w:footnote w:id="68">
    <w:p w14:paraId="5E02B898" w14:textId="77777777" w:rsidR="005B484B" w:rsidRPr="006B47EE" w:rsidRDefault="005B484B" w:rsidP="005C499C">
      <w:pPr>
        <w:pStyle w:val="Notedebasdepage"/>
        <w:rPr>
          <w:lang w:val="fr-BE"/>
        </w:rPr>
      </w:pPr>
      <w:r w:rsidRPr="006B47EE">
        <w:rPr>
          <w:rStyle w:val="Appelnotedebasdep"/>
        </w:rPr>
        <w:footnoteRef/>
      </w:r>
      <w:r w:rsidRPr="006B47EE">
        <w:rPr>
          <w:lang w:val="fr-BE"/>
        </w:rPr>
        <w:t xml:space="preserve"> Cass., 3 avril 2014, R.F.R.L., 2015, liv.2, p.118</w:t>
      </w:r>
    </w:p>
  </w:footnote>
  <w:footnote w:id="69">
    <w:p w14:paraId="63C4D0F0" w14:textId="77777777" w:rsidR="005B484B" w:rsidRPr="00E20B2C" w:rsidRDefault="005B484B" w:rsidP="005C499C">
      <w:pPr>
        <w:pStyle w:val="Notedebasdepage"/>
        <w:rPr>
          <w:lang w:val="fr-BE"/>
        </w:rPr>
      </w:pPr>
      <w:r w:rsidRPr="006B47EE">
        <w:rPr>
          <w:rStyle w:val="Appelnotedebasdep"/>
        </w:rPr>
        <w:footnoteRef/>
      </w:r>
      <w:r w:rsidRPr="006B47EE">
        <w:rPr>
          <w:lang w:val="fr-BE"/>
        </w:rPr>
        <w:t xml:space="preserve"> Cass., 21 mai 2015, Arr. Cass., 2015, liv. 5, pp. 1330 et 1339</w:t>
      </w:r>
    </w:p>
  </w:footnote>
  <w:footnote w:id="70">
    <w:p w14:paraId="50363D53" w14:textId="465C5668" w:rsidR="005B484B" w:rsidRPr="00E5589D" w:rsidRDefault="005B484B" w:rsidP="0036362F">
      <w:pPr>
        <w:pStyle w:val="Notedebasdepage"/>
        <w:rPr>
          <w:rFonts w:cs="Calibri Light"/>
          <w:lang w:val="fr-BE"/>
        </w:rPr>
      </w:pPr>
      <w:r>
        <w:rPr>
          <w:rStyle w:val="Appelnotedebasdep"/>
        </w:rPr>
        <w:footnoteRef/>
      </w:r>
      <w:r w:rsidRPr="00D854A2">
        <w:rPr>
          <w:lang w:val="fr-BE"/>
        </w:rPr>
        <w:t xml:space="preserve"> </w:t>
      </w:r>
      <w:r w:rsidRPr="008D7EB7">
        <w:rPr>
          <w:rFonts w:cs="Calibri Light"/>
          <w:lang w:val="fr-BE"/>
        </w:rPr>
        <w:t>Mons</w:t>
      </w:r>
      <w:r>
        <w:rPr>
          <w:rFonts w:cs="Calibri Light"/>
          <w:lang w:val="fr-BE"/>
        </w:rPr>
        <w:t xml:space="preserve">, </w:t>
      </w:r>
      <w:r w:rsidRPr="008D7EB7">
        <w:rPr>
          <w:rFonts w:cs="Calibri Light"/>
          <w:lang w:val="fr-BE"/>
        </w:rPr>
        <w:t>8</w:t>
      </w:r>
      <w:r w:rsidRPr="008D7EB7">
        <w:rPr>
          <w:rFonts w:cs="Calibri Light"/>
          <w:vertAlign w:val="superscript"/>
          <w:lang w:val="fr-BE"/>
        </w:rPr>
        <w:t>ème</w:t>
      </w:r>
      <w:r>
        <w:rPr>
          <w:rFonts w:cs="Calibri Light"/>
          <w:lang w:val="fr-BE"/>
        </w:rPr>
        <w:t xml:space="preserve"> </w:t>
      </w:r>
      <w:r w:rsidRPr="008D7EB7">
        <w:rPr>
          <w:rFonts w:cs="Calibri Light"/>
          <w:lang w:val="fr-BE"/>
        </w:rPr>
        <w:t>ch</w:t>
      </w:r>
      <w:r>
        <w:rPr>
          <w:rFonts w:cs="Calibri Light"/>
          <w:lang w:val="fr-BE"/>
        </w:rPr>
        <w:t>ambre</w:t>
      </w:r>
      <w:r w:rsidRPr="008D7EB7">
        <w:rPr>
          <w:rFonts w:cs="Calibri Light"/>
          <w:lang w:val="fr-BE"/>
        </w:rPr>
        <w:t>, 8 juin 2017,</w:t>
      </w:r>
      <w:r>
        <w:rPr>
          <w:rFonts w:cs="Calibri Light"/>
          <w:lang w:val="fr-BE"/>
        </w:rPr>
        <w:t xml:space="preserve"> </w:t>
      </w:r>
      <w:r w:rsidRPr="008D7EB7">
        <w:rPr>
          <w:rFonts w:cs="Calibri Light"/>
          <w:lang w:val="fr-BE"/>
        </w:rPr>
        <w:t>R.G.</w:t>
      </w:r>
      <w:r>
        <w:rPr>
          <w:rFonts w:cs="Calibri Light"/>
          <w:lang w:val="fr-BE"/>
        </w:rPr>
        <w:t xml:space="preserve"> </w:t>
      </w:r>
      <w:r w:rsidRPr="008D7EB7">
        <w:rPr>
          <w:rFonts w:cs="Calibri Light"/>
          <w:lang w:val="fr-BE"/>
        </w:rPr>
        <w:t>n°2015/665</w:t>
      </w:r>
      <w:r>
        <w:rPr>
          <w:rFonts w:cs="Calibri Light"/>
          <w:lang w:val="fr-BE"/>
        </w:rPr>
        <w:t>.</w:t>
      </w:r>
    </w:p>
  </w:footnote>
  <w:footnote w:id="71">
    <w:p w14:paraId="4BDB7BFB" w14:textId="2E490526" w:rsidR="005B484B" w:rsidRPr="00E5589D" w:rsidRDefault="005B484B" w:rsidP="0036362F">
      <w:pPr>
        <w:pStyle w:val="Notedebasdepage"/>
        <w:rPr>
          <w:rFonts w:cs="Calibri Light"/>
          <w:lang w:val="fr-BE"/>
        </w:rPr>
      </w:pPr>
      <w:r w:rsidRPr="00792F8A">
        <w:rPr>
          <w:rStyle w:val="Appelnotedebasdep"/>
        </w:rPr>
        <w:footnoteRef/>
      </w:r>
      <w:r w:rsidRPr="008D7EB7">
        <w:rPr>
          <w:rStyle w:val="Appelnotedebasdep"/>
          <w:lang w:val="fr-BE"/>
        </w:rPr>
        <w:t xml:space="preserve"> </w:t>
      </w:r>
      <w:r w:rsidRPr="008D7EB7">
        <w:rPr>
          <w:rFonts w:cs="Calibri Light"/>
          <w:lang w:val="fr-BE"/>
        </w:rPr>
        <w:t>Cass</w:t>
      </w:r>
      <w:r>
        <w:rPr>
          <w:rFonts w:cs="Calibri Light"/>
          <w:lang w:val="fr-BE"/>
        </w:rPr>
        <w:t>ation</w:t>
      </w:r>
      <w:r w:rsidRPr="008D7EB7">
        <w:rPr>
          <w:rFonts w:cs="Calibri Light"/>
          <w:lang w:val="fr-BE"/>
        </w:rPr>
        <w:t>, arrêt du 20 décembre 2018 (F.170148)</w:t>
      </w:r>
      <w:r>
        <w:rPr>
          <w:rFonts w:cs="Calibri Light"/>
          <w:lang w:val="fr-BE"/>
        </w:rPr>
        <w:t>.</w:t>
      </w:r>
    </w:p>
  </w:footnote>
  <w:footnote w:id="72">
    <w:p w14:paraId="4C631188" w14:textId="087FD081" w:rsidR="005B484B" w:rsidRPr="008D7EB7" w:rsidRDefault="005B484B" w:rsidP="006402A2">
      <w:pPr>
        <w:pStyle w:val="Notedebasdepage"/>
        <w:rPr>
          <w:rFonts w:cs="Calibri Light"/>
          <w:lang w:val="fr-BE"/>
        </w:rPr>
      </w:pPr>
      <w:r w:rsidRPr="00792F8A">
        <w:rPr>
          <w:rStyle w:val="Appelnotedebasdep"/>
        </w:rPr>
        <w:footnoteRef/>
      </w:r>
      <w:r w:rsidRPr="008D7EB7">
        <w:rPr>
          <w:rStyle w:val="Appelnotedebasdep"/>
          <w:lang w:val="fr-BE"/>
        </w:rPr>
        <w:t xml:space="preserve"> </w:t>
      </w:r>
      <w:r w:rsidRPr="008D7EB7">
        <w:rPr>
          <w:rFonts w:cs="Calibri Light"/>
          <w:lang w:val="fr-BE"/>
        </w:rPr>
        <w:t>Arrêt n° 72.843 du 30 mars 1998</w:t>
      </w:r>
      <w:r>
        <w:rPr>
          <w:rFonts w:cs="Calibri Light"/>
          <w:lang w:val="fr-BE"/>
        </w:rPr>
        <w:t>.</w:t>
      </w:r>
    </w:p>
  </w:footnote>
  <w:footnote w:id="73">
    <w:p w14:paraId="235A33AA" w14:textId="2A6E9D70" w:rsidR="005B484B" w:rsidRPr="009F74FC" w:rsidRDefault="005B484B" w:rsidP="0036362F">
      <w:pPr>
        <w:pStyle w:val="Notedebasdepage"/>
        <w:rPr>
          <w:lang w:val="fr-BE"/>
        </w:rPr>
      </w:pPr>
      <w:r w:rsidRPr="00792F8A">
        <w:rPr>
          <w:rStyle w:val="Appelnotedebasdep"/>
        </w:rPr>
        <w:footnoteRef/>
      </w:r>
      <w:r w:rsidRPr="008D7EB7">
        <w:rPr>
          <w:rStyle w:val="Appelnotedebasdep"/>
          <w:lang w:val="fr-BE"/>
        </w:rPr>
        <w:t xml:space="preserve"> </w:t>
      </w:r>
      <w:r w:rsidRPr="008D7EB7">
        <w:rPr>
          <w:rFonts w:cs="Calibri Light"/>
          <w:lang w:val="fr-BE"/>
        </w:rPr>
        <w:t>Mons, 24 septembre 2010, R.G.C.F., 2011/2, pp. 165-166</w:t>
      </w:r>
      <w:r>
        <w:rPr>
          <w:rFonts w:cs="Calibri Light"/>
          <w:lang w:val="fr-BE"/>
        </w:rPr>
        <w:t>.</w:t>
      </w:r>
    </w:p>
  </w:footnote>
  <w:footnote w:id="74">
    <w:p w14:paraId="0ACF83B5" w14:textId="2F014EB9"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Art</w:t>
      </w:r>
      <w:r>
        <w:rPr>
          <w:rFonts w:asciiTheme="minorHAnsi" w:hAnsiTheme="minorHAnsi" w:cs="Calibri Light"/>
          <w:lang w:val="fr-BE"/>
        </w:rPr>
        <w:t xml:space="preserve">icle </w:t>
      </w:r>
      <w:r w:rsidRPr="008D7EB7">
        <w:rPr>
          <w:rFonts w:asciiTheme="minorHAnsi" w:hAnsiTheme="minorHAnsi" w:cs="Calibri Light"/>
          <w:lang w:val="fr-BE"/>
        </w:rPr>
        <w:t xml:space="preserve">6 du décret du 3 juillet 2008, modifiant certaines dispositions du décret du 12 février 2004 organisant les provinces wallonnes et du Code de la Démocratie Locale et de la Décentralisation — </w:t>
      </w:r>
      <w:r>
        <w:rPr>
          <w:rFonts w:asciiTheme="minorHAnsi" w:hAnsiTheme="minorHAnsi" w:cs="Calibri Light"/>
          <w:lang w:val="fr-BE"/>
        </w:rPr>
        <w:t xml:space="preserve">Moniteur Belge du 15 juillet </w:t>
      </w:r>
      <w:r w:rsidRPr="008D7EB7">
        <w:rPr>
          <w:rFonts w:asciiTheme="minorHAnsi" w:hAnsiTheme="minorHAnsi" w:cs="Calibri Light"/>
          <w:lang w:val="fr-BE"/>
        </w:rPr>
        <w:t>2008 p.37.017</w:t>
      </w:r>
      <w:r>
        <w:rPr>
          <w:rFonts w:asciiTheme="minorHAnsi" w:hAnsiTheme="minorHAnsi" w:cs="Calibri Light"/>
          <w:lang w:val="fr-BE"/>
        </w:rPr>
        <w:t>.</w:t>
      </w:r>
    </w:p>
  </w:footnote>
  <w:footnote w:id="75">
    <w:p w14:paraId="55FC5BB1" w14:textId="75BD8D7B"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Moniteur belge du 22 avril 1999</w:t>
      </w:r>
      <w:r>
        <w:rPr>
          <w:rFonts w:asciiTheme="minorHAnsi" w:hAnsiTheme="minorHAnsi" w:cs="Calibri Light"/>
          <w:lang w:val="fr-BE"/>
        </w:rPr>
        <w:t>.</w:t>
      </w:r>
    </w:p>
  </w:footnote>
  <w:footnote w:id="76">
    <w:p w14:paraId="4D568432" w14:textId="03E9A74A" w:rsidR="005B484B" w:rsidRPr="00E063FD" w:rsidRDefault="005B484B" w:rsidP="008D7EB7">
      <w:pPr>
        <w:pStyle w:val="Notedebasdepage"/>
        <w:jc w:val="both"/>
        <w:rPr>
          <w:lang w:val="fr-BE"/>
        </w:rPr>
      </w:pPr>
      <w:r>
        <w:rPr>
          <w:rStyle w:val="Appelnotedebasdep"/>
        </w:rPr>
        <w:footnoteRef/>
      </w:r>
      <w:r w:rsidRPr="008D7EB7">
        <w:rPr>
          <w:lang w:val="fr-BE"/>
        </w:rPr>
        <w:t xml:space="preserve"> C</w:t>
      </w:r>
      <w:r w:rsidRPr="008D7EB7">
        <w:rPr>
          <w:rFonts w:asciiTheme="minorHAnsi" w:hAnsiTheme="minorHAnsi" w:cs="Calibri Light"/>
          <w:lang w:val="fr-BE"/>
        </w:rPr>
        <w:t>irculaire du 10 mai 2000 du Ministre fédéral de l'Intérieur, Moniteur belge du 20 mai 2000</w:t>
      </w:r>
      <w:r>
        <w:rPr>
          <w:rFonts w:asciiTheme="minorHAnsi" w:hAnsiTheme="minorHAnsi" w:cs="Calibri Light"/>
          <w:lang w:val="fr-BE"/>
        </w:rPr>
        <w:t>.</w:t>
      </w:r>
      <w:r w:rsidRPr="008D7EB7">
        <w:rPr>
          <w:rFonts w:asciiTheme="minorHAnsi" w:hAnsiTheme="minorHAnsi" w:cs="Calibri Light"/>
          <w:lang w:val="fr-BE"/>
        </w:rPr>
        <w:t xml:space="preserve"> </w:t>
      </w:r>
    </w:p>
  </w:footnote>
  <w:footnote w:id="77">
    <w:p w14:paraId="0B1A456A" w14:textId="6035E287" w:rsidR="005B484B" w:rsidRPr="00E063FD" w:rsidRDefault="005B484B" w:rsidP="008D7EB7">
      <w:pPr>
        <w:pStyle w:val="Notedebasdepage"/>
        <w:jc w:val="both"/>
        <w:rPr>
          <w:lang w:val="fr-BE"/>
        </w:rPr>
      </w:pPr>
      <w:r>
        <w:rPr>
          <w:rStyle w:val="Appelnotedebasdep"/>
        </w:rPr>
        <w:footnoteRef/>
      </w:r>
      <w:r w:rsidRPr="008D7EB7">
        <w:rPr>
          <w:lang w:val="fr-BE"/>
        </w:rPr>
        <w:t xml:space="preserve"> Cour </w:t>
      </w:r>
      <w:r>
        <w:rPr>
          <w:lang w:val="fr-BE"/>
        </w:rPr>
        <w:t>Constitutionnelle</w:t>
      </w:r>
      <w:r w:rsidRPr="008D7EB7">
        <w:rPr>
          <w:lang w:val="fr-BE"/>
        </w:rPr>
        <w:t>, arrêt 134/2004, 22/07/2004</w:t>
      </w:r>
      <w:r>
        <w:rPr>
          <w:lang w:val="fr-BE"/>
        </w:rPr>
        <w:t>.</w:t>
      </w:r>
    </w:p>
  </w:footnote>
  <w:footnote w:id="78">
    <w:p w14:paraId="09E59F6B" w14:textId="286885DA"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 xml:space="preserve">Conseil d’Etat, </w:t>
      </w:r>
      <w:r w:rsidRPr="008D7EB7">
        <w:rPr>
          <w:rFonts w:asciiTheme="minorHAnsi" w:hAnsiTheme="minorHAnsi" w:cs="Calibri Light"/>
          <w:lang w:val="fr-BE"/>
        </w:rPr>
        <w:t>arrêt n° 33.727 du 7 janvier 1990 et arrêts n° 26.210 du 10 avril 1986 et 87.161 du 10 mai 2000</w:t>
      </w:r>
      <w:r>
        <w:rPr>
          <w:rFonts w:asciiTheme="minorHAnsi" w:hAnsiTheme="minorHAnsi" w:cs="Calibri Light"/>
          <w:lang w:val="fr-BE"/>
        </w:rPr>
        <w:t>.</w:t>
      </w:r>
    </w:p>
  </w:footnote>
  <w:footnote w:id="79">
    <w:p w14:paraId="49219048" w14:textId="4CE3C34D"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 xml:space="preserve">Conseil d’Etat, </w:t>
      </w:r>
      <w:r w:rsidRPr="008D7EB7">
        <w:rPr>
          <w:rFonts w:asciiTheme="minorHAnsi" w:hAnsiTheme="minorHAnsi" w:cs="Calibri Light"/>
          <w:lang w:val="fr-BE"/>
        </w:rPr>
        <w:t>arrêt n° 13.835 du 11 décembre 1969</w:t>
      </w:r>
      <w:r>
        <w:rPr>
          <w:rFonts w:asciiTheme="minorHAnsi" w:hAnsiTheme="minorHAnsi" w:cs="Calibri Light"/>
          <w:lang w:val="fr-BE"/>
        </w:rPr>
        <w:t>.</w:t>
      </w:r>
    </w:p>
  </w:footnote>
  <w:footnote w:id="80">
    <w:p w14:paraId="27A8EDC7" w14:textId="58C84946"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Loi du 21 mars 1991 portant réforme de certaines entreprises publiques économiques</w:t>
      </w:r>
      <w:r>
        <w:rPr>
          <w:rFonts w:asciiTheme="minorHAnsi" w:hAnsiTheme="minorHAnsi" w:cs="Calibri Light"/>
          <w:lang w:val="fr-BE"/>
        </w:rPr>
        <w:t>.</w:t>
      </w:r>
    </w:p>
  </w:footnote>
  <w:footnote w:id="81">
    <w:p w14:paraId="09A832F0" w14:textId="7246670C"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4B213F">
        <w:rPr>
          <w:lang w:val="fr-BE"/>
        </w:rPr>
        <w:t>vis motivé de la Commission des Communautés européennes du 26 mai 1999</w:t>
      </w:r>
      <w:r>
        <w:rPr>
          <w:lang w:val="fr-BE"/>
        </w:rPr>
        <w:t>.</w:t>
      </w:r>
    </w:p>
  </w:footnote>
  <w:footnote w:id="82">
    <w:p w14:paraId="16B6BA0C" w14:textId="16AFD647"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Conseil d’Etat,</w:t>
      </w:r>
      <w:r w:rsidRPr="008D7EB7">
        <w:rPr>
          <w:rFonts w:asciiTheme="minorHAnsi" w:hAnsiTheme="minorHAnsi" w:cs="Calibri Light"/>
          <w:lang w:val="fr-BE"/>
        </w:rPr>
        <w:t xml:space="preserve"> arrêt n°85.563 du 23 février 2000 du Conseil d'Etat considérant cette taxe comme un octroi prohibé en vertu de la loi du 18 juillet 1860 portant abolition des octrois communaux</w:t>
      </w:r>
      <w:r>
        <w:rPr>
          <w:rFonts w:asciiTheme="minorHAnsi" w:hAnsiTheme="minorHAnsi" w:cs="Calibri Light"/>
          <w:lang w:val="fr-BE"/>
        </w:rPr>
        <w:t>.</w:t>
      </w:r>
    </w:p>
  </w:footnote>
  <w:footnote w:id="83">
    <w:p w14:paraId="6E9D956F" w14:textId="3698A165" w:rsidR="005B484B" w:rsidRPr="008D7EB7" w:rsidRDefault="005B484B">
      <w:pPr>
        <w:pStyle w:val="Notedebasdepage"/>
        <w:rPr>
          <w:lang w:val="fr-BE"/>
        </w:rPr>
      </w:pPr>
      <w:r>
        <w:rPr>
          <w:rStyle w:val="Appelnotedebasdep"/>
        </w:rPr>
        <w:footnoteRef/>
      </w:r>
      <w:r w:rsidRPr="008D7EB7">
        <w:rPr>
          <w:lang w:val="fr-BE"/>
        </w:rPr>
        <w:t xml:space="preserve"> Décret du 23 février 2006 paru au moniteur belge du 7 mars 2006 p. 13.611</w:t>
      </w:r>
      <w:r>
        <w:rPr>
          <w:lang w:val="fr-BE"/>
        </w:rPr>
        <w:t>.</w:t>
      </w:r>
    </w:p>
  </w:footnote>
  <w:footnote w:id="84">
    <w:p w14:paraId="242DA6D2" w14:textId="77777777" w:rsidR="005B484B" w:rsidRPr="008D7EB7" w:rsidRDefault="005B484B" w:rsidP="00280CFA">
      <w:pPr>
        <w:pStyle w:val="Notedebasdepage"/>
        <w:rPr>
          <w:lang w:val="fr-BE"/>
        </w:rPr>
      </w:pPr>
      <w:r>
        <w:rPr>
          <w:rStyle w:val="Appelnotedebasdep"/>
        </w:rPr>
        <w:footnoteRef/>
      </w:r>
      <w:r w:rsidRPr="008D7EB7">
        <w:rPr>
          <w:lang w:val="fr-BE"/>
        </w:rPr>
        <w:t xml:space="preserve"> Cour de Cassation, 11/9/2014</w:t>
      </w:r>
    </w:p>
  </w:footnote>
  <w:footnote w:id="85">
    <w:p w14:paraId="06657A98" w14:textId="77777777" w:rsidR="005B484B" w:rsidRPr="008D7EB7" w:rsidRDefault="005B484B" w:rsidP="00280CFA">
      <w:pPr>
        <w:pStyle w:val="Notedebasdepage"/>
        <w:rPr>
          <w:lang w:val="fr-BE"/>
        </w:rPr>
      </w:pPr>
      <w:r>
        <w:rPr>
          <w:rStyle w:val="Appelnotedebasdep"/>
        </w:rPr>
        <w:footnoteRef/>
      </w:r>
      <w:r w:rsidRPr="008D7EB7">
        <w:rPr>
          <w:lang w:val="fr-BE"/>
        </w:rPr>
        <w:t xml:space="preserve"> </w:t>
      </w:r>
      <w:r w:rsidRPr="008D7EB7">
        <w:rPr>
          <w:rFonts w:cs="Calibri Light"/>
          <w:lang w:val="fr-BE"/>
        </w:rPr>
        <w:t xml:space="preserve">C. de Cassation. 14/6/1960, </w:t>
      </w:r>
      <w:proofErr w:type="spellStart"/>
      <w:r w:rsidRPr="008D7EB7">
        <w:rPr>
          <w:rFonts w:cs="Calibri Light"/>
          <w:lang w:val="fr-BE"/>
        </w:rPr>
        <w:t>pas</w:t>
      </w:r>
      <w:proofErr w:type="spellEnd"/>
      <w:r w:rsidRPr="008D7EB7">
        <w:rPr>
          <w:rFonts w:cs="Calibri Light"/>
          <w:lang w:val="fr-BE"/>
        </w:rPr>
        <w:t>.1060, I, 1184</w:t>
      </w:r>
    </w:p>
  </w:footnote>
  <w:footnote w:id="86">
    <w:p w14:paraId="6932BD6F" w14:textId="0E402E49" w:rsidR="005B484B" w:rsidRPr="00E852C4" w:rsidRDefault="005B484B" w:rsidP="00280CFA">
      <w:pPr>
        <w:pStyle w:val="Notedebasdepage"/>
        <w:rPr>
          <w:lang w:val="fr-BE"/>
        </w:rPr>
      </w:pPr>
      <w:r>
        <w:rPr>
          <w:rStyle w:val="Appelnotedebasdep"/>
        </w:rPr>
        <w:footnoteRef/>
      </w:r>
      <w:r w:rsidRPr="008D7EB7">
        <w:rPr>
          <w:lang w:val="fr-BE"/>
        </w:rPr>
        <w:t xml:space="preserve"> Moniteur Belge 30</w:t>
      </w:r>
      <w:r>
        <w:rPr>
          <w:lang w:val="fr-BE"/>
        </w:rPr>
        <w:t xml:space="preserve"> avril 20</w:t>
      </w:r>
      <w:r w:rsidRPr="008D7EB7">
        <w:rPr>
          <w:lang w:val="fr-BE"/>
        </w:rPr>
        <w:t>19.</w:t>
      </w:r>
    </w:p>
  </w:footnote>
  <w:footnote w:id="87">
    <w:p w14:paraId="5A9A2AA2" w14:textId="36C233B5" w:rsidR="005B484B" w:rsidRPr="000772B8" w:rsidRDefault="005B484B" w:rsidP="00280CFA">
      <w:pPr>
        <w:pStyle w:val="Notedebasdepage"/>
        <w:rPr>
          <w:lang w:val="fr-BE"/>
        </w:rPr>
      </w:pPr>
      <w:r w:rsidRPr="005B56C1">
        <w:rPr>
          <w:rStyle w:val="Appelnotedebasdep"/>
        </w:rPr>
        <w:footnoteRef/>
      </w:r>
      <w:r w:rsidRPr="008D7EB7">
        <w:rPr>
          <w:lang w:val="fr-BE"/>
        </w:rPr>
        <w:t xml:space="preserve"> </w:t>
      </w:r>
      <w:r w:rsidRPr="005B56C1">
        <w:rPr>
          <w:lang w:val="fr-BE"/>
        </w:rPr>
        <w:t>Moniteur Belge 31</w:t>
      </w:r>
      <w:r>
        <w:rPr>
          <w:lang w:val="fr-BE"/>
        </w:rPr>
        <w:t xml:space="preserve"> décembre 2020</w:t>
      </w:r>
      <w:r w:rsidRPr="005B56C1">
        <w:rPr>
          <w:lang w:val="fr-BE"/>
        </w:rPr>
        <w:t>.</w:t>
      </w:r>
    </w:p>
  </w:footnote>
  <w:footnote w:id="88">
    <w:p w14:paraId="014FDA6A" w14:textId="3380300E" w:rsidR="005B484B" w:rsidRPr="008D7EB7" w:rsidRDefault="005B484B">
      <w:pPr>
        <w:pStyle w:val="Notedebasdepage"/>
        <w:rPr>
          <w:lang w:val="fr-BE"/>
        </w:rPr>
      </w:pPr>
      <w:r>
        <w:rPr>
          <w:rStyle w:val="Appelnotedebasdep"/>
        </w:rPr>
        <w:footnoteRef/>
      </w:r>
      <w:r w:rsidRPr="008D7EB7">
        <w:rPr>
          <w:lang w:val="fr-BE"/>
        </w:rPr>
        <w:t xml:space="preserve"> </w:t>
      </w:r>
      <w:r>
        <w:rPr>
          <w:lang w:val="fr-BE"/>
        </w:rPr>
        <w:t xml:space="preserve">Article </w:t>
      </w:r>
      <w:r w:rsidRPr="008D7EB7">
        <w:rPr>
          <w:lang w:val="fr-BE"/>
        </w:rPr>
        <w:t>2, §1er, 7°, a), iii.</w:t>
      </w:r>
    </w:p>
  </w:footnote>
  <w:footnote w:id="89">
    <w:p w14:paraId="706F6C79" w14:textId="77777777" w:rsidR="00961297" w:rsidRPr="008D7EB7" w:rsidRDefault="00961297" w:rsidP="00961297">
      <w:pPr>
        <w:pStyle w:val="Notedebasdepage"/>
        <w:rPr>
          <w:lang w:val="fr-BE"/>
        </w:rPr>
      </w:pPr>
      <w:r>
        <w:rPr>
          <w:rStyle w:val="Appelnotedebasdep"/>
        </w:rPr>
        <w:footnoteRef/>
      </w:r>
      <w:r w:rsidRPr="008D7EB7">
        <w:rPr>
          <w:lang w:val="fr-BE"/>
        </w:rPr>
        <w:t xml:space="preserve"> </w:t>
      </w:r>
      <w:r w:rsidRPr="008D7EB7">
        <w:rPr>
          <w:rFonts w:eastAsia="Calibri"/>
          <w:szCs w:val="22"/>
          <w:lang w:val="fr-BE"/>
        </w:rPr>
        <w:t xml:space="preserve">Article </w:t>
      </w:r>
      <w:r>
        <w:rPr>
          <w:rFonts w:eastAsia="Calibri"/>
          <w:szCs w:val="22"/>
          <w:lang w:val="fr-BE"/>
        </w:rPr>
        <w:t>414 C.I.R</w:t>
      </w:r>
      <w:r w:rsidRPr="008D7EB7">
        <w:rPr>
          <w:rFonts w:eastAsia="Calibri"/>
          <w:szCs w:val="22"/>
          <w:lang w:val="fr-BE"/>
        </w:rPr>
        <w:t>.</w:t>
      </w:r>
      <w:r>
        <w:rPr>
          <w:rFonts w:eastAsia="Calibri"/>
          <w:szCs w:val="22"/>
          <w:lang w:val="fr-BE"/>
        </w:rPr>
        <w:t xml:space="preserve"> 92.</w:t>
      </w:r>
    </w:p>
  </w:footnote>
  <w:footnote w:id="90">
    <w:p w14:paraId="4F268E16" w14:textId="368099BA" w:rsidR="005B484B" w:rsidRPr="008D7EB7" w:rsidRDefault="005B484B">
      <w:pPr>
        <w:pStyle w:val="Notedebasdepage"/>
        <w:rPr>
          <w:lang w:val="fr-BE"/>
        </w:rPr>
      </w:pPr>
      <w:r>
        <w:rPr>
          <w:rStyle w:val="Appelnotedebasdep"/>
        </w:rPr>
        <w:footnoteRef/>
      </w:r>
      <w:r w:rsidRPr="008D7EB7">
        <w:rPr>
          <w:lang w:val="fr-BE"/>
        </w:rPr>
        <w:t xml:space="preserve"> </w:t>
      </w:r>
      <w:r>
        <w:rPr>
          <w:lang w:val="fr-BE"/>
        </w:rPr>
        <w:t>Ar</w:t>
      </w:r>
      <w:r w:rsidRPr="00A04F0B">
        <w:rPr>
          <w:lang w:val="fr-BE"/>
        </w:rPr>
        <w:t>ticle 6, § 5, CRAF</w:t>
      </w:r>
      <w:r>
        <w:rPr>
          <w:lang w:val="fr-BE"/>
        </w:rPr>
        <w:t>.</w:t>
      </w:r>
    </w:p>
  </w:footnote>
  <w:footnote w:id="91">
    <w:p w14:paraId="2AA1C6FB" w14:textId="0FCB6757" w:rsidR="005B484B" w:rsidRPr="008D7EB7" w:rsidRDefault="005B484B">
      <w:pPr>
        <w:pStyle w:val="Notedebasdepage"/>
        <w:rPr>
          <w:lang w:val="fr-BE"/>
        </w:rPr>
      </w:pPr>
      <w:r>
        <w:rPr>
          <w:rStyle w:val="Appelnotedebasdep"/>
        </w:rPr>
        <w:footnoteRef/>
      </w:r>
      <w:r w:rsidRPr="008D7EB7">
        <w:rPr>
          <w:lang w:val="fr-BE"/>
        </w:rPr>
        <w:t xml:space="preserve"> </w:t>
      </w:r>
      <w:r>
        <w:rPr>
          <w:lang w:val="fr-BE"/>
        </w:rPr>
        <w:t xml:space="preserve">Article </w:t>
      </w:r>
      <w:r w:rsidRPr="008D7EB7">
        <w:rPr>
          <w:lang w:val="fr-BE"/>
        </w:rPr>
        <w:t>2 §1</w:t>
      </w:r>
      <w:r w:rsidRPr="008D7EB7">
        <w:rPr>
          <w:vertAlign w:val="superscript"/>
          <w:lang w:val="fr-BE"/>
        </w:rPr>
        <w:t>er</w:t>
      </w:r>
      <w:r>
        <w:rPr>
          <w:lang w:val="fr-BE"/>
        </w:rPr>
        <w:t>,</w:t>
      </w:r>
      <w:r w:rsidRPr="008D7EB7">
        <w:rPr>
          <w:lang w:val="fr-BE"/>
        </w:rPr>
        <w:t xml:space="preserve"> 6° CRAF</w:t>
      </w:r>
      <w:r>
        <w:rPr>
          <w:lang w:val="fr-BE"/>
        </w:rPr>
        <w:t>.</w:t>
      </w:r>
    </w:p>
  </w:footnote>
  <w:footnote w:id="92">
    <w:p w14:paraId="7477F74D" w14:textId="24CBC488"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eastAsia="Calibri"/>
          <w:szCs w:val="22"/>
          <w:lang w:val="fr-BE"/>
        </w:rPr>
        <w:t>Article 14 CRAF.</w:t>
      </w:r>
    </w:p>
  </w:footnote>
  <w:footnote w:id="93">
    <w:p w14:paraId="7390DFDC" w14:textId="0FBCE05C" w:rsidR="005B484B" w:rsidRPr="008D7EB7" w:rsidRDefault="005B484B">
      <w:pPr>
        <w:pStyle w:val="Notedebasdepage"/>
        <w:rPr>
          <w:lang w:val="fr-BE"/>
        </w:rPr>
      </w:pPr>
      <w:r>
        <w:rPr>
          <w:rStyle w:val="Appelnotedebasdep"/>
        </w:rPr>
        <w:footnoteRef/>
      </w:r>
      <w:r w:rsidRPr="008D7EB7">
        <w:rPr>
          <w:lang w:val="fr-BE"/>
        </w:rPr>
        <w:t xml:space="preserve"> </w:t>
      </w:r>
      <w:r>
        <w:rPr>
          <w:lang w:val="fr-BE"/>
        </w:rPr>
        <w:t xml:space="preserve">Article </w:t>
      </w:r>
      <w:r w:rsidRPr="008D7EB7">
        <w:rPr>
          <w:lang w:val="fr-BE"/>
        </w:rPr>
        <w:t>19 CRAF</w:t>
      </w:r>
      <w:r>
        <w:rPr>
          <w:lang w:val="fr-BE"/>
        </w:rPr>
        <w:t>.</w:t>
      </w:r>
    </w:p>
  </w:footnote>
  <w:footnote w:id="94">
    <w:p w14:paraId="5A5CED6A" w14:textId="5B40E731" w:rsidR="005B484B" w:rsidRPr="00891CF3" w:rsidRDefault="005B484B" w:rsidP="003C0A75">
      <w:pPr>
        <w:pStyle w:val="Notedebasdepage"/>
        <w:rPr>
          <w:lang w:val="fr-BE"/>
        </w:rPr>
      </w:pPr>
      <w:r>
        <w:rPr>
          <w:rStyle w:val="Appelnotedebasdep"/>
        </w:rPr>
        <w:footnoteRef/>
      </w:r>
      <w:r w:rsidRPr="008D7EB7">
        <w:rPr>
          <w:lang w:val="fr-BE"/>
        </w:rPr>
        <w:t xml:space="preserve"> </w:t>
      </w:r>
      <w:r w:rsidRPr="00476839">
        <w:rPr>
          <w:lang w:val="fr-BE"/>
        </w:rPr>
        <w:t>Moniteur Belge</w:t>
      </w:r>
      <w:r>
        <w:rPr>
          <w:lang w:val="fr-BE"/>
        </w:rPr>
        <w:t xml:space="preserve"> du 29 janvier 2003.</w:t>
      </w:r>
    </w:p>
  </w:footnote>
  <w:footnote w:id="95">
    <w:p w14:paraId="43AB6D86" w14:textId="0E791566" w:rsidR="005B484B" w:rsidRPr="008D7EB7" w:rsidRDefault="005B484B">
      <w:pPr>
        <w:pStyle w:val="Notedebasdepage"/>
        <w:rPr>
          <w:lang w:val="fr-BE"/>
        </w:rPr>
      </w:pPr>
      <w:r>
        <w:rPr>
          <w:rStyle w:val="Appelnotedebasdep"/>
        </w:rPr>
        <w:footnoteRef/>
      </w:r>
      <w:r w:rsidRPr="008D7EB7">
        <w:rPr>
          <w:lang w:val="fr-BE"/>
        </w:rPr>
        <w:t xml:space="preserve"> </w:t>
      </w:r>
      <w:r>
        <w:rPr>
          <w:lang w:val="fr-BE"/>
        </w:rPr>
        <w:t>L</w:t>
      </w:r>
      <w:r w:rsidRPr="00475C19">
        <w:rPr>
          <w:lang w:val="fr-BE"/>
        </w:rPr>
        <w:t>a loi du 20 décembre 2002 relative au recouvrement amiable des dettes du consommateur</w:t>
      </w:r>
      <w:r>
        <w:rPr>
          <w:lang w:val="fr-BE"/>
        </w:rPr>
        <w:t>.</w:t>
      </w:r>
    </w:p>
  </w:footnote>
  <w:footnote w:id="96">
    <w:p w14:paraId="39CBABB6" w14:textId="1F9DED9B" w:rsidR="005B484B" w:rsidRPr="00BC172A" w:rsidRDefault="005B484B" w:rsidP="00475C19">
      <w:pPr>
        <w:pStyle w:val="Notedebasdepage"/>
        <w:rPr>
          <w:lang w:val="fr-BE"/>
        </w:rPr>
      </w:pPr>
      <w:r>
        <w:rPr>
          <w:rStyle w:val="Appelnotedebasdep"/>
        </w:rPr>
        <w:footnoteRef/>
      </w:r>
      <w:r w:rsidRPr="00BC172A">
        <w:rPr>
          <w:lang w:val="fr-BE"/>
        </w:rPr>
        <w:t xml:space="preserve"> </w:t>
      </w:r>
      <w:r>
        <w:rPr>
          <w:lang w:val="fr-BE"/>
        </w:rPr>
        <w:t xml:space="preserve">Article </w:t>
      </w:r>
      <w:r w:rsidRPr="00475C19">
        <w:rPr>
          <w:lang w:val="fr-BE"/>
        </w:rPr>
        <w:t xml:space="preserve">L 1124-40 </w:t>
      </w:r>
      <w:r>
        <w:rPr>
          <w:lang w:val="fr-BE"/>
        </w:rPr>
        <w:t xml:space="preserve">du </w:t>
      </w:r>
      <w:r w:rsidRPr="00475C19">
        <w:rPr>
          <w:lang w:val="fr-BE"/>
        </w:rPr>
        <w:t>CDLD</w:t>
      </w:r>
      <w:r>
        <w:rPr>
          <w:lang w:val="fr-BE"/>
        </w:rPr>
        <w:t>.</w:t>
      </w:r>
    </w:p>
  </w:footnote>
  <w:footnote w:id="97">
    <w:p w14:paraId="6E6F67AF" w14:textId="3410AD4A" w:rsidR="00212CAF" w:rsidRPr="00212CAF" w:rsidRDefault="00212CAF">
      <w:pPr>
        <w:pStyle w:val="Notedebasdepage"/>
      </w:pPr>
      <w:r>
        <w:rPr>
          <w:rStyle w:val="Appelnotedebasdep"/>
        </w:rPr>
        <w:footnoteRef/>
      </w:r>
      <w:r>
        <w:t xml:space="preserve"> </w:t>
      </w:r>
      <w:r w:rsidRPr="00212CAF">
        <w:t>(6)</w:t>
      </w:r>
      <w:r w:rsidRPr="00212CAF">
        <w:tab/>
        <w:t xml:space="preserve">Cass. (1" </w:t>
      </w:r>
      <w:proofErr w:type="spellStart"/>
      <w:r w:rsidRPr="00212CAF">
        <w:t>ch.</w:t>
      </w:r>
      <w:proofErr w:type="spellEnd"/>
      <w:r w:rsidRPr="00212CAF">
        <w:t xml:space="preserve">), 17 </w:t>
      </w:r>
      <w:proofErr w:type="spellStart"/>
      <w:r w:rsidRPr="00212CAF">
        <w:t>juin</w:t>
      </w:r>
      <w:proofErr w:type="spellEnd"/>
      <w:r w:rsidRPr="00212CAF">
        <w:t xml:space="preserve"> 2016, R.G. n° F.15.0148.F., Pas., 2016/6-7-8, pp. 1440-1449.</w:t>
      </w:r>
    </w:p>
  </w:footnote>
  <w:footnote w:id="98">
    <w:p w14:paraId="379DD0D6" w14:textId="7E291DF0"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n°155/2008 du 6 novembre 2008 (point B.11.2).</w:t>
      </w:r>
    </w:p>
  </w:footnote>
  <w:footnote w:id="99">
    <w:p w14:paraId="76AEC67A" w14:textId="36C67EE7" w:rsidR="005B484B" w:rsidRPr="008D7EB7" w:rsidRDefault="005B484B">
      <w:pPr>
        <w:pStyle w:val="Notedebasdepage"/>
        <w:rPr>
          <w:lang w:val="fr-BE"/>
        </w:rPr>
      </w:pPr>
      <w:r>
        <w:rPr>
          <w:rStyle w:val="Appelnotedebasdep"/>
        </w:rPr>
        <w:footnoteRef/>
      </w:r>
      <w:r w:rsidRPr="008D7EB7">
        <w:rPr>
          <w:lang w:val="fr-BE"/>
        </w:rPr>
        <w:t xml:space="preserve"> </w:t>
      </w:r>
      <w:r w:rsidRPr="00FE6EB9">
        <w:rPr>
          <w:lang w:val="fr-BE"/>
        </w:rPr>
        <w:t>Arrêt du 6 octobre 2000 (F.97.0038.N/1).</w:t>
      </w:r>
    </w:p>
  </w:footnote>
  <w:footnote w:id="100">
    <w:p w14:paraId="38736FDE" w14:textId="36012C97"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 xml:space="preserve">Arrêt de la Cour de </w:t>
      </w:r>
      <w:proofErr w:type="gramStart"/>
      <w:r w:rsidRPr="007E3849">
        <w:rPr>
          <w:lang w:val="fr-BE"/>
        </w:rPr>
        <w:t>Cassation</w:t>
      </w:r>
      <w:proofErr w:type="gramEnd"/>
      <w:r w:rsidRPr="007E3849">
        <w:rPr>
          <w:lang w:val="fr-BE"/>
        </w:rPr>
        <w:t xml:space="preserve"> du 15 octobre 2010 (F.09.0092.N).</w:t>
      </w:r>
    </w:p>
  </w:footnote>
  <w:footnote w:id="101">
    <w:p w14:paraId="5B6ADCE7" w14:textId="658E1941" w:rsidR="00B752C3" w:rsidRPr="00B752C3" w:rsidRDefault="00B752C3">
      <w:pPr>
        <w:pStyle w:val="Notedebasdepage"/>
      </w:pPr>
      <w:bookmarkStart w:id="4599" w:name="_Hlk102394040"/>
      <w:r>
        <w:rPr>
          <w:rStyle w:val="Appelnotedebasdep"/>
        </w:rPr>
        <w:footnoteRef/>
      </w:r>
      <w:r>
        <w:t xml:space="preserve"> </w:t>
      </w:r>
      <w:proofErr w:type="spellStart"/>
      <w:r>
        <w:t>Arrêt</w:t>
      </w:r>
      <w:proofErr w:type="spellEnd"/>
      <w:r>
        <w:t xml:space="preserve"> de </w:t>
      </w:r>
      <w:bookmarkStart w:id="4600" w:name="_Hlk99374780"/>
      <w:r>
        <w:t xml:space="preserve">la </w:t>
      </w:r>
      <w:proofErr w:type="spellStart"/>
      <w:r>
        <w:t>Cour</w:t>
      </w:r>
      <w:proofErr w:type="spellEnd"/>
      <w:r>
        <w:t xml:space="preserve"> </w:t>
      </w:r>
      <w:proofErr w:type="spellStart"/>
      <w:r>
        <w:t>constitutionnelle</w:t>
      </w:r>
      <w:proofErr w:type="spellEnd"/>
      <w:r>
        <w:t xml:space="preserve"> du 22 </w:t>
      </w:r>
      <w:proofErr w:type="spellStart"/>
      <w:r>
        <w:t>avril</w:t>
      </w:r>
      <w:proofErr w:type="spellEnd"/>
      <w:r>
        <w:t xml:space="preserve"> 2021n°63/2021</w:t>
      </w:r>
      <w:r w:rsidR="00D157CC">
        <w:t xml:space="preserve"> - RFRL2021/4</w:t>
      </w:r>
      <w:bookmarkEnd w:id="4599"/>
    </w:p>
    <w:bookmarkEnd w:id="4600"/>
  </w:footnote>
  <w:footnote w:id="102">
    <w:p w14:paraId="7EB93D47"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19 décembre 1997 Pas., I, 574 ; Cassation du 6 mars 1973, Pas., I, </w:t>
      </w:r>
      <w:proofErr w:type="gramStart"/>
      <w:r w:rsidRPr="008D7EB7">
        <w:rPr>
          <w:lang w:val="fr-BE"/>
        </w:rPr>
        <w:t>669;</w:t>
      </w:r>
      <w:proofErr w:type="gramEnd"/>
      <w:r w:rsidRPr="008D7EB7">
        <w:rPr>
          <w:lang w:val="fr-BE"/>
        </w:rPr>
        <w:t xml:space="preserve"> Cassation du 23 janvier 1980, Pas., 1980, I, 577).</w:t>
      </w:r>
    </w:p>
  </w:footnote>
  <w:footnote w:id="103">
    <w:p w14:paraId="2370D41E"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23 janvier 2004, </w:t>
      </w:r>
      <w:proofErr w:type="gramStart"/>
      <w:r w:rsidRPr="008D7EB7">
        <w:rPr>
          <w:lang w:val="fr-BE"/>
        </w:rPr>
        <w:t>www.juridat.be;</w:t>
      </w:r>
      <w:proofErr w:type="gramEnd"/>
      <w:r w:rsidRPr="008D7EB7">
        <w:rPr>
          <w:lang w:val="fr-BE"/>
        </w:rPr>
        <w:t xml:space="preserve"> </w:t>
      </w:r>
      <w:bookmarkStart w:id="4603" w:name="_Hlk39392816"/>
      <w:r w:rsidRPr="008D7EB7">
        <w:rPr>
          <w:lang w:val="fr-BE"/>
        </w:rPr>
        <w:t>Cassation du</w:t>
      </w:r>
      <w:bookmarkEnd w:id="4603"/>
      <w:r w:rsidRPr="008D7EB7">
        <w:rPr>
          <w:lang w:val="fr-BE"/>
        </w:rPr>
        <w:t xml:space="preserve"> 20 juin 1991, Pas., I, p. 923 ; Cassation du 23 janvier 1980, Pas., 1980, I, pp. 577 à 578 ; Liège, 1er février 2006, www.fiscalnet.be, Liège, 24 juin 1992, Bulletin des contributions, 745, p. 73).</w:t>
      </w:r>
    </w:p>
  </w:footnote>
  <w:footnote w:id="104">
    <w:p w14:paraId="3A86382C"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Liège, 1</w:t>
      </w:r>
      <w:r w:rsidRPr="008D7EB7">
        <w:rPr>
          <w:vertAlign w:val="superscript"/>
          <w:lang w:val="fr-BE"/>
        </w:rPr>
        <w:t>er</w:t>
      </w:r>
      <w:r w:rsidRPr="008D7EB7">
        <w:rPr>
          <w:lang w:val="fr-BE"/>
        </w:rPr>
        <w:t xml:space="preserve"> février 2006, www.fiscalnet.be.</w:t>
      </w:r>
    </w:p>
  </w:footnote>
  <w:footnote w:id="105">
    <w:p w14:paraId="4A25CF71"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16 mars 1973, www.juridat.be, O. Bertin et V. Poisson, « Le dégrèvement d’office, développements récents », R.G.C.F., 2005, pp. 156 et s. et références citées).</w:t>
      </w:r>
    </w:p>
  </w:footnote>
  <w:footnote w:id="106">
    <w:p w14:paraId="27940BA0"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w:t>
      </w:r>
      <w:bookmarkStart w:id="4604" w:name="_Hlk39393039"/>
      <w:r w:rsidRPr="008D7EB7">
        <w:rPr>
          <w:lang w:val="fr-BE"/>
        </w:rPr>
        <w:t xml:space="preserve">Cf. Cassation du </w:t>
      </w:r>
      <w:bookmarkEnd w:id="4604"/>
      <w:r w:rsidRPr="008D7EB7">
        <w:rPr>
          <w:lang w:val="fr-BE"/>
        </w:rPr>
        <w:t>16 mars 1973, Pas., 1973, I, 669.</w:t>
      </w:r>
    </w:p>
  </w:footnote>
  <w:footnote w:id="107">
    <w:p w14:paraId="758ED057"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7 janvier 1969, Pas., 69, I, 422 et note </w:t>
      </w:r>
      <w:proofErr w:type="spellStart"/>
      <w:r w:rsidRPr="008D7EB7">
        <w:rPr>
          <w:lang w:val="fr-BE"/>
        </w:rPr>
        <w:t>Feye</w:t>
      </w:r>
      <w:proofErr w:type="spellEnd"/>
      <w:r w:rsidRPr="008D7EB7">
        <w:rPr>
          <w:lang w:val="fr-BE"/>
        </w:rPr>
        <w:t xml:space="preserve"> et </w:t>
      </w:r>
      <w:proofErr w:type="spellStart"/>
      <w:r w:rsidRPr="008D7EB7">
        <w:rPr>
          <w:lang w:val="fr-BE"/>
        </w:rPr>
        <w:t>Cardyn</w:t>
      </w:r>
      <w:proofErr w:type="spellEnd"/>
      <w:r w:rsidRPr="008D7EB7">
        <w:rPr>
          <w:lang w:val="fr-BE"/>
        </w:rPr>
        <w:t xml:space="preserve"> ; Mons, 24 avril 1990, J.L.M.B., 1990, p. 149.</w:t>
      </w:r>
    </w:p>
  </w:footnote>
  <w:footnote w:id="108">
    <w:p w14:paraId="2E913769" w14:textId="79044AE2" w:rsidR="00565234" w:rsidRPr="00565234" w:rsidRDefault="00565234">
      <w:pPr>
        <w:pStyle w:val="Notedebasdepage"/>
      </w:pPr>
      <w:r>
        <w:rPr>
          <w:rStyle w:val="Appelnotedebasdep"/>
        </w:rPr>
        <w:footnoteRef/>
      </w:r>
      <w:r>
        <w:t xml:space="preserve"> </w:t>
      </w:r>
      <w:proofErr w:type="spellStart"/>
      <w:r w:rsidRPr="00565234">
        <w:t>circulaire</w:t>
      </w:r>
      <w:proofErr w:type="spellEnd"/>
      <w:r w:rsidRPr="00565234">
        <w:t xml:space="preserve"> du 10 </w:t>
      </w:r>
      <w:proofErr w:type="spellStart"/>
      <w:r w:rsidRPr="00565234">
        <w:t>mai</w:t>
      </w:r>
      <w:proofErr w:type="spellEnd"/>
      <w:r w:rsidRPr="00565234">
        <w:t xml:space="preserve"> 2000, le </w:t>
      </w:r>
      <w:proofErr w:type="spellStart"/>
      <w:r w:rsidR="007C3B5A">
        <w:t>M</w:t>
      </w:r>
      <w:r w:rsidRPr="00565234">
        <w:t>inistre</w:t>
      </w:r>
      <w:proofErr w:type="spellEnd"/>
      <w:r w:rsidRPr="00565234">
        <w:t xml:space="preserve"> de </w:t>
      </w:r>
      <w:proofErr w:type="spellStart"/>
      <w:r w:rsidRPr="00565234">
        <w:t>l'Intérieur</w:t>
      </w:r>
      <w:proofErr w:type="spellEnd"/>
      <w:r w:rsidR="007C3B5A">
        <w:t>, M.B. 20.05.2000, p.16849</w:t>
      </w:r>
    </w:p>
  </w:footnote>
  <w:footnote w:id="109">
    <w:p w14:paraId="35FFA98F" w14:textId="1B30C9D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Article 1385undecies du Code judiciaire.</w:t>
      </w:r>
    </w:p>
  </w:footnote>
  <w:footnote w:id="110">
    <w:p w14:paraId="344DAB0F" w14:textId="05E65AA3"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Article 414, § 2 du code des impôts sur les revenus.</w:t>
      </w:r>
    </w:p>
  </w:footnote>
  <w:footnote w:id="111">
    <w:p w14:paraId="3A07055E" w14:textId="3BBA5813" w:rsidR="00E24783" w:rsidRPr="00E24783" w:rsidRDefault="00E24783">
      <w:pPr>
        <w:pStyle w:val="Notedebasdepage"/>
      </w:pPr>
      <w:r>
        <w:rPr>
          <w:rStyle w:val="Appelnotedebasdep"/>
        </w:rPr>
        <w:footnoteRef/>
      </w:r>
      <w:r>
        <w:t xml:space="preserve"> </w:t>
      </w:r>
      <w:proofErr w:type="spellStart"/>
      <w:r>
        <w:t>Civ.Namur</w:t>
      </w:r>
      <w:proofErr w:type="spellEnd"/>
      <w:r>
        <w:t xml:space="preserve">, 1er </w:t>
      </w:r>
      <w:proofErr w:type="spellStart"/>
      <w:r>
        <w:t>octobre</w:t>
      </w:r>
      <w:proofErr w:type="spellEnd"/>
      <w:r>
        <w:t xml:space="preserve"> 2020, R.F.R.L. 20221/4 p.464</w:t>
      </w:r>
    </w:p>
  </w:footnote>
  <w:footnote w:id="112">
    <w:p w14:paraId="7DF90C79" w14:textId="47A3A31F" w:rsidR="005B484B" w:rsidRPr="008D7EB7" w:rsidRDefault="005B484B" w:rsidP="008D7EB7">
      <w:pPr>
        <w:pStyle w:val="Notedebasdepage"/>
        <w:jc w:val="both"/>
        <w:rPr>
          <w:lang w:val="fr-BE"/>
        </w:rPr>
      </w:pPr>
      <w:r>
        <w:rPr>
          <w:rStyle w:val="Appelnotedebasdep"/>
        </w:rPr>
        <w:footnoteRef/>
      </w:r>
      <w:r w:rsidRPr="008D7EB7">
        <w:rPr>
          <w:lang w:val="fr-BE"/>
        </w:rPr>
        <w:t xml:space="preserve"> Article 1385undecies du Code judiciaire.</w:t>
      </w:r>
    </w:p>
  </w:footnote>
  <w:footnote w:id="113">
    <w:p w14:paraId="2FF620D8" w14:textId="62F92A9B"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434194">
        <w:rPr>
          <w:lang w:val="fr-BE"/>
        </w:rPr>
        <w:t>Arrêt n°134/2004 du 22 juillet 2004 (cf. point B.6.2)</w:t>
      </w:r>
      <w:r w:rsidRPr="007E3849">
        <w:rPr>
          <w:rFonts w:ascii="Times New Roman" w:hAnsi="Times New Roman"/>
          <w:sz w:val="23"/>
          <w:szCs w:val="23"/>
          <w:lang w:val="fr-BE"/>
        </w:rPr>
        <w:t>.</w:t>
      </w:r>
    </w:p>
  </w:footnote>
  <w:footnote w:id="114">
    <w:p w14:paraId="5A7137EC" w14:textId="53F2680D" w:rsidR="005B484B" w:rsidRPr="008D7EB7" w:rsidRDefault="005B484B">
      <w:pPr>
        <w:pStyle w:val="Notedebasdepage"/>
        <w:rPr>
          <w:lang w:val="fr-BE"/>
        </w:rPr>
      </w:pPr>
      <w:r>
        <w:rPr>
          <w:rStyle w:val="Appelnotedebasdep"/>
        </w:rPr>
        <w:footnoteRef/>
      </w:r>
      <w:r>
        <w:rPr>
          <w:lang w:val="fr-BE"/>
        </w:rPr>
        <w:t xml:space="preserve"> Article </w:t>
      </w:r>
      <w:r w:rsidRPr="00072B24">
        <w:rPr>
          <w:lang w:val="fr-BE"/>
        </w:rPr>
        <w:t>L3321-6 du CDLD</w:t>
      </w:r>
      <w:r>
        <w:rPr>
          <w:lang w:val="fr-BE"/>
        </w:rPr>
        <w:t>.</w:t>
      </w:r>
      <w:r w:rsidRPr="008D7EB7">
        <w:rPr>
          <w:lang w:val="fr-BE"/>
        </w:rPr>
        <w:t xml:space="preserve"> </w:t>
      </w:r>
    </w:p>
  </w:footnote>
  <w:footnote w:id="115">
    <w:p w14:paraId="71FB4865" w14:textId="2F7D5AB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Cf. les arrêts du 22 janvier 2010 (F.09.0031.F/1), 11 mars 2010 (F.09.0069.N/1) et 21 octobre 2010 (N° F.09.0158.F).</w:t>
      </w:r>
    </w:p>
  </w:footnote>
  <w:footnote w:id="116">
    <w:p w14:paraId="43DB90DD" w14:textId="2168C97B" w:rsidR="005B484B" w:rsidRPr="008D7EB7" w:rsidRDefault="005B484B">
      <w:pPr>
        <w:pStyle w:val="Notedebasdepage"/>
        <w:rPr>
          <w:lang w:val="fr-BE"/>
        </w:rPr>
      </w:pPr>
      <w:r>
        <w:rPr>
          <w:rStyle w:val="Appelnotedebasdep"/>
        </w:rPr>
        <w:footnoteRef/>
      </w:r>
      <w:r w:rsidRPr="008D7EB7">
        <w:rPr>
          <w:lang w:val="fr-BE"/>
        </w:rPr>
        <w:t xml:space="preserve"> Arrêt du 12 janvier 1989 (F903F).</w:t>
      </w:r>
    </w:p>
  </w:footnote>
  <w:footnote w:id="117">
    <w:p w14:paraId="6C05A8A2" w14:textId="1C10A041" w:rsidR="005B484B" w:rsidRPr="008D7EB7" w:rsidRDefault="005B484B">
      <w:pPr>
        <w:pStyle w:val="Notedebasdepage"/>
        <w:rPr>
          <w:lang w:val="fr-BE"/>
        </w:rPr>
      </w:pPr>
      <w:r>
        <w:rPr>
          <w:rStyle w:val="Appelnotedebasdep"/>
        </w:rPr>
        <w:footnoteRef/>
      </w:r>
      <w:r w:rsidRPr="008D7EB7">
        <w:rPr>
          <w:lang w:val="fr-BE"/>
        </w:rPr>
        <w:t xml:space="preserve"> </w:t>
      </w:r>
      <w:r w:rsidRPr="003670E5">
        <w:rPr>
          <w:lang w:val="fr-BE"/>
        </w:rPr>
        <w:t>Arrêt de la Cour Constitutionnelle du 12 janvier 2019 (point B.7.2)</w:t>
      </w:r>
      <w:r>
        <w:rPr>
          <w:lang w:val="fr-BE"/>
        </w:rPr>
        <w:t>.</w:t>
      </w:r>
    </w:p>
  </w:footnote>
  <w:footnote w:id="118">
    <w:p w14:paraId="5A27E259" w14:textId="132D5FE7" w:rsidR="005B484B" w:rsidRPr="008D7EB7" w:rsidRDefault="005B484B" w:rsidP="008D7EB7">
      <w:pPr>
        <w:pStyle w:val="Notedebasdepage"/>
        <w:jc w:val="both"/>
        <w:rPr>
          <w:lang w:val="fr-BE"/>
        </w:rPr>
      </w:pPr>
      <w:r>
        <w:rPr>
          <w:rStyle w:val="Appelnotedebasdep"/>
        </w:rPr>
        <w:footnoteRef/>
      </w:r>
      <w:r w:rsidRPr="008D7EB7">
        <w:rPr>
          <w:lang w:val="fr-BE"/>
        </w:rPr>
        <w:t xml:space="preserve"> Document parlementaire 54 3367/001, page 10.</w:t>
      </w:r>
    </w:p>
  </w:footnote>
  <w:footnote w:id="119">
    <w:p w14:paraId="4F6708A8" w14:textId="2EA7A55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3670E5">
        <w:rPr>
          <w:lang w:val="fr-BE"/>
        </w:rPr>
        <w:t>Cf. circulaire 2019/C/122 du 18 novembre 2019 du SPF Finances concernant les modifications de l’article 357 du Code des impôts sur les revenus.</w:t>
      </w:r>
    </w:p>
  </w:footnote>
  <w:footnote w:id="120">
    <w:p w14:paraId="6D0C2476" w14:textId="77777777" w:rsidR="005B484B" w:rsidRPr="000D2741" w:rsidRDefault="005B484B" w:rsidP="008D7EB7">
      <w:pPr>
        <w:pStyle w:val="Notedebasdepage"/>
        <w:jc w:val="both"/>
        <w:rPr>
          <w:lang w:val="fr-BE"/>
        </w:rPr>
      </w:pPr>
      <w:r>
        <w:rPr>
          <w:rStyle w:val="Appelnotedebasdep"/>
        </w:rPr>
        <w:footnoteRef/>
      </w:r>
      <w:r w:rsidRPr="008D7EB7">
        <w:rPr>
          <w:lang w:val="fr-BE"/>
        </w:rPr>
        <w:t xml:space="preserve"> Moniteur belge du 29/12/2017.</w:t>
      </w:r>
    </w:p>
  </w:footnote>
  <w:footnote w:id="121">
    <w:p w14:paraId="45224AB7" w14:textId="785B8678" w:rsidR="005B484B" w:rsidRPr="00E063FD"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Réponse du 9 mars 2010 à la question orale posée par M. BOUCHAT</w:t>
      </w:r>
      <w:r>
        <w:rPr>
          <w:rFonts w:asciiTheme="minorHAnsi" w:hAnsiTheme="minorHAnsi" w:cs="Calibri Light"/>
          <w:lang w:val="fr-BE"/>
        </w:rPr>
        <w:t>.</w:t>
      </w:r>
    </w:p>
  </w:footnote>
  <w:footnote w:id="122">
    <w:p w14:paraId="12B3FCDF" w14:textId="18622021"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4 § 1 du Code de l’eau</w:t>
      </w:r>
      <w:r>
        <w:rPr>
          <w:lang w:val="fr-BE"/>
        </w:rPr>
        <w:t>.</w:t>
      </w:r>
    </w:p>
  </w:footnote>
  <w:footnote w:id="123">
    <w:p w14:paraId="09AD29FF" w14:textId="20146B3E" w:rsidR="005B484B" w:rsidRPr="008D7EB7" w:rsidRDefault="005B484B">
      <w:pPr>
        <w:pStyle w:val="Notedebasdepage"/>
        <w:rPr>
          <w:lang w:val="fr-BE"/>
        </w:rPr>
      </w:pPr>
      <w:r>
        <w:rPr>
          <w:rStyle w:val="Appelnotedebasdep"/>
        </w:rPr>
        <w:footnoteRef/>
      </w:r>
      <w:r w:rsidRPr="008D7EB7">
        <w:rPr>
          <w:lang w:val="fr-BE"/>
        </w:rPr>
        <w:t xml:space="preserve"> M</w:t>
      </w:r>
      <w:r>
        <w:rPr>
          <w:lang w:val="fr-BE"/>
        </w:rPr>
        <w:t xml:space="preserve">oniteur Belge </w:t>
      </w:r>
      <w:r w:rsidRPr="008D7EB7">
        <w:rPr>
          <w:lang w:val="fr-BE"/>
        </w:rPr>
        <w:t>du 24</w:t>
      </w:r>
      <w:r>
        <w:rPr>
          <w:lang w:val="fr-BE"/>
        </w:rPr>
        <w:t xml:space="preserve"> janvier </w:t>
      </w:r>
      <w:r w:rsidRPr="008D7EB7">
        <w:rPr>
          <w:lang w:val="fr-BE"/>
        </w:rPr>
        <w:t>1945. p.345.</w:t>
      </w:r>
    </w:p>
  </w:footnote>
  <w:footnote w:id="124">
    <w:p w14:paraId="419D89BC" w14:textId="77777777" w:rsidR="005B484B" w:rsidRPr="008D7EB7" w:rsidRDefault="005B484B" w:rsidP="00E241F5">
      <w:pPr>
        <w:pStyle w:val="Notedebasdepage"/>
        <w:rPr>
          <w:lang w:val="fr-BE"/>
        </w:rPr>
      </w:pPr>
      <w:r>
        <w:rPr>
          <w:rStyle w:val="Appelnotedebasdep"/>
        </w:rPr>
        <w:footnoteRef/>
      </w:r>
      <w:r w:rsidRPr="008D7EB7">
        <w:rPr>
          <w:lang w:val="fr-BE"/>
        </w:rPr>
        <w:t xml:space="preserve"> Arrêt n° 239.399 du 13 octobre 2017.</w:t>
      </w:r>
    </w:p>
  </w:footnote>
  <w:footnote w:id="125">
    <w:p w14:paraId="13EEC2E8" w14:textId="51EEAA27"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172 de la Constitution</w:t>
      </w:r>
      <w:r>
        <w:rPr>
          <w:lang w:val="fr-BE"/>
        </w:rPr>
        <w:t>.</w:t>
      </w:r>
    </w:p>
  </w:footnote>
  <w:footnote w:id="126">
    <w:p w14:paraId="766B4D24" w14:textId="66DD43F8"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n°112.495 du 12 novembre 2002.</w:t>
      </w:r>
    </w:p>
  </w:footnote>
  <w:footnote w:id="127">
    <w:p w14:paraId="4F992938" w14:textId="77777777" w:rsidR="005B484B" w:rsidRPr="00E063FD" w:rsidRDefault="005B484B">
      <w:pPr>
        <w:pStyle w:val="Notedebasdepage"/>
        <w:rPr>
          <w:lang w:val="fr-BE"/>
        </w:rPr>
      </w:pPr>
      <w:r>
        <w:rPr>
          <w:rStyle w:val="Appelnotedebasdep"/>
        </w:rPr>
        <w:footnoteRef/>
      </w:r>
      <w:r w:rsidRPr="008D7EB7">
        <w:rPr>
          <w:lang w:val="fr-BE"/>
        </w:rPr>
        <w:t xml:space="preserve"> En exécution du </w:t>
      </w:r>
      <w:r w:rsidRPr="008D7EB7">
        <w:rPr>
          <w:rFonts w:asciiTheme="minorHAnsi" w:hAnsiTheme="minorHAnsi" w:cs="Calibri Light"/>
          <w:lang w:val="fr-BE"/>
        </w:rPr>
        <w:t>Décret du 30 mars 1995 relatif à la publicité de l'administration</w:t>
      </w:r>
    </w:p>
  </w:footnote>
  <w:footnote w:id="128">
    <w:p w14:paraId="41CF21E9" w14:textId="77777777" w:rsidR="005B484B" w:rsidRPr="00E063FD" w:rsidRDefault="005B484B">
      <w:pPr>
        <w:pStyle w:val="Notedebasdepage"/>
        <w:rPr>
          <w:lang w:val="fr-BE"/>
        </w:rPr>
      </w:pPr>
      <w:r>
        <w:rPr>
          <w:rStyle w:val="Appelnotedebasdep"/>
        </w:rPr>
        <w:footnoteRef/>
      </w:r>
      <w:r w:rsidRPr="008D7EB7">
        <w:rPr>
          <w:lang w:val="fr-BE"/>
        </w:rPr>
        <w:t xml:space="preserve"> Arrêts n° </w:t>
      </w:r>
      <w:r>
        <w:rPr>
          <w:rFonts w:asciiTheme="minorHAnsi" w:hAnsiTheme="minorHAnsi" w:cs="Calibri Light"/>
          <w:lang w:val="fr-BE"/>
        </w:rPr>
        <w:t xml:space="preserve">234.415 et </w:t>
      </w:r>
      <w:r w:rsidRPr="00DA6BD2">
        <w:rPr>
          <w:rFonts w:asciiTheme="minorHAnsi" w:hAnsiTheme="minorHAnsi" w:cs="Calibri Light"/>
          <w:lang w:val="fr-BE"/>
        </w:rPr>
        <w:t>234.417</w:t>
      </w:r>
    </w:p>
  </w:footnote>
  <w:footnote w:id="129">
    <w:p w14:paraId="56DF8131" w14:textId="36AECC10" w:rsidR="005B484B" w:rsidRPr="008D7EB7" w:rsidRDefault="005B484B">
      <w:pPr>
        <w:pStyle w:val="Notedebasdepage"/>
        <w:rPr>
          <w:lang w:val="fr-BE"/>
        </w:rPr>
      </w:pPr>
      <w:r>
        <w:rPr>
          <w:rStyle w:val="Appelnotedebasdep"/>
        </w:rPr>
        <w:footnoteRef/>
      </w:r>
      <w:r w:rsidRPr="008D7EB7">
        <w:rPr>
          <w:lang w:val="fr-BE"/>
        </w:rPr>
        <w:t xml:space="preserve"> </w:t>
      </w:r>
      <w:r w:rsidRPr="00961214">
        <w:rPr>
          <w:lang w:val="fr-BE"/>
        </w:rPr>
        <w:t>M</w:t>
      </w:r>
      <w:r>
        <w:rPr>
          <w:lang w:val="fr-BE"/>
        </w:rPr>
        <w:t xml:space="preserve">oniteur Belge du 21 mars </w:t>
      </w:r>
      <w:r w:rsidRPr="00961214">
        <w:rPr>
          <w:lang w:val="fr-BE"/>
        </w:rPr>
        <w:t>2014</w:t>
      </w:r>
      <w:r>
        <w:rPr>
          <w:lang w:val="fr-BE"/>
        </w:rPr>
        <w:t>.</w:t>
      </w:r>
    </w:p>
  </w:footnote>
  <w:footnote w:id="130">
    <w:p w14:paraId="5B111215" w14:textId="58D2AE41" w:rsidR="005B484B" w:rsidRPr="006B47EE" w:rsidRDefault="005B484B" w:rsidP="00902733">
      <w:pPr>
        <w:spacing w:before="120"/>
        <w:textAlignment w:val="baseline"/>
        <w:rPr>
          <w:lang w:val="fr-BE"/>
        </w:rPr>
      </w:pPr>
      <w:r>
        <w:rPr>
          <w:rStyle w:val="Appelnotedebasdep"/>
        </w:rPr>
        <w:footnoteRef/>
      </w:r>
      <w:r w:rsidRPr="008D7EB7">
        <w:rPr>
          <w:lang w:val="fr-BE"/>
        </w:rPr>
        <w:t xml:space="preserve"> </w:t>
      </w:r>
      <w:hyperlink r:id="rId1" w:history="1">
        <w:r w:rsidRPr="006B47EE">
          <w:rPr>
            <w:rStyle w:val="Lienhypertexte"/>
            <w:color w:val="auto"/>
            <w:sz w:val="20"/>
            <w:szCs w:val="20"/>
          </w:rPr>
          <w:t>https://diplomatie.belgium.be/fr/Services/services_a_letranger/passeport_belge/demander_un_passeport/belge_en_belgique/prix_et_delais_livraison</w:t>
        </w:r>
      </w:hyperlink>
      <w:r w:rsidRPr="006B47EE">
        <w:rPr>
          <w:sz w:val="20"/>
          <w:szCs w:val="20"/>
        </w:rPr>
        <w:t>.</w:t>
      </w:r>
    </w:p>
    <w:p w14:paraId="4F94E302" w14:textId="38EF8BCB" w:rsidR="005B484B" w:rsidRPr="008D7EB7" w:rsidRDefault="005B484B">
      <w:pPr>
        <w:pStyle w:val="Notedebasdepage"/>
        <w:rPr>
          <w:lang w:val="fr-BE"/>
        </w:rPr>
      </w:pPr>
    </w:p>
  </w:footnote>
  <w:footnote w:id="131">
    <w:p w14:paraId="063E24F4" w14:textId="173F302A" w:rsidR="005B484B" w:rsidRPr="008D7EB7" w:rsidRDefault="005B484B">
      <w:pPr>
        <w:pStyle w:val="Notedebasdepage"/>
        <w:rPr>
          <w:lang w:val="fr-BE"/>
        </w:rPr>
      </w:pPr>
      <w:r>
        <w:rPr>
          <w:rStyle w:val="Appelnotedebasdep"/>
        </w:rPr>
        <w:footnoteRef/>
      </w:r>
      <w:r w:rsidRPr="008D7EB7">
        <w:rPr>
          <w:lang w:val="fr-BE"/>
        </w:rPr>
        <w:t xml:space="preserve"> </w:t>
      </w:r>
      <w:hyperlink r:id="rId2" w:history="1">
        <w:r w:rsidRPr="006B610B">
          <w:rPr>
            <w:rStyle w:val="Lienhypertexte"/>
            <w:color w:val="auto"/>
            <w:lang w:val="fr-BE"/>
          </w:rPr>
          <w:t>https://diplomatie.belgium.be/fr/Services/services_a_letranger/passeport_belge/demander_un_passeport/belge_en_belgique/prix_et_delais_livraison</w:t>
        </w:r>
      </w:hyperlink>
      <w:r w:rsidRPr="00A00783">
        <w:rPr>
          <w:lang w:val="fr-BE"/>
        </w:rPr>
        <w:t>.</w:t>
      </w:r>
    </w:p>
  </w:footnote>
  <w:footnote w:id="132">
    <w:p w14:paraId="39C0731C" w14:textId="206278E5" w:rsidR="005B484B" w:rsidRPr="008D7EB7" w:rsidRDefault="005B484B">
      <w:pPr>
        <w:pStyle w:val="Notedebasdepage"/>
        <w:rPr>
          <w:lang w:val="fr-BE"/>
        </w:rPr>
      </w:pPr>
      <w:r>
        <w:rPr>
          <w:rStyle w:val="Appelnotedebasdep"/>
        </w:rPr>
        <w:footnoteRef/>
      </w:r>
      <w:r w:rsidRPr="008D7EB7">
        <w:rPr>
          <w:lang w:val="fr-BE"/>
        </w:rPr>
        <w:t xml:space="preserve"> </w:t>
      </w:r>
      <w:r>
        <w:rPr>
          <w:lang w:val="fr-BE"/>
        </w:rPr>
        <w:t>C</w:t>
      </w:r>
      <w:r w:rsidRPr="008D7EB7">
        <w:rPr>
          <w:lang w:val="fr-BE"/>
        </w:rPr>
        <w:t>f. article 61 de l’arrêté du 23 mars 1998 relatif au permis de conduire</w:t>
      </w:r>
      <w:r>
        <w:rPr>
          <w:lang w:val="fr-BE"/>
        </w:rPr>
        <w:t>.</w:t>
      </w:r>
    </w:p>
  </w:footnote>
  <w:footnote w:id="133">
    <w:p w14:paraId="4F0D33DF" w14:textId="5B4731D0"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eastAsia="fr-FR"/>
        </w:rPr>
        <w:t>Moniteur belge du 2 juillet 2018.</w:t>
      </w:r>
    </w:p>
  </w:footnote>
  <w:footnote w:id="134">
    <w:p w14:paraId="11DA3BD3" w14:textId="595A6293" w:rsidR="005B484B" w:rsidRPr="008D7EB7" w:rsidRDefault="005B484B">
      <w:pPr>
        <w:pStyle w:val="Notedebasdepage"/>
        <w:rPr>
          <w:lang w:val="fr-BE"/>
        </w:rPr>
      </w:pPr>
      <w:r>
        <w:rPr>
          <w:rStyle w:val="Appelnotedebasdep"/>
        </w:rPr>
        <w:footnoteRef/>
      </w:r>
      <w:r w:rsidRPr="008D7EB7">
        <w:rPr>
          <w:lang w:val="fr-BE"/>
        </w:rPr>
        <w:t xml:space="preserve"> </w:t>
      </w:r>
      <w:r w:rsidRPr="007E3849">
        <w:rPr>
          <w:rFonts w:asciiTheme="minorHAnsi" w:hAnsiTheme="minorHAnsi" w:cs="Calibri Light"/>
          <w:lang w:val="fr-BE" w:eastAsia="fr-FR"/>
        </w:rPr>
        <w:t xml:space="preserve">Moniteur belge du </w:t>
      </w:r>
      <w:r>
        <w:rPr>
          <w:rFonts w:asciiTheme="minorHAnsi" w:hAnsiTheme="minorHAnsi" w:cs="Calibri Light"/>
          <w:lang w:val="fr-BE" w:eastAsia="fr-FR"/>
        </w:rPr>
        <w:t>18</w:t>
      </w:r>
      <w:r w:rsidRPr="007E3849">
        <w:rPr>
          <w:rFonts w:asciiTheme="minorHAnsi" w:hAnsiTheme="minorHAnsi" w:cs="Calibri Light"/>
          <w:lang w:val="fr-BE" w:eastAsia="fr-FR"/>
        </w:rPr>
        <w:t xml:space="preserve"> juillet 2018.</w:t>
      </w:r>
    </w:p>
  </w:footnote>
  <w:footnote w:id="135">
    <w:p w14:paraId="142171C9" w14:textId="2D9F3CFB"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 xml:space="preserve">Exposé des motifs, Ch. </w:t>
      </w:r>
      <w:proofErr w:type="spellStart"/>
      <w:r w:rsidRPr="008D7EB7">
        <w:rPr>
          <w:rFonts w:asciiTheme="minorHAnsi" w:hAnsiTheme="minorHAnsi" w:cs="Calibri Light"/>
          <w:lang w:val="fr-BE"/>
        </w:rPr>
        <w:t>repr</w:t>
      </w:r>
      <w:proofErr w:type="spellEnd"/>
      <w:r w:rsidRPr="008D7EB7">
        <w:rPr>
          <w:rFonts w:asciiTheme="minorHAnsi" w:hAnsiTheme="minorHAnsi" w:cs="Calibri Light"/>
          <w:lang w:val="fr-BE"/>
        </w:rPr>
        <w:t>., 1983-1984, 966, p</w:t>
      </w:r>
      <w:r>
        <w:rPr>
          <w:rFonts w:asciiTheme="minorHAnsi" w:hAnsiTheme="minorHAnsi" w:cs="Calibri Light"/>
          <w:lang w:val="fr-BE"/>
        </w:rPr>
        <w:t xml:space="preserve">age </w:t>
      </w:r>
      <w:r w:rsidRPr="008D7EB7">
        <w:rPr>
          <w:rFonts w:asciiTheme="minorHAnsi" w:hAnsiTheme="minorHAnsi" w:cs="Calibri Light"/>
          <w:lang w:val="fr-BE"/>
        </w:rPr>
        <w:t>3</w:t>
      </w:r>
      <w:r>
        <w:rPr>
          <w:rFonts w:asciiTheme="minorHAnsi" w:hAnsiTheme="minorHAnsi" w:cs="Calibri Light"/>
          <w:lang w:val="fr-BE"/>
        </w:rPr>
        <w:t>.</w:t>
      </w:r>
    </w:p>
  </w:footnote>
  <w:footnote w:id="136">
    <w:p w14:paraId="08D1E8C5" w14:textId="1FA3053A" w:rsidR="005B484B" w:rsidRPr="008D7EB7" w:rsidRDefault="005B484B">
      <w:pPr>
        <w:pStyle w:val="Notedebasdepage"/>
        <w:rPr>
          <w:lang w:val="fr-BE"/>
        </w:rPr>
      </w:pPr>
      <w:r>
        <w:rPr>
          <w:rStyle w:val="Appelnotedebasdep"/>
        </w:rPr>
        <w:footnoteRef/>
      </w:r>
      <w:r w:rsidRPr="008D7EB7">
        <w:rPr>
          <w:lang w:val="fr-BE"/>
        </w:rPr>
        <w:t xml:space="preserve"> </w:t>
      </w:r>
      <w:r w:rsidRPr="00C97323">
        <w:rPr>
          <w:lang w:val="fr-BE"/>
        </w:rPr>
        <w:t>Liège (1</w:t>
      </w:r>
      <w:r w:rsidRPr="008D7EB7">
        <w:rPr>
          <w:vertAlign w:val="superscript"/>
          <w:lang w:val="fr-BE"/>
        </w:rPr>
        <w:t>er</w:t>
      </w:r>
      <w:r>
        <w:rPr>
          <w:lang w:val="fr-BE"/>
        </w:rPr>
        <w:t xml:space="preserve"> </w:t>
      </w:r>
      <w:r w:rsidRPr="00C97323">
        <w:rPr>
          <w:lang w:val="fr-BE"/>
        </w:rPr>
        <w:t>ch</w:t>
      </w:r>
      <w:r>
        <w:rPr>
          <w:lang w:val="fr-BE"/>
        </w:rPr>
        <w:t>ambre</w:t>
      </w:r>
      <w:r w:rsidRPr="00C97323">
        <w:rPr>
          <w:lang w:val="fr-BE"/>
        </w:rPr>
        <w:t>), 21 mai 2012, J.T., 2013, p. 63, note J.-P. Masson.</w:t>
      </w:r>
    </w:p>
  </w:footnote>
  <w:footnote w:id="137">
    <w:p w14:paraId="47ABE727" w14:textId="2829426B"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944D1B">
        <w:rPr>
          <w:lang w:val="fr-BE"/>
        </w:rPr>
        <w:t>Article 120, § 2 de loi du 18 juin 2018 portant dispositions diverses en matière de droit civil et des dispositions en vue de promouvoir des formes alternatives de résolution de litiges.</w:t>
      </w:r>
    </w:p>
  </w:footnote>
  <w:footnote w:id="138">
    <w:p w14:paraId="138E65DA" w14:textId="0D8B7539" w:rsidR="005B484B" w:rsidRPr="00176C1B"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944D1B">
        <w:rPr>
          <w:lang w:val="fr-BE"/>
        </w:rPr>
        <w:t>rticles 10 et 14 du décret du 14 février 2019</w:t>
      </w:r>
      <w:r>
        <w:rPr>
          <w:lang w:val="fr-BE"/>
        </w:rPr>
        <w:t xml:space="preserve"> - </w:t>
      </w:r>
      <w:r w:rsidRPr="008D7EB7">
        <w:rPr>
          <w:rFonts w:asciiTheme="minorHAnsi" w:hAnsiTheme="minorHAnsi" w:cs="Calibri Light"/>
          <w:lang w:val="fr-BE"/>
        </w:rPr>
        <w:t>Moniteur Belge, 20</w:t>
      </w:r>
      <w:r>
        <w:rPr>
          <w:rFonts w:asciiTheme="minorHAnsi" w:hAnsiTheme="minorHAnsi" w:cs="Calibri Light"/>
          <w:lang w:val="fr-BE"/>
        </w:rPr>
        <w:t xml:space="preserve"> mars </w:t>
      </w:r>
      <w:r w:rsidRPr="008D7EB7">
        <w:rPr>
          <w:rFonts w:asciiTheme="minorHAnsi" w:hAnsiTheme="minorHAnsi" w:cs="Calibri Light"/>
          <w:lang w:val="fr-BE"/>
        </w:rPr>
        <w:t>2019, Ed</w:t>
      </w:r>
      <w:r>
        <w:rPr>
          <w:rFonts w:asciiTheme="minorHAnsi" w:hAnsiTheme="minorHAnsi" w:cs="Calibri Light"/>
          <w:lang w:val="fr-BE"/>
        </w:rPr>
        <w:t xml:space="preserve">ition </w:t>
      </w:r>
      <w:r w:rsidRPr="008D7EB7">
        <w:rPr>
          <w:rFonts w:asciiTheme="minorHAnsi" w:hAnsiTheme="minorHAnsi" w:cs="Calibri Light"/>
          <w:lang w:val="fr-BE"/>
        </w:rPr>
        <w:t>2</w:t>
      </w:r>
      <w:r>
        <w:rPr>
          <w:rFonts w:asciiTheme="minorHAnsi" w:hAnsiTheme="minorHAnsi" w:cs="Calibri Light"/>
          <w:lang w:val="fr-BE"/>
        </w:rPr>
        <w:t>,</w:t>
      </w:r>
      <w:r w:rsidRPr="008D7EB7">
        <w:rPr>
          <w:rFonts w:asciiTheme="minorHAnsi" w:hAnsiTheme="minorHAnsi" w:cs="Calibri Light"/>
          <w:lang w:val="fr-BE"/>
        </w:rPr>
        <w:t xml:space="preserve"> p.27.921.</w:t>
      </w:r>
    </w:p>
  </w:footnote>
  <w:footnote w:id="139">
    <w:p w14:paraId="721D9A41" w14:textId="53B74DC5" w:rsidR="005B484B" w:rsidRPr="00E063FD" w:rsidRDefault="005B484B">
      <w:pPr>
        <w:pStyle w:val="Notedebasdepage"/>
        <w:rPr>
          <w:lang w:val="fr-BE"/>
        </w:rPr>
      </w:pPr>
      <w:r>
        <w:rPr>
          <w:rStyle w:val="Appelnotedebasdep"/>
        </w:rPr>
        <w:footnoteRef/>
      </w:r>
      <w:r w:rsidRPr="008D7EB7">
        <w:rPr>
          <w:lang w:val="fr-BE"/>
        </w:rPr>
        <w:t xml:space="preserve"> </w:t>
      </w:r>
      <w:r>
        <w:rPr>
          <w:lang w:val="fr-BE"/>
        </w:rPr>
        <w:t>Moniteur belge, 22 janvier 2021.</w:t>
      </w:r>
    </w:p>
  </w:footnote>
  <w:footnote w:id="140">
    <w:p w14:paraId="3A159F14" w14:textId="2321620B"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rFonts w:asciiTheme="minorHAnsi" w:hAnsiTheme="minorHAnsi" w:cs="Calibri Light"/>
          <w:lang w:val="fr-BE"/>
        </w:rPr>
        <w:t>rticle 4, § 2, du décret du 30 mars 1995</w:t>
      </w:r>
    </w:p>
  </w:footnote>
  <w:footnote w:id="141">
    <w:p w14:paraId="202A567B" w14:textId="3EB688F5" w:rsidR="005B484B" w:rsidRPr="00900C39" w:rsidRDefault="005B484B">
      <w:pPr>
        <w:pStyle w:val="Notedebasdepage"/>
        <w:rPr>
          <w:lang w:val="fr-BE"/>
        </w:rPr>
      </w:pPr>
      <w:r>
        <w:rPr>
          <w:rStyle w:val="Appelnotedebasdep"/>
        </w:rPr>
        <w:footnoteRef/>
      </w:r>
      <w:r w:rsidRPr="00900C39">
        <w:rPr>
          <w:lang w:val="fr-BE"/>
        </w:rPr>
        <w:t xml:space="preserve"> Moniteur belge, 31 décembre 2018.</w:t>
      </w:r>
    </w:p>
  </w:footnote>
  <w:footnote w:id="142">
    <w:p w14:paraId="142C4144" w14:textId="77777777" w:rsidR="005B484B" w:rsidRPr="00902733" w:rsidRDefault="005B484B" w:rsidP="00035571">
      <w:pPr>
        <w:pStyle w:val="Notedebasdepage"/>
        <w:rPr>
          <w:lang w:val="fr-BE"/>
        </w:rPr>
      </w:pPr>
      <w:r>
        <w:rPr>
          <w:rStyle w:val="Appelnotedebasdep"/>
        </w:rPr>
        <w:footnoteRef/>
      </w:r>
      <w:r w:rsidRPr="008D7EB7">
        <w:rPr>
          <w:lang w:val="fr-BE"/>
        </w:rPr>
        <w:t xml:space="preserve"> Réponse donnée à la question n°145 de K. </w:t>
      </w:r>
      <w:proofErr w:type="spellStart"/>
      <w:r w:rsidRPr="008D7EB7">
        <w:rPr>
          <w:lang w:val="fr-BE"/>
        </w:rPr>
        <w:t>Ravyts</w:t>
      </w:r>
      <w:proofErr w:type="spellEnd"/>
      <w:r w:rsidRPr="008D7EB7">
        <w:rPr>
          <w:lang w:val="fr-BE"/>
        </w:rPr>
        <w:t xml:space="preserve">, </w:t>
      </w:r>
      <w:r w:rsidRPr="008D7EB7">
        <w:rPr>
          <w:i/>
          <w:lang w:val="fr-BE"/>
        </w:rPr>
        <w:t>QRVA</w:t>
      </w:r>
      <w:r w:rsidRPr="008D7EB7">
        <w:rPr>
          <w:lang w:val="fr-BE"/>
        </w:rPr>
        <w:t>, ch., 2019-2020, séance du 2 janvier 2020, pp.96-98.</w:t>
      </w:r>
    </w:p>
  </w:footnote>
  <w:footnote w:id="143">
    <w:p w14:paraId="08D354E3" w14:textId="7AAE8D74" w:rsidR="005B484B" w:rsidRPr="00B7794C" w:rsidRDefault="005B484B" w:rsidP="003D6247">
      <w:pPr>
        <w:pStyle w:val="Notedebasdepage"/>
        <w:rPr>
          <w:lang w:val="fr-BE"/>
        </w:rPr>
      </w:pPr>
      <w:r>
        <w:rPr>
          <w:rStyle w:val="Appelnotedebasdep"/>
        </w:rPr>
        <w:footnoteRef/>
      </w:r>
      <w:r w:rsidRPr="008D7EB7">
        <w:rPr>
          <w:lang w:val="fr-BE"/>
        </w:rPr>
        <w:t xml:space="preserve"> </w:t>
      </w:r>
      <w:r>
        <w:rPr>
          <w:lang w:val="fr-BE"/>
        </w:rPr>
        <w:t>Moniteur belge, 30 juillet 2018.</w:t>
      </w:r>
    </w:p>
  </w:footnote>
  <w:footnote w:id="144">
    <w:p w14:paraId="3B19A74B" w14:textId="7F9FB26B" w:rsidR="005B484B" w:rsidRPr="008D7EB7" w:rsidRDefault="005B484B">
      <w:pPr>
        <w:pStyle w:val="Notedebasdepage"/>
        <w:rPr>
          <w:lang w:val="fr-BE"/>
        </w:rPr>
      </w:pPr>
      <w:r>
        <w:rPr>
          <w:rStyle w:val="Appelnotedebasdep"/>
        </w:rPr>
        <w:footnoteRef/>
      </w:r>
      <w:r w:rsidRPr="008D7EB7">
        <w:rPr>
          <w:lang w:val="fr-BE"/>
        </w:rPr>
        <w:t xml:space="preserve"> </w:t>
      </w:r>
      <w:r w:rsidRPr="00C25B36">
        <w:rPr>
          <w:lang w:val="fr-BE"/>
        </w:rPr>
        <w:t>Arrêt du 25 juin 1979.</w:t>
      </w:r>
    </w:p>
  </w:footnote>
  <w:footnote w:id="145">
    <w:p w14:paraId="7A9B3D01" w14:textId="51653D67"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6A79F5">
        <w:rPr>
          <w:lang w:val="fr-BE"/>
        </w:rPr>
        <w:t>Cette dernière est disponible sur le portail environnement http://environnement.wallonie.be/rapports/owd/dechets_menagers/2008/cout_verite.pdf</w:t>
      </w:r>
      <w:r>
        <w:rPr>
          <w:lang w:val="fr-BE"/>
        </w:rPr>
        <w:t>.</w:t>
      </w:r>
    </w:p>
  </w:footnote>
  <w:footnote w:id="146">
    <w:p w14:paraId="4F4D7F02" w14:textId="5D974A4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6A79F5">
        <w:rPr>
          <w:lang w:val="fr-BE"/>
        </w:rPr>
        <w:t>Celui-ci disponible sur le site des pouvoirs locaux (http://pouvoirslocaux.wallonie.be &gt; ressources spécifiques &gt; Memento fiscal &gt; Modèles de règlements-taxes (n°41 à 43).</w:t>
      </w:r>
    </w:p>
  </w:footnote>
  <w:footnote w:id="147">
    <w:p w14:paraId="2AE10F1E" w14:textId="1EC2BEB9" w:rsidR="005B484B" w:rsidRPr="008D7EB7" w:rsidRDefault="005B484B">
      <w:pPr>
        <w:pStyle w:val="Notedebasdepage"/>
        <w:rPr>
          <w:lang w:val="fr-BE"/>
        </w:rPr>
      </w:pPr>
      <w:r>
        <w:rPr>
          <w:rStyle w:val="Appelnotedebasdep"/>
        </w:rPr>
        <w:footnoteRef/>
      </w:r>
      <w:r w:rsidRPr="008D7EB7">
        <w:rPr>
          <w:lang w:val="fr-BE"/>
        </w:rPr>
        <w:t xml:space="preserve"> </w:t>
      </w:r>
      <w:r>
        <w:rPr>
          <w:rFonts w:asciiTheme="minorHAnsi" w:hAnsiTheme="minorHAnsi" w:cs="Calibri Light"/>
          <w:lang w:val="fr-BE"/>
        </w:rPr>
        <w:t>Article 1</w:t>
      </w:r>
      <w:r w:rsidRPr="008D7EB7">
        <w:rPr>
          <w:rFonts w:asciiTheme="minorHAnsi" w:hAnsiTheme="minorHAnsi" w:cs="Calibri Light"/>
          <w:vertAlign w:val="superscript"/>
          <w:lang w:val="fr-BE"/>
        </w:rPr>
        <w:t>er</w:t>
      </w:r>
      <w:r>
        <w:rPr>
          <w:rFonts w:asciiTheme="minorHAnsi" w:hAnsiTheme="minorHAnsi" w:cs="Calibri Light"/>
          <w:lang w:val="fr-BE"/>
        </w:rPr>
        <w:t xml:space="preserve"> </w:t>
      </w:r>
      <w:r w:rsidRPr="008D7EB7">
        <w:rPr>
          <w:rFonts w:asciiTheme="minorHAnsi" w:hAnsiTheme="minorHAnsi" w:cs="Calibri Light"/>
          <w:lang w:val="fr-BE"/>
        </w:rPr>
        <w:t>du décret du 14</w:t>
      </w:r>
      <w:r>
        <w:rPr>
          <w:rFonts w:asciiTheme="minorHAnsi" w:hAnsiTheme="minorHAnsi" w:cs="Calibri Light"/>
          <w:lang w:val="fr-BE"/>
        </w:rPr>
        <w:t xml:space="preserve"> février </w:t>
      </w:r>
      <w:r w:rsidRPr="008D7EB7">
        <w:rPr>
          <w:rFonts w:asciiTheme="minorHAnsi" w:hAnsiTheme="minorHAnsi" w:cs="Calibri Light"/>
          <w:lang w:val="fr-BE"/>
        </w:rPr>
        <w:t>2019</w:t>
      </w:r>
      <w:r>
        <w:rPr>
          <w:rFonts w:asciiTheme="minorHAnsi" w:hAnsiTheme="minorHAnsi" w:cs="Calibri Light"/>
          <w:lang w:val="fr-BE"/>
        </w:rPr>
        <w:t>.</w:t>
      </w:r>
    </w:p>
  </w:footnote>
  <w:footnote w:id="148">
    <w:p w14:paraId="0C7F5678" w14:textId="33C191D5"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D501F5">
        <w:rPr>
          <w:lang w:val="fr-BE"/>
        </w:rPr>
        <w:t>jout du décret du 2 mai 2019</w:t>
      </w:r>
      <w:r>
        <w:rPr>
          <w:lang w:val="fr-BE"/>
        </w:rPr>
        <w:t>.</w:t>
      </w:r>
    </w:p>
  </w:footnote>
  <w:footnote w:id="149">
    <w:p w14:paraId="3662BF44" w14:textId="583D7A19" w:rsidR="005B484B" w:rsidRPr="00432F15" w:rsidRDefault="005B484B" w:rsidP="008D7EB7">
      <w:pPr>
        <w:pStyle w:val="Notedebasdepage"/>
        <w:jc w:val="both"/>
        <w:rPr>
          <w:lang w:val="fr-BE"/>
        </w:rPr>
      </w:pPr>
      <w:r>
        <w:rPr>
          <w:rStyle w:val="Appelnotedebasdep"/>
        </w:rPr>
        <w:footnoteRef/>
      </w:r>
      <w:r w:rsidRPr="008D7EB7">
        <w:rPr>
          <w:lang w:val="fr-BE"/>
        </w:rPr>
        <w:t xml:space="preserve"> Moniteur Belge du 20</w:t>
      </w:r>
      <w:r>
        <w:rPr>
          <w:lang w:val="fr-BE"/>
        </w:rPr>
        <w:t xml:space="preserve"> mars </w:t>
      </w:r>
      <w:r w:rsidRPr="008D7EB7">
        <w:rPr>
          <w:lang w:val="fr-BE"/>
        </w:rPr>
        <w:t>2019, Ed</w:t>
      </w:r>
      <w:r>
        <w:rPr>
          <w:lang w:val="fr-BE"/>
        </w:rPr>
        <w:t xml:space="preserve">ition </w:t>
      </w:r>
      <w:r w:rsidRPr="008D7EB7">
        <w:rPr>
          <w:lang w:val="fr-BE"/>
        </w:rPr>
        <w:t>2</w:t>
      </w:r>
      <w:r>
        <w:rPr>
          <w:lang w:val="fr-BE"/>
        </w:rPr>
        <w:t>,</w:t>
      </w:r>
      <w:r w:rsidRPr="008D7EB7">
        <w:rPr>
          <w:lang w:val="fr-BE"/>
        </w:rPr>
        <w:t xml:space="preserve"> p.27.921.</w:t>
      </w:r>
    </w:p>
  </w:footnote>
  <w:footnote w:id="150">
    <w:p w14:paraId="28CEB11E" w14:textId="06B452AD"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rFonts w:asciiTheme="minorHAnsi" w:hAnsiTheme="minorHAnsi" w:cs="Calibri Light"/>
          <w:lang w:val="fr-BE"/>
        </w:rPr>
        <w:t>Article 1</w:t>
      </w:r>
      <w:r w:rsidRPr="008D7EB7">
        <w:rPr>
          <w:rFonts w:asciiTheme="minorHAnsi" w:hAnsiTheme="minorHAnsi" w:cs="Calibri Light"/>
          <w:vertAlign w:val="superscript"/>
          <w:lang w:val="fr-BE"/>
        </w:rPr>
        <w:t>er</w:t>
      </w:r>
      <w:r>
        <w:rPr>
          <w:rFonts w:asciiTheme="minorHAnsi" w:hAnsiTheme="minorHAnsi" w:cs="Calibri Light"/>
          <w:lang w:val="fr-BE"/>
        </w:rPr>
        <w:t xml:space="preserve"> </w:t>
      </w:r>
      <w:r w:rsidRPr="008D7EB7">
        <w:rPr>
          <w:rFonts w:asciiTheme="minorHAnsi" w:hAnsiTheme="minorHAnsi" w:cs="Calibri Light"/>
          <w:lang w:val="fr-BE"/>
        </w:rPr>
        <w:t>du décret du 14</w:t>
      </w:r>
      <w:r>
        <w:rPr>
          <w:rFonts w:asciiTheme="minorHAnsi" w:hAnsiTheme="minorHAnsi" w:cs="Calibri Light"/>
          <w:lang w:val="fr-BE"/>
        </w:rPr>
        <w:t xml:space="preserve"> février 2</w:t>
      </w:r>
      <w:r w:rsidRPr="008D7EB7">
        <w:rPr>
          <w:rFonts w:asciiTheme="minorHAnsi" w:hAnsiTheme="minorHAnsi" w:cs="Calibri Light"/>
          <w:lang w:val="fr-BE"/>
        </w:rPr>
        <w:t>019</w:t>
      </w:r>
      <w:r>
        <w:rPr>
          <w:rFonts w:asciiTheme="minorHAnsi" w:hAnsiTheme="minorHAnsi" w:cs="Calibri Light"/>
          <w:lang w:val="fr-BE"/>
        </w:rPr>
        <w:t>.</w:t>
      </w:r>
    </w:p>
  </w:footnote>
  <w:footnote w:id="151">
    <w:p w14:paraId="520B85B2" w14:textId="559934AA"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rFonts w:asciiTheme="minorHAnsi" w:hAnsiTheme="minorHAnsi" w:cs="Calibri Light"/>
          <w:lang w:val="fr-BE"/>
        </w:rPr>
        <w:t>Article 1</w:t>
      </w:r>
      <w:r w:rsidRPr="007E3849">
        <w:rPr>
          <w:rFonts w:asciiTheme="minorHAnsi" w:hAnsiTheme="minorHAnsi" w:cs="Calibri Light"/>
          <w:vertAlign w:val="superscript"/>
          <w:lang w:val="fr-BE"/>
        </w:rPr>
        <w:t>er</w:t>
      </w:r>
      <w:r>
        <w:rPr>
          <w:rFonts w:asciiTheme="minorHAnsi" w:hAnsiTheme="minorHAnsi" w:cs="Calibri Light"/>
          <w:lang w:val="fr-BE"/>
        </w:rPr>
        <w:t xml:space="preserve"> </w:t>
      </w:r>
      <w:r w:rsidRPr="007E3849">
        <w:rPr>
          <w:rFonts w:asciiTheme="minorHAnsi" w:hAnsiTheme="minorHAnsi" w:cs="Calibri Light"/>
          <w:lang w:val="fr-BE"/>
        </w:rPr>
        <w:t>du décret du 14</w:t>
      </w:r>
      <w:r>
        <w:rPr>
          <w:rFonts w:asciiTheme="minorHAnsi" w:hAnsiTheme="minorHAnsi" w:cs="Calibri Light"/>
          <w:lang w:val="fr-BE"/>
        </w:rPr>
        <w:t xml:space="preserve"> février 2</w:t>
      </w:r>
      <w:r w:rsidRPr="007E3849">
        <w:rPr>
          <w:rFonts w:asciiTheme="minorHAnsi" w:hAnsiTheme="minorHAnsi" w:cs="Calibri Light"/>
          <w:lang w:val="fr-BE"/>
        </w:rPr>
        <w:t>019</w:t>
      </w:r>
      <w:r>
        <w:rPr>
          <w:rFonts w:asciiTheme="minorHAnsi" w:hAnsiTheme="minorHAnsi" w:cs="Calibri Light"/>
          <w:lang w:val="fr-BE"/>
        </w:rPr>
        <w:t>.</w:t>
      </w:r>
    </w:p>
  </w:footnote>
  <w:footnote w:id="152">
    <w:p w14:paraId="0589A711" w14:textId="5FBF2FF3"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rFonts w:asciiTheme="minorHAnsi" w:hAnsiTheme="minorHAnsi" w:cs="Calibri Light"/>
          <w:lang w:val="fr-BE"/>
        </w:rPr>
        <w:t xml:space="preserve">Article 3 </w:t>
      </w:r>
      <w:r w:rsidRPr="007E3849">
        <w:rPr>
          <w:rFonts w:asciiTheme="minorHAnsi" w:hAnsiTheme="minorHAnsi" w:cs="Calibri Light"/>
          <w:lang w:val="fr-BE"/>
        </w:rPr>
        <w:t>du décret du 14</w:t>
      </w:r>
      <w:r>
        <w:rPr>
          <w:rFonts w:asciiTheme="minorHAnsi" w:hAnsiTheme="minorHAnsi" w:cs="Calibri Light"/>
          <w:lang w:val="fr-BE"/>
        </w:rPr>
        <w:t xml:space="preserve"> février 2</w:t>
      </w:r>
      <w:r w:rsidRPr="007E3849">
        <w:rPr>
          <w:rFonts w:asciiTheme="minorHAnsi" w:hAnsiTheme="minorHAnsi" w:cs="Calibri Light"/>
          <w:lang w:val="fr-BE"/>
        </w:rPr>
        <w:t>019</w:t>
      </w:r>
      <w:r>
        <w:rPr>
          <w:rFonts w:asciiTheme="minorHAnsi" w:hAnsiTheme="minorHAnsi" w:cs="Calibri Light"/>
          <w:lang w:val="fr-BE"/>
        </w:rPr>
        <w:t>.</w:t>
      </w:r>
    </w:p>
  </w:footnote>
  <w:footnote w:id="153">
    <w:p w14:paraId="7EF2E5D6" w14:textId="69EEA478" w:rsidR="005B484B" w:rsidRPr="008D7EB7" w:rsidRDefault="005B484B">
      <w:pPr>
        <w:pStyle w:val="Notedebasdepage"/>
        <w:rPr>
          <w:lang w:val="fr-BE"/>
        </w:rPr>
      </w:pPr>
      <w:r>
        <w:rPr>
          <w:rStyle w:val="Appelnotedebasdep"/>
        </w:rPr>
        <w:footnoteRef/>
      </w:r>
      <w:r w:rsidRPr="008D7EB7">
        <w:rPr>
          <w:lang w:val="fr-BE"/>
        </w:rPr>
        <w:t xml:space="preserve"> </w:t>
      </w:r>
      <w:r>
        <w:rPr>
          <w:rFonts w:asciiTheme="minorHAnsi" w:hAnsiTheme="minorHAnsi" w:cs="Calibri Light"/>
          <w:lang w:val="fr-BE"/>
        </w:rPr>
        <w:t>Article 3,</w:t>
      </w:r>
      <w:r w:rsidRPr="007E3849">
        <w:rPr>
          <w:rFonts w:asciiTheme="minorHAnsi" w:hAnsiTheme="minorHAnsi" w:cs="Calibri Light"/>
          <w:lang w:val="fr-BE"/>
        </w:rPr>
        <w:t xml:space="preserve"> §2 du décret du 14</w:t>
      </w:r>
      <w:r>
        <w:rPr>
          <w:rFonts w:asciiTheme="minorHAnsi" w:hAnsiTheme="minorHAnsi" w:cs="Calibri Light"/>
          <w:lang w:val="fr-BE"/>
        </w:rPr>
        <w:t xml:space="preserve"> février 2</w:t>
      </w:r>
      <w:r w:rsidRPr="007E3849">
        <w:rPr>
          <w:rFonts w:asciiTheme="minorHAnsi" w:hAnsiTheme="minorHAnsi" w:cs="Calibri Light"/>
          <w:lang w:val="fr-BE"/>
        </w:rPr>
        <w:t>019</w:t>
      </w:r>
      <w:r>
        <w:rPr>
          <w:rFonts w:asciiTheme="minorHAnsi" w:hAnsiTheme="minorHAnsi" w:cs="Calibri Light"/>
          <w:lang w:val="fr-BE"/>
        </w:rPr>
        <w:t>.</w:t>
      </w:r>
    </w:p>
  </w:footnote>
  <w:footnote w:id="154">
    <w:p w14:paraId="6EF7CEB9" w14:textId="708B63AA" w:rsidR="00B3464F" w:rsidRPr="006B47EE" w:rsidRDefault="00B3464F" w:rsidP="00B3464F">
      <w:pPr>
        <w:pStyle w:val="Notedebasdepage"/>
        <w:rPr>
          <w:lang w:val="fr-BE"/>
        </w:rPr>
      </w:pPr>
      <w:r w:rsidRPr="006B47EE">
        <w:rPr>
          <w:rStyle w:val="Appelnotedebasdep"/>
        </w:rPr>
        <w:footnoteRef/>
      </w:r>
      <w:r w:rsidRPr="006B47EE">
        <w:t xml:space="preserve"> </w:t>
      </w:r>
      <w:r w:rsidRPr="00F915F6">
        <w:rPr>
          <w:b/>
          <w:bCs/>
          <w:lang w:val="fr-BE"/>
        </w:rPr>
        <w:t>Arrêt de la Cour de cassation du 19 avril 2021</w:t>
      </w:r>
      <w:r w:rsidRPr="006B47EE">
        <w:rPr>
          <w:lang w:val="fr-BE"/>
        </w:rPr>
        <w:t>, 3</w:t>
      </w:r>
      <w:r w:rsidRPr="006B47EE">
        <w:rPr>
          <w:vertAlign w:val="superscript"/>
          <w:lang w:val="fr-BE"/>
        </w:rPr>
        <w:t>ème</w:t>
      </w:r>
      <w:r w:rsidRPr="006B47EE">
        <w:rPr>
          <w:lang w:val="fr-BE"/>
        </w:rPr>
        <w:t xml:space="preserve"> Ch., F200132 – Ville de Charleroi / DKMY </w:t>
      </w:r>
      <w:proofErr w:type="spellStart"/>
      <w:r w:rsidRPr="006B47EE">
        <w:rPr>
          <w:lang w:val="fr-BE"/>
        </w:rPr>
        <w:t>sprl</w:t>
      </w:r>
      <w:proofErr w:type="spellEnd"/>
      <w:r w:rsidRPr="006B47EE">
        <w:rPr>
          <w:lang w:val="fr-BE"/>
        </w:rPr>
        <w:t xml:space="preserve">. </w:t>
      </w:r>
    </w:p>
    <w:p w14:paraId="33C29003" w14:textId="77777777" w:rsidR="00B3464F" w:rsidRPr="006B47EE" w:rsidRDefault="00B3464F" w:rsidP="00B3464F">
      <w:pPr>
        <w:pStyle w:val="Notedebasdepage"/>
        <w:jc w:val="both"/>
        <w:rPr>
          <w:lang w:val="fr-BE"/>
        </w:rPr>
      </w:pPr>
      <w:r w:rsidRPr="006B47EE">
        <w:rPr>
          <w:lang w:val="fr-BE"/>
        </w:rPr>
        <w:t xml:space="preserve">Il ressort de cet arrêt </w:t>
      </w:r>
      <w:bookmarkStart w:id="5909" w:name="_Hlk85703106"/>
      <w:r w:rsidRPr="006B47EE">
        <w:rPr>
          <w:lang w:val="fr-BE"/>
        </w:rPr>
        <w:t>qu’en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même activité, se trouvent dans des situations essentiellement différentes du point de vue de leurs capacités contributives</w:t>
      </w:r>
      <w:bookmarkEnd w:id="5909"/>
      <w:r w:rsidRPr="006B47EE">
        <w:rPr>
          <w:lang w:val="fr-BE"/>
        </w:rPr>
        <w:t>. L'application de ce taux à l'ensemble des établissements taxés ne trouve aucune justification.</w:t>
      </w:r>
    </w:p>
  </w:footnote>
  <w:footnote w:id="155">
    <w:p w14:paraId="2ACBE980" w14:textId="77777777" w:rsidR="005B484B" w:rsidRPr="00E063FD" w:rsidRDefault="005B484B">
      <w:pPr>
        <w:pStyle w:val="Notedebasdepage"/>
        <w:rPr>
          <w:lang w:val="fr-BE"/>
        </w:rPr>
      </w:pPr>
      <w:r>
        <w:rPr>
          <w:rStyle w:val="Appelnotedebasdep"/>
        </w:rPr>
        <w:footnoteRef/>
      </w:r>
      <w:r w:rsidRPr="008D7EB7">
        <w:rPr>
          <w:lang w:val="fr-BE"/>
        </w:rPr>
        <w:t xml:space="preserve"> </w:t>
      </w:r>
      <w:r>
        <w:rPr>
          <w:lang w:val="fr-BE"/>
        </w:rPr>
        <w:t>Moniteur belge, 7/3/2006</w:t>
      </w:r>
    </w:p>
  </w:footnote>
  <w:footnote w:id="156">
    <w:p w14:paraId="0201026F" w14:textId="4B54F7A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BF4C17">
        <w:rPr>
          <w:lang w:val="fr-BE"/>
        </w:rPr>
        <w:t>Cf. article 8, 2° de l'AR du 3 décembre 1993 relatif aux comptes annuels des entreprises et l'exposé des motifs</w:t>
      </w:r>
    </w:p>
  </w:footnote>
  <w:footnote w:id="157">
    <w:p w14:paraId="6BC9AAA4" w14:textId="77777777" w:rsidR="005B484B" w:rsidRPr="00E063FD" w:rsidRDefault="005B484B">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Arrêt du Conseil d’Etat n° 85.563 du 23 février 2000</w:t>
      </w:r>
    </w:p>
  </w:footnote>
  <w:footnote w:id="158">
    <w:p w14:paraId="7183A047" w14:textId="2F804012" w:rsidR="00D50CD0" w:rsidRPr="00D50CD0" w:rsidRDefault="00D50CD0">
      <w:pPr>
        <w:pStyle w:val="Notedebasdepage"/>
      </w:pPr>
      <w:r>
        <w:rPr>
          <w:rStyle w:val="Appelnotedebasdep"/>
        </w:rPr>
        <w:footnoteRef/>
      </w:r>
      <w:r>
        <w:t xml:space="preserve"> </w:t>
      </w:r>
      <w:proofErr w:type="spellStart"/>
      <w:r w:rsidRPr="00D50CD0">
        <w:t>Arrêt</w:t>
      </w:r>
      <w:proofErr w:type="spellEnd"/>
      <w:r w:rsidRPr="00D50CD0">
        <w:t xml:space="preserve"> du 19 </w:t>
      </w:r>
      <w:proofErr w:type="spellStart"/>
      <w:r w:rsidRPr="00D50CD0">
        <w:t>avril</w:t>
      </w:r>
      <w:proofErr w:type="spellEnd"/>
      <w:r w:rsidRPr="00D50CD0">
        <w:t xml:space="preserve"> 2021 3ème Ch., F200132 </w:t>
      </w:r>
      <w:proofErr w:type="spellStart"/>
      <w:r w:rsidRPr="00D50CD0">
        <w:t>mettant</w:t>
      </w:r>
      <w:proofErr w:type="spellEnd"/>
      <w:r w:rsidRPr="00D50CD0">
        <w:t xml:space="preserve"> </w:t>
      </w:r>
      <w:proofErr w:type="spellStart"/>
      <w:r w:rsidRPr="00D50CD0">
        <w:t>en</w:t>
      </w:r>
      <w:proofErr w:type="spellEnd"/>
      <w:r w:rsidRPr="00D50CD0">
        <w:t xml:space="preserve"> cause la </w:t>
      </w:r>
      <w:proofErr w:type="spellStart"/>
      <w:r w:rsidRPr="00D50CD0">
        <w:t>ville</w:t>
      </w:r>
      <w:proofErr w:type="spellEnd"/>
      <w:r w:rsidRPr="00D50CD0">
        <w:t xml:space="preserve"> de </w:t>
      </w:r>
      <w:proofErr w:type="gramStart"/>
      <w:r w:rsidRPr="00D50CD0">
        <w:t>Charleroi  c</w:t>
      </w:r>
      <w:proofErr w:type="gramEnd"/>
      <w:r w:rsidRPr="00D50CD0">
        <w:t xml:space="preserve">/ DKMY </w:t>
      </w:r>
      <w:proofErr w:type="spellStart"/>
      <w:r w:rsidRPr="00D50CD0">
        <w:t>s.p.r.l</w:t>
      </w:r>
      <w:proofErr w:type="spellEnd"/>
      <w:r w:rsidRPr="00D50CD0">
        <w:t>.</w:t>
      </w:r>
    </w:p>
  </w:footnote>
  <w:footnote w:id="159">
    <w:p w14:paraId="348E31B7" w14:textId="725CB2B3" w:rsidR="00D50CD0" w:rsidRPr="00D50CD0" w:rsidRDefault="00D50CD0">
      <w:pPr>
        <w:pStyle w:val="Notedebasdepage"/>
      </w:pPr>
      <w:r>
        <w:rPr>
          <w:rStyle w:val="Appelnotedebasdep"/>
        </w:rPr>
        <w:footnoteRef/>
      </w:r>
      <w:r>
        <w:t xml:space="preserve"> </w:t>
      </w:r>
      <w:proofErr w:type="spellStart"/>
      <w:r w:rsidRPr="00D50CD0">
        <w:t>Arrêt</w:t>
      </w:r>
      <w:proofErr w:type="spellEnd"/>
      <w:r w:rsidRPr="00D50CD0">
        <w:t xml:space="preserve"> du 19 </w:t>
      </w:r>
      <w:proofErr w:type="spellStart"/>
      <w:r w:rsidRPr="00D50CD0">
        <w:t>avril</w:t>
      </w:r>
      <w:proofErr w:type="spellEnd"/>
      <w:r w:rsidRPr="00D50CD0">
        <w:t xml:space="preserve"> 2021 3ème Ch., F200132 </w:t>
      </w:r>
      <w:proofErr w:type="spellStart"/>
      <w:r w:rsidRPr="00D50CD0">
        <w:t>mettant</w:t>
      </w:r>
      <w:proofErr w:type="spellEnd"/>
      <w:r w:rsidRPr="00D50CD0">
        <w:t xml:space="preserve"> </w:t>
      </w:r>
      <w:proofErr w:type="spellStart"/>
      <w:r w:rsidRPr="00D50CD0">
        <w:t>en</w:t>
      </w:r>
      <w:proofErr w:type="spellEnd"/>
      <w:r w:rsidRPr="00D50CD0">
        <w:t xml:space="preserve"> cause la </w:t>
      </w:r>
      <w:proofErr w:type="spellStart"/>
      <w:r w:rsidRPr="00D50CD0">
        <w:t>ville</w:t>
      </w:r>
      <w:proofErr w:type="spellEnd"/>
      <w:r w:rsidRPr="00D50CD0">
        <w:t xml:space="preserve"> de </w:t>
      </w:r>
      <w:proofErr w:type="gramStart"/>
      <w:r w:rsidRPr="00D50CD0">
        <w:t>Charleroi  c</w:t>
      </w:r>
      <w:proofErr w:type="gramEnd"/>
      <w:r w:rsidRPr="00D50CD0">
        <w:t xml:space="preserve">/ DKMY </w:t>
      </w:r>
      <w:proofErr w:type="spellStart"/>
      <w:r w:rsidRPr="00D50CD0">
        <w:t>s.p.r.l</w:t>
      </w:r>
      <w:proofErr w:type="spellEnd"/>
      <w:r w:rsidRPr="00D50CD0">
        <w:t>.</w:t>
      </w:r>
    </w:p>
  </w:footnote>
  <w:footnote w:id="160">
    <w:p w14:paraId="779043A6" w14:textId="5DF6EE1C"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8D7EB7">
        <w:rPr>
          <w:lang w:val="fr-BE"/>
        </w:rPr>
        <w:t>rticle 16 du décret du 18 octobre 2007 relatif aux services de taxis et aux services de location de voiture avec chauffeur (entré en vigueur le 8 septembre 2009))</w:t>
      </w:r>
      <w:r>
        <w:rPr>
          <w:lang w:val="fr-BE"/>
        </w:rPr>
        <w:t>.</w:t>
      </w:r>
    </w:p>
  </w:footnote>
  <w:footnote w:id="161">
    <w:p w14:paraId="0D3ADFDD" w14:textId="5E26FEA6" w:rsidR="005B484B" w:rsidRPr="008D7EB7" w:rsidRDefault="005B484B">
      <w:pPr>
        <w:pStyle w:val="Notedebasdepage"/>
        <w:rPr>
          <w:lang w:val="fr-BE"/>
        </w:rPr>
      </w:pPr>
      <w:r>
        <w:rPr>
          <w:rStyle w:val="Appelnotedebasdep"/>
        </w:rPr>
        <w:footnoteRef/>
      </w:r>
      <w:r w:rsidRPr="008D7EB7">
        <w:rPr>
          <w:lang w:val="fr-BE"/>
        </w:rPr>
        <w:t xml:space="preserve"> </w:t>
      </w:r>
      <w:r>
        <w:rPr>
          <w:lang w:val="fr-BE"/>
        </w:rPr>
        <w:t xml:space="preserve">Moniteur belge du </w:t>
      </w:r>
      <w:r w:rsidRPr="008D7EB7">
        <w:rPr>
          <w:rFonts w:asciiTheme="minorHAnsi" w:hAnsiTheme="minorHAnsi" w:cs="Calibri Light"/>
          <w:lang w:val="fr-BE"/>
        </w:rPr>
        <w:t>8 septembre 2009</w:t>
      </w:r>
      <w:r>
        <w:rPr>
          <w:rFonts w:asciiTheme="minorHAnsi" w:hAnsiTheme="minorHAnsi" w:cs="Calibri Light"/>
          <w:lang w:val="fr-BE"/>
        </w:rPr>
        <w:t>.</w:t>
      </w:r>
    </w:p>
  </w:footnote>
  <w:footnote w:id="162">
    <w:p w14:paraId="3F2B9EE0" w14:textId="196B53A4" w:rsidR="005B484B" w:rsidRPr="00900C39" w:rsidRDefault="005B484B">
      <w:pPr>
        <w:pStyle w:val="Notedebasdepage"/>
        <w:rPr>
          <w:lang w:val="fr-BE"/>
        </w:rPr>
      </w:pPr>
      <w:r>
        <w:rPr>
          <w:rStyle w:val="Appelnotedebasdep"/>
        </w:rPr>
        <w:footnoteRef/>
      </w:r>
      <w:r w:rsidRPr="00900C39">
        <w:rPr>
          <w:lang w:val="fr-BE"/>
        </w:rPr>
        <w:t xml:space="preserve"> </w:t>
      </w:r>
      <w:r w:rsidRPr="008D7EB7">
        <w:rPr>
          <w:lang w:val="fr-BE"/>
        </w:rPr>
        <w:t xml:space="preserve">Moniteur belge </w:t>
      </w:r>
      <w:r>
        <w:rPr>
          <w:lang w:val="fr-BE"/>
        </w:rPr>
        <w:t>du 8 mai 2020.</w:t>
      </w:r>
    </w:p>
  </w:footnote>
  <w:footnote w:id="163">
    <w:p w14:paraId="7D8FA2BC" w14:textId="6D0E7E59"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054F3F">
        <w:rPr>
          <w:lang w:val="fr-BE"/>
        </w:rPr>
        <w:t>dopté par le Gouvernement Wallon le 28 mars 2018</w:t>
      </w:r>
      <w:r>
        <w:rPr>
          <w:lang w:val="fr-BE"/>
        </w:rPr>
        <w:t>.</w:t>
      </w:r>
    </w:p>
  </w:footnote>
  <w:footnote w:id="164">
    <w:p w14:paraId="6128FD44" w14:textId="77777777" w:rsidR="005B484B" w:rsidRPr="00E063FD" w:rsidRDefault="005B484B" w:rsidP="001939CE">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Décret du 11 mars 1999 relatif au permis d'environnement</w:t>
      </w:r>
    </w:p>
  </w:footnote>
  <w:footnote w:id="165">
    <w:p w14:paraId="7C890EBD" w14:textId="77777777" w:rsidR="005B484B" w:rsidRPr="00E063FD" w:rsidRDefault="005B484B">
      <w:pPr>
        <w:pStyle w:val="Notedebasdepage"/>
        <w:rPr>
          <w:lang w:val="fr-BE"/>
        </w:rPr>
      </w:pPr>
      <w:r>
        <w:rPr>
          <w:rStyle w:val="Appelnotedebasdep"/>
        </w:rPr>
        <w:footnoteRef/>
      </w:r>
      <w:r w:rsidRPr="008D7EB7">
        <w:rPr>
          <w:lang w:val="fr-BE"/>
        </w:rPr>
        <w:t xml:space="preserve"> </w:t>
      </w:r>
      <w:r>
        <w:rPr>
          <w:lang w:val="fr-BE"/>
        </w:rPr>
        <w:t>Section 3 du Code wallon du Logement</w:t>
      </w:r>
    </w:p>
  </w:footnote>
  <w:footnote w:id="166">
    <w:p w14:paraId="7D497105" w14:textId="77777777" w:rsidR="00D41318" w:rsidRPr="006D0A92" w:rsidRDefault="00D41318" w:rsidP="00D41318">
      <w:pPr>
        <w:pStyle w:val="Notedebasdepage"/>
        <w:rPr>
          <w:lang w:val="fr-BE"/>
        </w:rPr>
      </w:pPr>
      <w:r>
        <w:rPr>
          <w:rStyle w:val="Appelnotedebasdep"/>
        </w:rPr>
        <w:footnoteRef/>
      </w:r>
      <w:r>
        <w:t xml:space="preserve"> </w:t>
      </w:r>
      <w:proofErr w:type="spellStart"/>
      <w:r w:rsidRPr="00AC2E2F">
        <w:rPr>
          <w:color w:val="0000FF"/>
        </w:rPr>
        <w:t>Arrêt</w:t>
      </w:r>
      <w:proofErr w:type="spellEnd"/>
      <w:r w:rsidRPr="00AC2E2F">
        <w:rPr>
          <w:color w:val="0000FF"/>
        </w:rPr>
        <w:t xml:space="preserve"> du 19 </w:t>
      </w:r>
      <w:proofErr w:type="spellStart"/>
      <w:r w:rsidRPr="00AC2E2F">
        <w:rPr>
          <w:color w:val="0000FF"/>
        </w:rPr>
        <w:t>avril</w:t>
      </w:r>
      <w:proofErr w:type="spellEnd"/>
      <w:r w:rsidRPr="00AC2E2F">
        <w:rPr>
          <w:color w:val="0000FF"/>
        </w:rPr>
        <w:t xml:space="preserve"> 2021 3ème Ch., F200132 </w:t>
      </w:r>
      <w:proofErr w:type="spellStart"/>
      <w:r w:rsidRPr="00AC2E2F">
        <w:rPr>
          <w:color w:val="0000FF"/>
        </w:rPr>
        <w:t>mettant</w:t>
      </w:r>
      <w:proofErr w:type="spellEnd"/>
      <w:r w:rsidRPr="00AC2E2F">
        <w:rPr>
          <w:color w:val="0000FF"/>
        </w:rPr>
        <w:t xml:space="preserve"> </w:t>
      </w:r>
      <w:proofErr w:type="spellStart"/>
      <w:r w:rsidRPr="00AC2E2F">
        <w:rPr>
          <w:color w:val="0000FF"/>
        </w:rPr>
        <w:t>en</w:t>
      </w:r>
      <w:proofErr w:type="spellEnd"/>
      <w:r w:rsidRPr="00AC2E2F">
        <w:rPr>
          <w:color w:val="0000FF"/>
        </w:rPr>
        <w:t xml:space="preserve"> cause la </w:t>
      </w:r>
      <w:proofErr w:type="spellStart"/>
      <w:r w:rsidRPr="00AC2E2F">
        <w:rPr>
          <w:color w:val="0000FF"/>
        </w:rPr>
        <w:t>ville</w:t>
      </w:r>
      <w:proofErr w:type="spellEnd"/>
      <w:r w:rsidRPr="00AC2E2F">
        <w:rPr>
          <w:color w:val="0000FF"/>
        </w:rPr>
        <w:t xml:space="preserve"> de </w:t>
      </w:r>
      <w:proofErr w:type="gramStart"/>
      <w:r w:rsidRPr="00AC2E2F">
        <w:rPr>
          <w:color w:val="0000FF"/>
        </w:rPr>
        <w:t>Charleroi  c</w:t>
      </w:r>
      <w:proofErr w:type="gramEnd"/>
      <w:r w:rsidRPr="00AC2E2F">
        <w:rPr>
          <w:color w:val="0000FF"/>
        </w:rPr>
        <w:t xml:space="preserve">/ DKMY </w:t>
      </w:r>
      <w:proofErr w:type="spellStart"/>
      <w:r w:rsidRPr="00AC2E2F">
        <w:rPr>
          <w:color w:val="0000FF"/>
        </w:rPr>
        <w:t>s.p.r.l</w:t>
      </w:r>
      <w:proofErr w:type="spellEnd"/>
      <w:r w:rsidRPr="00AC2E2F">
        <w:rPr>
          <w:color w:val="0000FF"/>
        </w:rPr>
        <w:t>.</w:t>
      </w:r>
    </w:p>
  </w:footnote>
  <w:footnote w:id="167">
    <w:p w14:paraId="1CC37285" w14:textId="77777777" w:rsidR="00D41318" w:rsidRPr="00F915F6" w:rsidRDefault="00D41318" w:rsidP="00D41318">
      <w:pPr>
        <w:pStyle w:val="Notedebasdepage"/>
        <w:rPr>
          <w:lang w:val="fr-BE"/>
        </w:rPr>
      </w:pPr>
      <w:r w:rsidRPr="00F915F6">
        <w:rPr>
          <w:rStyle w:val="Appelnotedebasdep"/>
        </w:rPr>
        <w:footnoteRef/>
      </w:r>
      <w:r w:rsidRPr="00F915F6">
        <w:t xml:space="preserve"> </w:t>
      </w:r>
      <w:proofErr w:type="spellStart"/>
      <w:r w:rsidRPr="00F915F6">
        <w:rPr>
          <w:b/>
          <w:bCs/>
        </w:rPr>
        <w:t>Arrêt</w:t>
      </w:r>
      <w:proofErr w:type="spellEnd"/>
      <w:r w:rsidRPr="00F915F6">
        <w:rPr>
          <w:b/>
          <w:bCs/>
        </w:rPr>
        <w:t xml:space="preserve"> du 19 </w:t>
      </w:r>
      <w:proofErr w:type="spellStart"/>
      <w:r w:rsidRPr="00F915F6">
        <w:rPr>
          <w:b/>
          <w:bCs/>
        </w:rPr>
        <w:t>avril</w:t>
      </w:r>
      <w:proofErr w:type="spellEnd"/>
      <w:r w:rsidRPr="00F915F6">
        <w:rPr>
          <w:b/>
          <w:bCs/>
        </w:rPr>
        <w:t xml:space="preserve"> 2021</w:t>
      </w:r>
      <w:r w:rsidRPr="00F915F6">
        <w:t xml:space="preserve"> 3ème Ch., F200132 </w:t>
      </w:r>
      <w:proofErr w:type="spellStart"/>
      <w:r w:rsidRPr="00F915F6">
        <w:t>mettant</w:t>
      </w:r>
      <w:proofErr w:type="spellEnd"/>
      <w:r w:rsidRPr="00F915F6">
        <w:t xml:space="preserve"> </w:t>
      </w:r>
      <w:proofErr w:type="spellStart"/>
      <w:r w:rsidRPr="00F915F6">
        <w:t>en</w:t>
      </w:r>
      <w:proofErr w:type="spellEnd"/>
      <w:r w:rsidRPr="00F915F6">
        <w:t xml:space="preserve"> cause la </w:t>
      </w:r>
      <w:proofErr w:type="spellStart"/>
      <w:r w:rsidRPr="00F915F6">
        <w:t>ville</w:t>
      </w:r>
      <w:proofErr w:type="spellEnd"/>
      <w:r w:rsidRPr="00F915F6">
        <w:t xml:space="preserve"> de </w:t>
      </w:r>
      <w:proofErr w:type="gramStart"/>
      <w:r w:rsidRPr="00F915F6">
        <w:t>Charleroi  c</w:t>
      </w:r>
      <w:proofErr w:type="gramEnd"/>
      <w:r w:rsidRPr="00F915F6">
        <w:t xml:space="preserve">/ DKMY </w:t>
      </w:r>
      <w:proofErr w:type="spellStart"/>
      <w:r w:rsidRPr="00F915F6">
        <w:t>s.p.r.l</w:t>
      </w:r>
      <w:proofErr w:type="spellEnd"/>
      <w:r w:rsidRPr="00F915F6">
        <w:t>.</w:t>
      </w:r>
    </w:p>
  </w:footnote>
  <w:footnote w:id="168">
    <w:p w14:paraId="7A1C5ACC" w14:textId="77777777" w:rsidR="00D41318" w:rsidRPr="006D0A92" w:rsidRDefault="00D41318" w:rsidP="00D41318">
      <w:pPr>
        <w:pStyle w:val="Notedebasdepage"/>
        <w:rPr>
          <w:lang w:val="fr-BE"/>
        </w:rPr>
      </w:pPr>
      <w:r w:rsidRPr="00F915F6">
        <w:rPr>
          <w:rStyle w:val="Appelnotedebasdep"/>
        </w:rPr>
        <w:footnoteRef/>
      </w:r>
      <w:r w:rsidRPr="00F915F6">
        <w:t xml:space="preserve"> </w:t>
      </w:r>
      <w:proofErr w:type="spellStart"/>
      <w:r w:rsidRPr="00F915F6">
        <w:rPr>
          <w:b/>
          <w:bCs/>
        </w:rPr>
        <w:t>Arrêt</w:t>
      </w:r>
      <w:proofErr w:type="spellEnd"/>
      <w:r w:rsidRPr="00F915F6">
        <w:rPr>
          <w:b/>
          <w:bCs/>
        </w:rPr>
        <w:t xml:space="preserve"> du 19 </w:t>
      </w:r>
      <w:proofErr w:type="spellStart"/>
      <w:r w:rsidRPr="00F915F6">
        <w:rPr>
          <w:b/>
          <w:bCs/>
        </w:rPr>
        <w:t>avril</w:t>
      </w:r>
      <w:proofErr w:type="spellEnd"/>
      <w:r w:rsidRPr="00F915F6">
        <w:rPr>
          <w:b/>
          <w:bCs/>
        </w:rPr>
        <w:t xml:space="preserve"> 2021</w:t>
      </w:r>
      <w:r w:rsidRPr="00F915F6">
        <w:t xml:space="preserve"> 3ème Ch., F200132 </w:t>
      </w:r>
      <w:proofErr w:type="spellStart"/>
      <w:r w:rsidRPr="00F915F6">
        <w:t>mettant</w:t>
      </w:r>
      <w:proofErr w:type="spellEnd"/>
      <w:r w:rsidRPr="00F915F6">
        <w:t xml:space="preserve"> </w:t>
      </w:r>
      <w:proofErr w:type="spellStart"/>
      <w:r w:rsidRPr="00F915F6">
        <w:t>en</w:t>
      </w:r>
      <w:proofErr w:type="spellEnd"/>
      <w:r w:rsidRPr="00F915F6">
        <w:t xml:space="preserve"> cause la </w:t>
      </w:r>
      <w:proofErr w:type="spellStart"/>
      <w:r w:rsidRPr="00F915F6">
        <w:t>ville</w:t>
      </w:r>
      <w:proofErr w:type="spellEnd"/>
      <w:r w:rsidRPr="00F915F6">
        <w:t xml:space="preserve"> de </w:t>
      </w:r>
      <w:proofErr w:type="gramStart"/>
      <w:r w:rsidRPr="00F915F6">
        <w:t>Charleroi  c</w:t>
      </w:r>
      <w:proofErr w:type="gramEnd"/>
      <w:r w:rsidRPr="00F915F6">
        <w:t xml:space="preserve">/ DKMY </w:t>
      </w:r>
      <w:proofErr w:type="spellStart"/>
      <w:r w:rsidRPr="00F915F6">
        <w:t>s.p.r.l</w:t>
      </w:r>
      <w:proofErr w:type="spellEnd"/>
      <w:r w:rsidRPr="00F915F6">
        <w:t>.</w:t>
      </w:r>
    </w:p>
  </w:footnote>
  <w:footnote w:id="169">
    <w:p w14:paraId="31075E39" w14:textId="55157B29"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Circulaire du 5 mai 1980.</w:t>
      </w:r>
    </w:p>
  </w:footnote>
  <w:footnote w:id="170">
    <w:p w14:paraId="0EDF2695" w14:textId="3422A7E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8D7EB7">
        <w:rPr>
          <w:rFonts w:cs="Calibri Light"/>
          <w:lang w:val="fr-BE"/>
        </w:rPr>
        <w:t>Arrêt n°135.708 du 5 octobre 2004</w:t>
      </w:r>
      <w:r>
        <w:rPr>
          <w:rFonts w:cs="Calibri Light"/>
          <w:lang w:val="fr-BE"/>
        </w:rPr>
        <w:t>.</w:t>
      </w:r>
    </w:p>
  </w:footnote>
  <w:footnote w:id="171">
    <w:p w14:paraId="21D7CB0B" w14:textId="308FA10F" w:rsidR="005B484B" w:rsidRPr="008D7EB7" w:rsidRDefault="005B484B" w:rsidP="008D7EB7">
      <w:pPr>
        <w:pStyle w:val="Notedebasdepage"/>
        <w:jc w:val="both"/>
        <w:rPr>
          <w:lang w:val="fr-BE"/>
        </w:rPr>
      </w:pPr>
      <w:r>
        <w:rPr>
          <w:rStyle w:val="Appelnotedebasdep"/>
        </w:rPr>
        <w:footnoteRef/>
      </w:r>
      <w:r w:rsidRPr="008D7EB7">
        <w:rPr>
          <w:lang w:val="fr-BE"/>
        </w:rPr>
        <w:t xml:space="preserve"> A</w:t>
      </w:r>
      <w:r w:rsidRPr="008D7EB7">
        <w:rPr>
          <w:rFonts w:cs="Calibri Light"/>
          <w:lang w:val="fr-BE"/>
        </w:rPr>
        <w:t>rrêts n° 119/2007, B.6; n° 44/2008, B.6; n° 50/2011, B.57.5</w:t>
      </w:r>
      <w:r>
        <w:rPr>
          <w:rFonts w:cs="Calibri Light"/>
          <w:lang w:val="fr-BE"/>
        </w:rPr>
        <w:t>.</w:t>
      </w:r>
    </w:p>
  </w:footnote>
  <w:footnote w:id="172">
    <w:p w14:paraId="6E951F36" w14:textId="11227E04" w:rsidR="005B484B" w:rsidRPr="008D7EB7" w:rsidRDefault="005B484B" w:rsidP="008D7EB7">
      <w:pPr>
        <w:pStyle w:val="Notedebasdepage"/>
        <w:jc w:val="both"/>
        <w:rPr>
          <w:lang w:val="fr-BE"/>
        </w:rPr>
      </w:pPr>
      <w:r>
        <w:rPr>
          <w:rStyle w:val="Appelnotedebasdep"/>
        </w:rPr>
        <w:footnoteRef/>
      </w:r>
      <w:r w:rsidRPr="008D7EB7">
        <w:rPr>
          <w:lang w:val="fr-BE"/>
        </w:rPr>
        <w:t xml:space="preserve"> Arrêt n° 19/2012 du 16 février 2012</w:t>
      </w:r>
      <w:r>
        <w:rPr>
          <w:lang w:val="fr-BE"/>
        </w:rPr>
        <w:t>.</w:t>
      </w:r>
    </w:p>
  </w:footnote>
  <w:footnote w:id="173">
    <w:p w14:paraId="69DB5FFD" w14:textId="77777777" w:rsidR="005B484B" w:rsidRPr="008D7EB7" w:rsidRDefault="005B484B" w:rsidP="00DA6694">
      <w:pPr>
        <w:pStyle w:val="Notedebasdepage"/>
        <w:rPr>
          <w:lang w:val="fr-BE"/>
        </w:rPr>
      </w:pPr>
      <w:r>
        <w:rPr>
          <w:rStyle w:val="Appelnotedebasdep"/>
        </w:rPr>
        <w:footnoteRef/>
      </w:r>
      <w:r w:rsidRPr="008D7EB7">
        <w:rPr>
          <w:lang w:val="fr-BE"/>
        </w:rPr>
        <w:t xml:space="preserve"> </w:t>
      </w:r>
      <w:r w:rsidRPr="008D7EB7">
        <w:rPr>
          <w:rFonts w:cs="Calibri Light"/>
          <w:lang w:val="fr-BE"/>
        </w:rPr>
        <w:t>Arrêts des 13 février 2014 et 16 juin 2016</w:t>
      </w:r>
    </w:p>
  </w:footnote>
  <w:footnote w:id="174">
    <w:p w14:paraId="02B68A66" w14:textId="77777777"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 xml:space="preserve">Loi du 25 juin 1993 sur l'exercice et l'organisation des activités ambulantes et foraines et l’arrêté d'exécution du 24 septembre 2006 </w:t>
      </w:r>
      <w:r w:rsidRPr="008D7EB7">
        <w:rPr>
          <w:rFonts w:asciiTheme="minorHAnsi" w:hAnsiTheme="minorHAnsi" w:cs="Calibri Light"/>
          <w:i/>
          <w:lang w:val="fr-BE"/>
        </w:rPr>
        <w:t>(</w:t>
      </w:r>
      <w:r w:rsidRPr="008D7EB7">
        <w:rPr>
          <w:rFonts w:asciiTheme="minorHAnsi" w:hAnsiTheme="minorHAnsi" w:cs="Calibri Light"/>
          <w:lang w:val="fr-BE"/>
        </w:rPr>
        <w:t>Moniteur belge</w:t>
      </w:r>
      <w:r w:rsidRPr="008D7EB7">
        <w:rPr>
          <w:rFonts w:asciiTheme="minorHAnsi" w:hAnsiTheme="minorHAnsi" w:cs="Calibri Light"/>
          <w:i/>
          <w:lang w:val="fr-BE"/>
        </w:rPr>
        <w:t xml:space="preserve"> </w:t>
      </w:r>
      <w:r w:rsidRPr="008D7EB7">
        <w:rPr>
          <w:rFonts w:asciiTheme="minorHAnsi" w:hAnsiTheme="minorHAnsi" w:cs="Calibri Light"/>
          <w:lang w:val="fr-BE"/>
        </w:rPr>
        <w:t>du 29 septembre 2006).</w:t>
      </w:r>
    </w:p>
  </w:footnote>
  <w:footnote w:id="175">
    <w:p w14:paraId="2FE82ECB" w14:textId="77777777"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Article 24 de l'arrêté royal du 24 septembre 2006</w:t>
      </w:r>
    </w:p>
  </w:footnote>
  <w:footnote w:id="176">
    <w:p w14:paraId="4F2728B0" w14:textId="73722776"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Moniteur Belge du 24 janvier 2007.</w:t>
      </w:r>
    </w:p>
  </w:footnote>
  <w:footnote w:id="177">
    <w:p w14:paraId="55BA83A1" w14:textId="59BD673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A40CFD">
        <w:rPr>
          <w:lang w:val="fr-BE"/>
        </w:rPr>
        <w:t>C.08.0129.N, point 10</w:t>
      </w:r>
      <w:r>
        <w:rPr>
          <w:lang w:val="fr-BE"/>
        </w:rPr>
        <w:t>.</w:t>
      </w:r>
    </w:p>
  </w:footnote>
  <w:footnote w:id="178">
    <w:p w14:paraId="2698E0E8" w14:textId="067483B9"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A40CFD">
        <w:rPr>
          <w:lang w:val="fr-BE"/>
        </w:rPr>
        <w:t>C.08.0129.N, point 11</w:t>
      </w:r>
      <w:r>
        <w:rPr>
          <w:lang w:val="fr-BE"/>
        </w:rPr>
        <w:t>.</w:t>
      </w:r>
    </w:p>
  </w:footnote>
  <w:footnote w:id="179">
    <w:p w14:paraId="4E016BDF" w14:textId="4A3DDCCC"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A40CFD">
        <w:rPr>
          <w:lang w:val="fr-BE"/>
        </w:rPr>
        <w:t>C.08.0129.N, point 7</w:t>
      </w:r>
      <w:r>
        <w:rPr>
          <w:lang w:val="fr-BE"/>
        </w:rPr>
        <w:t>.</w:t>
      </w:r>
    </w:p>
  </w:footnote>
  <w:footnote w:id="180">
    <w:p w14:paraId="7957DD03" w14:textId="73B977AD"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Cour de cassation du 29 mars 2001</w:t>
      </w:r>
      <w:r>
        <w:rPr>
          <w:rFonts w:asciiTheme="minorHAnsi" w:hAnsiTheme="minorHAnsi" w:cs="Calibri Light"/>
          <w:lang w:val="fr-BE"/>
        </w:rPr>
        <w:t>.</w:t>
      </w:r>
    </w:p>
  </w:footnote>
  <w:footnote w:id="181">
    <w:p w14:paraId="013A95BC" w14:textId="2D3126A1" w:rsidR="005B484B" w:rsidRPr="008D7EB7" w:rsidRDefault="005B484B" w:rsidP="008D7EB7">
      <w:pPr>
        <w:pStyle w:val="Notedebasdepage"/>
        <w:jc w:val="both"/>
        <w:rPr>
          <w:lang w:val="fr-BE"/>
        </w:rPr>
      </w:pPr>
      <w:r>
        <w:rPr>
          <w:rStyle w:val="Appelnotedebasdep"/>
        </w:rPr>
        <w:footnoteRef/>
      </w:r>
      <w:r w:rsidRPr="008D7EB7">
        <w:rPr>
          <w:lang w:val="fr-BE"/>
        </w:rPr>
        <w:t xml:space="preserve"> Arrêts n°18.030 et 18.296</w:t>
      </w:r>
      <w:r>
        <w:rPr>
          <w:lang w:val="fr-BE"/>
        </w:rPr>
        <w:t>.</w:t>
      </w:r>
    </w:p>
  </w:footnote>
  <w:footnote w:id="182">
    <w:p w14:paraId="2222035A" w14:textId="641C037D"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EA5A41">
        <w:rPr>
          <w:lang w:val="fr-BE"/>
        </w:rPr>
        <w:t>rticle D.VI.64, §1er, 2°</w:t>
      </w:r>
      <w:r>
        <w:rPr>
          <w:lang w:val="fr-BE"/>
        </w:rPr>
        <w:t>.</w:t>
      </w:r>
    </w:p>
  </w:footnote>
  <w:footnote w:id="183">
    <w:p w14:paraId="2134C0E1" w14:textId="5D3A22D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EA5A41">
        <w:rPr>
          <w:lang w:val="fr-BE"/>
        </w:rPr>
        <w:t>rticle D.VI.64, §1er, 4°, a</w:t>
      </w:r>
      <w:r>
        <w:rPr>
          <w:lang w:val="fr-BE"/>
        </w:rPr>
        <w:t>.</w:t>
      </w:r>
    </w:p>
  </w:footnote>
  <w:footnote w:id="184">
    <w:p w14:paraId="1848909B" w14:textId="0FA6D6DC"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EA5A41">
        <w:rPr>
          <w:lang w:val="fr-BE"/>
        </w:rPr>
        <w:t>rticle D.VI.64, §1er, 4°, b</w:t>
      </w:r>
      <w:r>
        <w:rPr>
          <w:lang w:val="fr-BE"/>
        </w:rPr>
        <w:t>.</w:t>
      </w:r>
    </w:p>
  </w:footnote>
  <w:footnote w:id="185">
    <w:p w14:paraId="6DE8A977" w14:textId="7EB67A90" w:rsidR="005B484B" w:rsidRPr="00F6098C" w:rsidRDefault="005B484B" w:rsidP="008D7EB7">
      <w:pPr>
        <w:pStyle w:val="Notedebasdepage"/>
        <w:jc w:val="both"/>
        <w:rPr>
          <w:lang w:val="fr-BE"/>
        </w:rPr>
      </w:pPr>
      <w:r w:rsidRPr="00EA5A41">
        <w:rPr>
          <w:rStyle w:val="Appelnotedebasdep"/>
        </w:rPr>
        <w:footnoteRef/>
      </w:r>
      <w:r w:rsidRPr="008D7EB7">
        <w:rPr>
          <w:vertAlign w:val="superscript"/>
          <w:lang w:val="fr-BE"/>
        </w:rPr>
        <w:t xml:space="preserve"> </w:t>
      </w:r>
      <w:r w:rsidRPr="008D7EB7">
        <w:rPr>
          <w:lang w:val="fr-BE"/>
        </w:rPr>
        <w:t xml:space="preserve">Cour d’Appel de Liège du 26 février 1999 - </w:t>
      </w:r>
      <w:r w:rsidRPr="008D7EB7">
        <w:footnoteRef/>
      </w:r>
      <w:r w:rsidRPr="00F6098C">
        <w:rPr>
          <w:lang w:val="fr-BE"/>
        </w:rPr>
        <w:t xml:space="preserve"> </w:t>
      </w:r>
      <w:r w:rsidRPr="008D7EB7">
        <w:rPr>
          <w:lang w:val="fr-BE"/>
        </w:rPr>
        <w:t>Cass., arrêt du 29 mars 2001 (F.99.0077.F).</w:t>
      </w:r>
    </w:p>
  </w:footnote>
  <w:footnote w:id="186">
    <w:p w14:paraId="6B128490" w14:textId="1AE472F7" w:rsidR="005B484B" w:rsidRPr="008D7EB7" w:rsidRDefault="005B484B" w:rsidP="008D7EB7">
      <w:pPr>
        <w:pStyle w:val="Notedebasdepage"/>
        <w:jc w:val="both"/>
        <w:rPr>
          <w:lang w:val="fr-BE"/>
        </w:rPr>
      </w:pPr>
      <w:r>
        <w:rPr>
          <w:rStyle w:val="Appelnotedebasdep"/>
        </w:rPr>
        <w:footnoteRef/>
      </w:r>
      <w:r w:rsidRPr="008D7EB7">
        <w:rPr>
          <w:lang w:val="fr-BE"/>
        </w:rPr>
        <w:t xml:space="preserve"> Arrêts 18.030 et 18.296.</w:t>
      </w:r>
    </w:p>
  </w:footnote>
  <w:footnote w:id="187">
    <w:p w14:paraId="7728AA1C" w14:textId="2C38E554" w:rsidR="000C1637" w:rsidRPr="000C1637" w:rsidRDefault="000C1637">
      <w:pPr>
        <w:pStyle w:val="Notedebasdepage"/>
      </w:pPr>
      <w:r>
        <w:rPr>
          <w:rStyle w:val="Appelnotedebasdep"/>
        </w:rPr>
        <w:footnoteRef/>
      </w:r>
      <w:r>
        <w:t xml:space="preserve"> </w:t>
      </w:r>
      <w:proofErr w:type="spellStart"/>
      <w:r>
        <w:t>Moniteur</w:t>
      </w:r>
      <w:proofErr w:type="spellEnd"/>
      <w:r>
        <w:t xml:space="preserve"> </w:t>
      </w:r>
      <w:proofErr w:type="spellStart"/>
      <w:r>
        <w:t>belge</w:t>
      </w:r>
      <w:proofErr w:type="spellEnd"/>
      <w:r>
        <w:t xml:space="preserve"> du 3 </w:t>
      </w:r>
      <w:proofErr w:type="spellStart"/>
      <w:r>
        <w:t>novembre</w:t>
      </w:r>
      <w:proofErr w:type="spellEnd"/>
      <w:r>
        <w:t xml:space="preserve"> 2021, p. 110899.</w:t>
      </w:r>
    </w:p>
  </w:footnote>
  <w:footnote w:id="188">
    <w:p w14:paraId="3AC6C6EF" w14:textId="0817A3AB" w:rsidR="005B484B" w:rsidRPr="00E063FD" w:rsidRDefault="005B484B">
      <w:pPr>
        <w:pStyle w:val="Notedebasdepage"/>
        <w:rPr>
          <w:lang w:val="fr-BE"/>
        </w:rPr>
      </w:pPr>
      <w:r>
        <w:rPr>
          <w:rStyle w:val="Appelnotedebasdep"/>
        </w:rPr>
        <w:footnoteRef/>
      </w:r>
      <w:r w:rsidRPr="008D7EB7">
        <w:rPr>
          <w:lang w:val="fr-BE"/>
        </w:rPr>
        <w:t xml:space="preserve"> </w:t>
      </w:r>
      <w:r w:rsidRPr="00DA6BD2">
        <w:rPr>
          <w:rFonts w:asciiTheme="minorHAnsi" w:hAnsiTheme="minorHAnsi" w:cs="Calibri Light"/>
          <w:lang w:val="fr-BE"/>
        </w:rPr>
        <w:t>Trib</w:t>
      </w:r>
      <w:r>
        <w:rPr>
          <w:rFonts w:asciiTheme="minorHAnsi" w:hAnsiTheme="minorHAnsi" w:cs="Calibri Light"/>
          <w:lang w:val="fr-BE"/>
        </w:rPr>
        <w:t>unal</w:t>
      </w:r>
      <w:r w:rsidRPr="00DA6BD2">
        <w:rPr>
          <w:rFonts w:asciiTheme="minorHAnsi" w:hAnsiTheme="minorHAnsi" w:cs="Calibri Light"/>
          <w:lang w:val="fr-BE"/>
        </w:rPr>
        <w:t xml:space="preserve"> Civ</w:t>
      </w:r>
      <w:r>
        <w:rPr>
          <w:rFonts w:asciiTheme="minorHAnsi" w:hAnsiTheme="minorHAnsi" w:cs="Calibri Light"/>
          <w:lang w:val="fr-BE"/>
        </w:rPr>
        <w:t xml:space="preserve">il de </w:t>
      </w:r>
      <w:r w:rsidRPr="00DA6BD2">
        <w:rPr>
          <w:rFonts w:asciiTheme="minorHAnsi" w:hAnsiTheme="minorHAnsi" w:cs="Calibri Light"/>
          <w:lang w:val="fr-BE"/>
        </w:rPr>
        <w:t>Namur, 25</w:t>
      </w:r>
      <w:r>
        <w:rPr>
          <w:rFonts w:asciiTheme="minorHAnsi" w:hAnsiTheme="minorHAnsi" w:cs="Calibri Light"/>
          <w:lang w:val="fr-BE"/>
        </w:rPr>
        <w:t xml:space="preserve"> avril </w:t>
      </w:r>
      <w:r w:rsidRPr="00DA6BD2">
        <w:rPr>
          <w:rFonts w:asciiTheme="minorHAnsi" w:hAnsiTheme="minorHAnsi" w:cs="Calibri Light"/>
          <w:lang w:val="fr-BE"/>
        </w:rPr>
        <w:t>2012</w:t>
      </w:r>
      <w:r>
        <w:rPr>
          <w:rFonts w:asciiTheme="minorHAnsi" w:hAnsiTheme="minorHAnsi" w:cs="Calibri Light"/>
          <w:lang w:val="fr-BE"/>
        </w:rPr>
        <w:t>.</w:t>
      </w:r>
    </w:p>
  </w:footnote>
  <w:footnote w:id="189">
    <w:p w14:paraId="5F75E78F" w14:textId="77777777" w:rsidR="005B484B" w:rsidRPr="008D7EB7" w:rsidRDefault="005B484B" w:rsidP="00C744AE">
      <w:pPr>
        <w:pStyle w:val="Notedebasdepage"/>
        <w:rPr>
          <w:lang w:val="fr-BE"/>
        </w:rPr>
      </w:pPr>
      <w:r>
        <w:rPr>
          <w:rStyle w:val="Appelnotedebasdep"/>
        </w:rPr>
        <w:footnoteRef/>
      </w:r>
      <w:r w:rsidRPr="008D7EB7">
        <w:rPr>
          <w:lang w:val="fr-BE"/>
        </w:rPr>
        <w:t xml:space="preserve"> </w:t>
      </w:r>
      <w:r w:rsidRPr="008D7EB7">
        <w:rPr>
          <w:rFonts w:cs="Calibri Light"/>
          <w:lang w:val="fr-BE"/>
        </w:rPr>
        <w:t>Arrêts n°120.792 du 23.06.2003 et n°188.251 du 27.11.2008</w:t>
      </w:r>
    </w:p>
  </w:footnote>
  <w:footnote w:id="190">
    <w:p w14:paraId="62877F1C" w14:textId="77777777" w:rsidR="005B484B" w:rsidRPr="008D7EB7" w:rsidRDefault="005B484B" w:rsidP="00E41960">
      <w:pPr>
        <w:pStyle w:val="Notedebasdepage"/>
        <w:rPr>
          <w:lang w:val="fr-BE"/>
        </w:rPr>
      </w:pPr>
      <w:r>
        <w:rPr>
          <w:rStyle w:val="Appelnotedebasdep"/>
        </w:rPr>
        <w:footnoteRef/>
      </w:r>
      <w:r w:rsidRPr="008D7EB7">
        <w:rPr>
          <w:lang w:val="fr-BE"/>
        </w:rPr>
        <w:t xml:space="preserve"> Cour de Cassation, 28 juin 2001, Liège/sa GB-UNIC.</w:t>
      </w:r>
    </w:p>
  </w:footnote>
  <w:footnote w:id="191">
    <w:p w14:paraId="03243AB4" w14:textId="77777777" w:rsidR="005B484B" w:rsidRPr="008D7EB7" w:rsidRDefault="005B484B" w:rsidP="00E41960">
      <w:pPr>
        <w:pStyle w:val="Notedebasdepage"/>
        <w:rPr>
          <w:lang w:val="fr-BE"/>
        </w:rPr>
      </w:pPr>
      <w:r>
        <w:rPr>
          <w:rStyle w:val="Appelnotedebasdep"/>
        </w:rPr>
        <w:footnoteRef/>
      </w:r>
      <w:r w:rsidRPr="008D7EB7">
        <w:rPr>
          <w:lang w:val="fr-BE"/>
        </w:rPr>
        <w:t xml:space="preserve"> </w:t>
      </w:r>
      <w:r w:rsidRPr="008D7EB7">
        <w:rPr>
          <w:rFonts w:cs="Calibri Light"/>
          <w:spacing w:val="3"/>
          <w:lang w:val="fr-BE"/>
        </w:rPr>
        <w:t>Cour d’Appel de Liège du 07.02.2017, Ville de LIEGE /THILMANY C.</w:t>
      </w:r>
    </w:p>
  </w:footnote>
  <w:footnote w:id="192">
    <w:p w14:paraId="76CA88A0" w14:textId="77777777" w:rsidR="005B484B" w:rsidRPr="00E063FD"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Décret du 23 février 2006, Moniteur belge du 7 mars 2006</w:t>
      </w:r>
    </w:p>
  </w:footnote>
  <w:footnote w:id="193">
    <w:p w14:paraId="42610E5B" w14:textId="75BFB967" w:rsidR="004475F1" w:rsidRPr="00256E9F" w:rsidRDefault="004475F1">
      <w:pPr>
        <w:pStyle w:val="Notedebasdepage"/>
        <w:rPr>
          <w:lang w:val="fr-BE"/>
        </w:rPr>
      </w:pPr>
      <w:r>
        <w:rPr>
          <w:rStyle w:val="Appelnotedebasdep"/>
        </w:rPr>
        <w:footnoteRef/>
      </w:r>
      <w:r>
        <w:t xml:space="preserve"> </w:t>
      </w:r>
      <w:proofErr w:type="spellStart"/>
      <w:r>
        <w:t>Réponse</w:t>
      </w:r>
      <w:proofErr w:type="spellEnd"/>
      <w:r>
        <w:t xml:space="preserve"> de M </w:t>
      </w:r>
      <w:proofErr w:type="spellStart"/>
      <w:r>
        <w:t>Borsus</w:t>
      </w:r>
      <w:proofErr w:type="spellEnd"/>
      <w:r>
        <w:t xml:space="preserve"> à la question </w:t>
      </w:r>
      <w:proofErr w:type="spellStart"/>
      <w:r>
        <w:t>orale</w:t>
      </w:r>
      <w:proofErr w:type="spellEnd"/>
      <w:r>
        <w:t xml:space="preserve"> de M </w:t>
      </w:r>
      <w:proofErr w:type="spellStart"/>
      <w:r>
        <w:t>Liradelfo</w:t>
      </w:r>
      <w:proofErr w:type="spellEnd"/>
      <w:r>
        <w:t xml:space="preserve"> - P.W. – </w:t>
      </w:r>
      <w:r>
        <w:rPr>
          <w:lang w:val="fr-BE"/>
        </w:rPr>
        <w:t xml:space="preserve">C.R.A.C.N)22 (2019-2020) du 22 octobre 2019 p.36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FE33" w14:textId="77777777" w:rsidR="005B484B" w:rsidRDefault="005B484B" w:rsidP="002A7E7A">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D4C111" w14:textId="77777777" w:rsidR="005B484B" w:rsidRDefault="005B484B" w:rsidP="000B2C5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ED7E" w14:textId="6A1B234E" w:rsidR="005B484B" w:rsidRDefault="005B484B" w:rsidP="002A7E7A">
    <w:pPr>
      <w:pStyle w:val="En-tte"/>
      <w:framePr w:wrap="none" w:vAnchor="text" w:hAnchor="margin" w:xAlign="right" w:y="1"/>
    </w:pPr>
    <w:r w:rsidRPr="002A7E7A">
      <w:rPr>
        <w:rStyle w:val="Numrodepage"/>
        <w:i/>
        <w:sz w:val="20"/>
        <w:szCs w:val="20"/>
      </w:rPr>
      <w:fldChar w:fldCharType="begin"/>
    </w:r>
    <w:r w:rsidRPr="002A7E7A">
      <w:rPr>
        <w:rStyle w:val="Numrodepage"/>
        <w:i/>
        <w:sz w:val="20"/>
        <w:szCs w:val="20"/>
      </w:rPr>
      <w:instrText xml:space="preserve">PAGE  </w:instrText>
    </w:r>
    <w:r w:rsidRPr="002A7E7A">
      <w:rPr>
        <w:rStyle w:val="Numrodepage"/>
        <w:i/>
        <w:sz w:val="20"/>
        <w:szCs w:val="20"/>
      </w:rPr>
      <w:fldChar w:fldCharType="separate"/>
    </w:r>
    <w:r>
      <w:rPr>
        <w:rStyle w:val="Numrodepage"/>
        <w:i/>
        <w:noProof/>
        <w:sz w:val="20"/>
        <w:szCs w:val="20"/>
      </w:rPr>
      <w:t>49</w:t>
    </w:r>
    <w:r w:rsidRPr="002A7E7A">
      <w:rPr>
        <w:rStyle w:val="Numrodepage"/>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re11"/>
      <w:suff w:val="nothing"/>
      <w:lvlText w:val="%1"/>
      <w:lvlJc w:val="left"/>
      <w:pPr>
        <w:tabs>
          <w:tab w:val="num" w:pos="0"/>
        </w:tabs>
        <w:ind w:left="0" w:firstLine="0"/>
      </w:pPr>
    </w:lvl>
    <w:lvl w:ilvl="1">
      <w:start w:val="1"/>
      <w:numFmt w:val="decimal"/>
      <w:pStyle w:val="Titre21"/>
      <w:suff w:val="nothing"/>
      <w:lvlText w:val="%2"/>
      <w:lvlJc w:val="left"/>
      <w:pPr>
        <w:tabs>
          <w:tab w:val="num" w:pos="0"/>
        </w:tabs>
        <w:ind w:left="0" w:firstLine="0"/>
      </w:pPr>
    </w:lvl>
    <w:lvl w:ilvl="2">
      <w:numFmt w:val="decimal"/>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pStyle w:val="Titre51"/>
      <w:suff w:val="nothing"/>
      <w:lvlText w:val="%5"/>
      <w:lvlJc w:val="left"/>
      <w:pPr>
        <w:tabs>
          <w:tab w:val="num" w:pos="0"/>
        </w:tabs>
        <w:ind w:left="0" w:firstLine="0"/>
      </w:pPr>
    </w:lvl>
    <w:lvl w:ilvl="5">
      <w:start w:val="1"/>
      <w:numFmt w:val="decimal"/>
      <w:pStyle w:val="Titre61"/>
      <w:suff w:val="nothing"/>
      <w:lvlText w:val="%6"/>
      <w:lvlJc w:val="left"/>
      <w:pPr>
        <w:tabs>
          <w:tab w:val="num" w:pos="0"/>
        </w:tabs>
        <w:ind w:left="0" w:firstLine="0"/>
      </w:pPr>
    </w:lvl>
    <w:lvl w:ilvl="6">
      <w:start w:val="1"/>
      <w:numFmt w:val="decimal"/>
      <w:pStyle w:val="Titre71"/>
      <w:suff w:val="nothing"/>
      <w:lvlText w:val="%7"/>
      <w:lvlJc w:val="left"/>
      <w:pPr>
        <w:tabs>
          <w:tab w:val="num" w:pos="0"/>
        </w:tabs>
        <w:ind w:left="0" w:firstLine="0"/>
      </w:pPr>
    </w:lvl>
    <w:lvl w:ilvl="7">
      <w:start w:val="1"/>
      <w:numFmt w:val="decimal"/>
      <w:pStyle w:val="Titre81"/>
      <w:suff w:val="nothing"/>
      <w:lvlText w:val="%8"/>
      <w:lvlJc w:val="left"/>
      <w:pPr>
        <w:tabs>
          <w:tab w:val="num" w:pos="0"/>
        </w:tabs>
        <w:ind w:left="0" w:firstLine="0"/>
      </w:pPr>
    </w:lvl>
    <w:lvl w:ilvl="8">
      <w:start w:val="1"/>
      <w:numFmt w:val="decimal"/>
      <w:pStyle w:val="Titre91"/>
      <w:suff w:val="nothing"/>
      <w:lvlText w:val="%9"/>
      <w:lvlJc w:val="left"/>
      <w:pPr>
        <w:tabs>
          <w:tab w:val="num" w:pos="0"/>
        </w:tabs>
        <w:ind w:left="0" w:firstLine="0"/>
      </w:pPr>
    </w:lvl>
  </w:abstractNum>
  <w:abstractNum w:abstractNumId="1" w15:restartNumberingAfterBreak="0">
    <w:nsid w:val="00000014"/>
    <w:multiLevelType w:val="multilevel"/>
    <w:tmpl w:val="00000014"/>
    <w:name w:val="WW8Num26"/>
    <w:lvl w:ilvl="0">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8D5B13"/>
    <w:multiLevelType w:val="hybridMultilevel"/>
    <w:tmpl w:val="1DDC015A"/>
    <w:lvl w:ilvl="0" w:tplc="E22658D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17A4EE0"/>
    <w:multiLevelType w:val="multilevel"/>
    <w:tmpl w:val="5E64B6A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144D4"/>
    <w:multiLevelType w:val="multilevel"/>
    <w:tmpl w:val="67685F8E"/>
    <w:lvl w:ilvl="0">
      <w:start w:val="1"/>
      <w:numFmt w:val="bullet"/>
      <w:lvlText w:val=""/>
      <w:lvlJc w:val="left"/>
      <w:pPr>
        <w:tabs>
          <w:tab w:val="left" w:pos="-148"/>
        </w:tabs>
        <w:ind w:left="284"/>
      </w:pPr>
      <w:rPr>
        <w:rFonts w:ascii="Wingdings" w:hAnsi="Wingdings"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9A06E6"/>
    <w:multiLevelType w:val="hybridMultilevel"/>
    <w:tmpl w:val="3E26C566"/>
    <w:lvl w:ilvl="0" w:tplc="79B212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CB54EC"/>
    <w:multiLevelType w:val="hybridMultilevel"/>
    <w:tmpl w:val="6C44EC0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04612773"/>
    <w:multiLevelType w:val="hybridMultilevel"/>
    <w:tmpl w:val="2E28164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05651228"/>
    <w:multiLevelType w:val="multilevel"/>
    <w:tmpl w:val="948056E0"/>
    <w:lvl w:ilvl="0">
      <w:start w:val="1"/>
      <w:numFmt w:val="bullet"/>
      <w:lvlText w:val=""/>
      <w:lvlJc w:val="left"/>
      <w:pPr>
        <w:tabs>
          <w:tab w:val="left" w:pos="720"/>
        </w:tabs>
        <w:ind w:left="720"/>
      </w:pPr>
      <w:rPr>
        <w:rFonts w:ascii="Symbol" w:hAnsi="Symbol"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EE3B00"/>
    <w:multiLevelType w:val="multilevel"/>
    <w:tmpl w:val="55B695F6"/>
    <w:lvl w:ilvl="0">
      <w:start w:val="1"/>
      <w:numFmt w:val="lowerLetter"/>
      <w:lvlText w:val="%1)"/>
      <w:lvlJc w:val="left"/>
      <w:pPr>
        <w:tabs>
          <w:tab w:val="left" w:pos="216"/>
        </w:tabs>
        <w:ind w:left="720"/>
      </w:pPr>
      <w:rPr>
        <w:rFonts w:ascii="Times New Roman" w:eastAsia="Times New Roman" w:hAnsi="Times New Roman"/>
        <w:i/>
        <w:strike w:val="0"/>
        <w:color w:val="000000"/>
        <w:spacing w:val="-2"/>
        <w:w w:val="100"/>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6D3678"/>
    <w:multiLevelType w:val="hybridMultilevel"/>
    <w:tmpl w:val="CEEA79B8"/>
    <w:lvl w:ilvl="0" w:tplc="E9866BC6">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7376A4A"/>
    <w:multiLevelType w:val="hybridMultilevel"/>
    <w:tmpl w:val="CE761BA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80E29C6"/>
    <w:multiLevelType w:val="hybridMultilevel"/>
    <w:tmpl w:val="8A8C8E6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086E09F2"/>
    <w:multiLevelType w:val="hybridMultilevel"/>
    <w:tmpl w:val="BC104702"/>
    <w:lvl w:ilvl="0" w:tplc="4A66962C">
      <w:start w:val="1"/>
      <w:numFmt w:val="bullet"/>
      <w:lvlText w:val=""/>
      <w:lvlJc w:val="left"/>
      <w:pPr>
        <w:ind w:left="720" w:hanging="360"/>
      </w:pPr>
      <w:rPr>
        <w:rFonts w:ascii="Symbol" w:eastAsia="Times New Roman" w:hAnsi="Symbol" w:cs="Calibri Light" w:hint="default"/>
        <w:color w:val="0033CC"/>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8CD641A"/>
    <w:multiLevelType w:val="hybridMultilevel"/>
    <w:tmpl w:val="530084C4"/>
    <w:lvl w:ilvl="0" w:tplc="CEB2263C">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0936172F"/>
    <w:multiLevelType w:val="hybridMultilevel"/>
    <w:tmpl w:val="2CD8DE56"/>
    <w:lvl w:ilvl="0" w:tplc="8AD6951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0A3003C1"/>
    <w:multiLevelType w:val="hybridMultilevel"/>
    <w:tmpl w:val="88E2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B92087B"/>
    <w:multiLevelType w:val="multilevel"/>
    <w:tmpl w:val="7690D9E8"/>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Cambria" w:hAnsi="Cambria"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BCF336F"/>
    <w:multiLevelType w:val="hybridMultilevel"/>
    <w:tmpl w:val="CD40A1E0"/>
    <w:lvl w:ilvl="0" w:tplc="6FFA42DE">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C4A3032"/>
    <w:multiLevelType w:val="hybridMultilevel"/>
    <w:tmpl w:val="3EF4A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00E2928"/>
    <w:multiLevelType w:val="multilevel"/>
    <w:tmpl w:val="4420F988"/>
    <w:lvl w:ilvl="0">
      <w:start w:val="1"/>
      <w:numFmt w:val="bullet"/>
      <w:lvlText w:val="-"/>
      <w:lvlJc w:val="left"/>
      <w:pPr>
        <w:tabs>
          <w:tab w:val="left" w:pos="288"/>
        </w:tabs>
        <w:ind w:left="720"/>
      </w:pPr>
      <w:rPr>
        <w:rFonts w:ascii="Symbol" w:eastAsia="Symbol" w:hAnsi="Symbol"/>
        <w:strike w:val="0"/>
        <w:color w:val="000000"/>
        <w:spacing w:val="4"/>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4D7789"/>
    <w:multiLevelType w:val="multilevel"/>
    <w:tmpl w:val="45DEDA04"/>
    <w:lvl w:ilvl="0">
      <w:start w:val="1"/>
      <w:numFmt w:val="upperLetter"/>
      <w:lvlText w:val="%1."/>
      <w:lvlJc w:val="left"/>
      <w:pPr>
        <w:tabs>
          <w:tab w:val="left" w:pos="720"/>
        </w:tabs>
        <w:ind w:left="720"/>
      </w:pPr>
      <w:rPr>
        <w:rFonts w:ascii="Arial" w:eastAsia="Arial" w:hAnsi="Arial"/>
        <w:b/>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8B25EB"/>
    <w:multiLevelType w:val="multilevel"/>
    <w:tmpl w:val="E23E0590"/>
    <w:lvl w:ilvl="0">
      <w:start w:val="1"/>
      <w:numFmt w:val="bullet"/>
      <w:lvlText w:val="-"/>
      <w:lvlJc w:val="left"/>
      <w:pPr>
        <w:tabs>
          <w:tab w:val="left" w:pos="-360"/>
        </w:tabs>
        <w:ind w:left="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5E1429"/>
    <w:multiLevelType w:val="hybridMultilevel"/>
    <w:tmpl w:val="5A26F202"/>
    <w:lvl w:ilvl="0" w:tplc="080C000F">
      <w:start w:val="1"/>
      <w:numFmt w:val="decimal"/>
      <w:lvlText w:val="%1."/>
      <w:lvlJc w:val="left"/>
      <w:pPr>
        <w:ind w:left="2138" w:hanging="360"/>
      </w:pPr>
    </w:lvl>
    <w:lvl w:ilvl="1" w:tplc="080C0019">
      <w:start w:val="1"/>
      <w:numFmt w:val="lowerLetter"/>
      <w:lvlText w:val="%2."/>
      <w:lvlJc w:val="left"/>
      <w:pPr>
        <w:ind w:left="2858" w:hanging="360"/>
      </w:pPr>
    </w:lvl>
    <w:lvl w:ilvl="2" w:tplc="080C001B">
      <w:start w:val="1"/>
      <w:numFmt w:val="lowerRoman"/>
      <w:lvlText w:val="%3."/>
      <w:lvlJc w:val="right"/>
      <w:pPr>
        <w:ind w:left="3578" w:hanging="180"/>
      </w:pPr>
    </w:lvl>
    <w:lvl w:ilvl="3" w:tplc="080C000F">
      <w:start w:val="1"/>
      <w:numFmt w:val="decimal"/>
      <w:lvlText w:val="%4."/>
      <w:lvlJc w:val="left"/>
      <w:pPr>
        <w:ind w:left="4298" w:hanging="360"/>
      </w:pPr>
    </w:lvl>
    <w:lvl w:ilvl="4" w:tplc="080C0019">
      <w:start w:val="1"/>
      <w:numFmt w:val="lowerLetter"/>
      <w:lvlText w:val="%5."/>
      <w:lvlJc w:val="left"/>
      <w:pPr>
        <w:ind w:left="5018" w:hanging="360"/>
      </w:pPr>
    </w:lvl>
    <w:lvl w:ilvl="5" w:tplc="080C001B">
      <w:start w:val="1"/>
      <w:numFmt w:val="lowerRoman"/>
      <w:lvlText w:val="%6."/>
      <w:lvlJc w:val="right"/>
      <w:pPr>
        <w:ind w:left="5738" w:hanging="180"/>
      </w:pPr>
    </w:lvl>
    <w:lvl w:ilvl="6" w:tplc="080C000F">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24" w15:restartNumberingAfterBreak="0">
    <w:nsid w:val="1470418B"/>
    <w:multiLevelType w:val="hybridMultilevel"/>
    <w:tmpl w:val="1AFC9C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47B6A5A"/>
    <w:multiLevelType w:val="multilevel"/>
    <w:tmpl w:val="A87876EA"/>
    <w:lvl w:ilvl="0">
      <w:start w:val="1"/>
      <w:numFmt w:val="decimal"/>
      <w:lvlText w:val="%1."/>
      <w:lvlJc w:val="left"/>
      <w:pPr>
        <w:ind w:left="2280" w:hanging="360"/>
      </w:pPr>
      <w:rPr>
        <w:rFonts w:hint="default"/>
      </w:rPr>
    </w:lvl>
    <w:lvl w:ilvl="1">
      <w:start w:val="1"/>
      <w:numFmt w:val="decimal"/>
      <w:isLgl/>
      <w:lvlText w:val="%1.%2."/>
      <w:lvlJc w:val="left"/>
      <w:pPr>
        <w:ind w:left="2640" w:hanging="720"/>
      </w:pPr>
      <w:rPr>
        <w:rFonts w:hint="default"/>
        <w:b/>
        <w:bCs/>
      </w:rPr>
    </w:lvl>
    <w:lvl w:ilvl="2">
      <w:start w:val="1"/>
      <w:numFmt w:val="decimal"/>
      <w:isLgl/>
      <w:lvlText w:val="%1.%2.%3."/>
      <w:lvlJc w:val="left"/>
      <w:pPr>
        <w:ind w:left="264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720" w:hanging="1800"/>
      </w:pPr>
      <w:rPr>
        <w:rFonts w:hint="default"/>
      </w:rPr>
    </w:lvl>
  </w:abstractNum>
  <w:abstractNum w:abstractNumId="26" w15:restartNumberingAfterBreak="0">
    <w:nsid w:val="163C38C6"/>
    <w:multiLevelType w:val="hybridMultilevel"/>
    <w:tmpl w:val="66CC09F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74B4FE4"/>
    <w:multiLevelType w:val="multilevel"/>
    <w:tmpl w:val="528C19A2"/>
    <w:lvl w:ilvl="0">
      <w:start w:val="1"/>
      <w:numFmt w:val="bullet"/>
      <w:lvlText w:val="-"/>
      <w:lvlJc w:val="left"/>
      <w:pPr>
        <w:tabs>
          <w:tab w:val="left" w:pos="144"/>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FD0C09"/>
    <w:multiLevelType w:val="hybridMultilevel"/>
    <w:tmpl w:val="1D0CA9E6"/>
    <w:lvl w:ilvl="0" w:tplc="E9866BC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9C669C1"/>
    <w:multiLevelType w:val="hybridMultilevel"/>
    <w:tmpl w:val="AB5C8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A7D5913"/>
    <w:multiLevelType w:val="hybridMultilevel"/>
    <w:tmpl w:val="027212C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1A9B58CF"/>
    <w:multiLevelType w:val="multilevel"/>
    <w:tmpl w:val="8EF2509E"/>
    <w:lvl w:ilvl="0">
      <w:start w:val="2"/>
      <w:numFmt w:val="lowerLetter"/>
      <w:lvlText w:val="4.%1"/>
      <w:lvlJc w:val="left"/>
      <w:pPr>
        <w:tabs>
          <w:tab w:val="left" w:pos="432"/>
        </w:tabs>
        <w:ind w:left="720"/>
      </w:pPr>
      <w:rPr>
        <w:rFonts w:ascii="Times New Roman" w:eastAsia="Times New Roman" w:hAnsi="Times New Roman"/>
        <w:i/>
        <w:strike w:val="0"/>
        <w:color w:val="000000"/>
        <w:spacing w:val="-4"/>
        <w:w w:val="100"/>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B71015"/>
    <w:multiLevelType w:val="hybridMultilevel"/>
    <w:tmpl w:val="6C1CDE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1C9A715F"/>
    <w:multiLevelType w:val="multilevel"/>
    <w:tmpl w:val="4120E4B2"/>
    <w:lvl w:ilvl="0">
      <w:start w:val="1"/>
      <w:numFmt w:val="decimal"/>
      <w:lvlText w:val="%1)"/>
      <w:lvlJc w:val="left"/>
      <w:pPr>
        <w:tabs>
          <w:tab w:val="left" w:pos="360"/>
        </w:tabs>
        <w:ind w:left="72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4878E3"/>
    <w:multiLevelType w:val="multilevel"/>
    <w:tmpl w:val="BFE440F2"/>
    <w:lvl w:ilvl="0">
      <w:start w:val="1"/>
      <w:numFmt w:val="bullet"/>
      <w:lvlText w:val=""/>
      <w:lvlJc w:val="left"/>
      <w:pPr>
        <w:ind w:left="720"/>
      </w:pPr>
      <w:rPr>
        <w:rFonts w:ascii="Symbol" w:hAnsi="Symbol" w:hint="default"/>
        <w:strike w:val="0"/>
        <w:color w:val="970B28"/>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F852C4"/>
    <w:multiLevelType w:val="hybridMultilevel"/>
    <w:tmpl w:val="CD06E5E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04C3D00"/>
    <w:multiLevelType w:val="hybridMultilevel"/>
    <w:tmpl w:val="5CC8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0B91832"/>
    <w:multiLevelType w:val="hybridMultilevel"/>
    <w:tmpl w:val="9B6ACA0C"/>
    <w:lvl w:ilvl="0" w:tplc="DE0AC24A">
      <w:start w:val="1"/>
      <w:numFmt w:val="decimal"/>
      <w:lvlText w:val="%1)"/>
      <w:lvlJc w:val="left"/>
      <w:pPr>
        <w:ind w:left="720" w:hanging="360"/>
      </w:pPr>
      <w:rPr>
        <w:rFonts w:ascii="Times New Roman" w:eastAsia="Times New Roman" w:hAnsi="Times New Roman" w:cs="Times New Roman"/>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16967EC"/>
    <w:multiLevelType w:val="hybridMultilevel"/>
    <w:tmpl w:val="431E66B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19E6C66"/>
    <w:multiLevelType w:val="hybridMultilevel"/>
    <w:tmpl w:val="A6D612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40" w15:restartNumberingAfterBreak="0">
    <w:nsid w:val="21DA551F"/>
    <w:multiLevelType w:val="hybridMultilevel"/>
    <w:tmpl w:val="A28445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21DE047D"/>
    <w:multiLevelType w:val="hybridMultilevel"/>
    <w:tmpl w:val="9C56186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2" w15:restartNumberingAfterBreak="0">
    <w:nsid w:val="22124B07"/>
    <w:multiLevelType w:val="hybridMultilevel"/>
    <w:tmpl w:val="58A080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22443ABF"/>
    <w:multiLevelType w:val="multilevel"/>
    <w:tmpl w:val="F9D8644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053678"/>
    <w:multiLevelType w:val="multilevel"/>
    <w:tmpl w:val="D3D8B95A"/>
    <w:lvl w:ilvl="0">
      <w:start w:val="1"/>
      <w:numFmt w:val="bullet"/>
      <w:lvlText w:val="-"/>
      <w:lvlJc w:val="left"/>
      <w:pPr>
        <w:tabs>
          <w:tab w:val="left" w:pos="710"/>
        </w:tabs>
        <w:ind w:left="71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38D01F3"/>
    <w:multiLevelType w:val="hybridMultilevel"/>
    <w:tmpl w:val="60FACE1E"/>
    <w:lvl w:ilvl="0" w:tplc="2048C0C8">
      <w:start w:val="1"/>
      <w:numFmt w:val="upperLetter"/>
      <w:lvlText w:val="%1."/>
      <w:lvlJc w:val="left"/>
      <w:pPr>
        <w:ind w:left="3900" w:hanging="360"/>
      </w:pPr>
      <w:rPr>
        <w:rFonts w:hint="default"/>
      </w:rPr>
    </w:lvl>
    <w:lvl w:ilvl="1" w:tplc="080C0019" w:tentative="1">
      <w:start w:val="1"/>
      <w:numFmt w:val="lowerLetter"/>
      <w:lvlText w:val="%2."/>
      <w:lvlJc w:val="left"/>
      <w:pPr>
        <w:ind w:left="4620" w:hanging="360"/>
      </w:pPr>
    </w:lvl>
    <w:lvl w:ilvl="2" w:tplc="080C001B" w:tentative="1">
      <w:start w:val="1"/>
      <w:numFmt w:val="lowerRoman"/>
      <w:lvlText w:val="%3."/>
      <w:lvlJc w:val="right"/>
      <w:pPr>
        <w:ind w:left="5340" w:hanging="180"/>
      </w:pPr>
    </w:lvl>
    <w:lvl w:ilvl="3" w:tplc="080C000F" w:tentative="1">
      <w:start w:val="1"/>
      <w:numFmt w:val="decimal"/>
      <w:lvlText w:val="%4."/>
      <w:lvlJc w:val="left"/>
      <w:pPr>
        <w:ind w:left="6060" w:hanging="360"/>
      </w:pPr>
    </w:lvl>
    <w:lvl w:ilvl="4" w:tplc="080C0019" w:tentative="1">
      <w:start w:val="1"/>
      <w:numFmt w:val="lowerLetter"/>
      <w:lvlText w:val="%5."/>
      <w:lvlJc w:val="left"/>
      <w:pPr>
        <w:ind w:left="6780" w:hanging="360"/>
      </w:pPr>
    </w:lvl>
    <w:lvl w:ilvl="5" w:tplc="080C001B" w:tentative="1">
      <w:start w:val="1"/>
      <w:numFmt w:val="lowerRoman"/>
      <w:lvlText w:val="%6."/>
      <w:lvlJc w:val="right"/>
      <w:pPr>
        <w:ind w:left="7500" w:hanging="180"/>
      </w:pPr>
    </w:lvl>
    <w:lvl w:ilvl="6" w:tplc="080C000F" w:tentative="1">
      <w:start w:val="1"/>
      <w:numFmt w:val="decimal"/>
      <w:lvlText w:val="%7."/>
      <w:lvlJc w:val="left"/>
      <w:pPr>
        <w:ind w:left="8220" w:hanging="360"/>
      </w:pPr>
    </w:lvl>
    <w:lvl w:ilvl="7" w:tplc="080C0019" w:tentative="1">
      <w:start w:val="1"/>
      <w:numFmt w:val="lowerLetter"/>
      <w:lvlText w:val="%8."/>
      <w:lvlJc w:val="left"/>
      <w:pPr>
        <w:ind w:left="8940" w:hanging="360"/>
      </w:pPr>
    </w:lvl>
    <w:lvl w:ilvl="8" w:tplc="080C001B" w:tentative="1">
      <w:start w:val="1"/>
      <w:numFmt w:val="lowerRoman"/>
      <w:lvlText w:val="%9."/>
      <w:lvlJc w:val="right"/>
      <w:pPr>
        <w:ind w:left="9660" w:hanging="180"/>
      </w:pPr>
    </w:lvl>
  </w:abstractNum>
  <w:abstractNum w:abstractNumId="46" w15:restartNumberingAfterBreak="0">
    <w:nsid w:val="23E00D4E"/>
    <w:multiLevelType w:val="hybridMultilevel"/>
    <w:tmpl w:val="331AC4EC"/>
    <w:lvl w:ilvl="0" w:tplc="EB34DF1E">
      <w:start w:val="1"/>
      <w:numFmt w:val="upperLetter"/>
      <w:lvlText w:val="%1."/>
      <w:lvlJc w:val="left"/>
      <w:pPr>
        <w:ind w:left="2770" w:hanging="360"/>
      </w:pPr>
      <w:rPr>
        <w:rFonts w:hint="default"/>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47" w15:restartNumberingAfterBreak="0">
    <w:nsid w:val="240751DB"/>
    <w:multiLevelType w:val="multilevel"/>
    <w:tmpl w:val="1FB0071A"/>
    <w:lvl w:ilvl="0">
      <w:start w:val="1"/>
      <w:numFmt w:val="bullet"/>
      <w:lvlText w:val="-"/>
      <w:lvlJc w:val="left"/>
      <w:pPr>
        <w:tabs>
          <w:tab w:val="left" w:pos="72"/>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B528F5"/>
    <w:multiLevelType w:val="hybridMultilevel"/>
    <w:tmpl w:val="620CD5F6"/>
    <w:lvl w:ilvl="0" w:tplc="080C0001">
      <w:start w:val="1"/>
      <w:numFmt w:val="bullet"/>
      <w:lvlText w:val=""/>
      <w:lvlJc w:val="left"/>
      <w:pPr>
        <w:ind w:left="720" w:hanging="360"/>
      </w:pPr>
      <w:rPr>
        <w:rFonts w:ascii="Symbol" w:hAnsi="Symbol" w:hint="default"/>
      </w:rPr>
    </w:lvl>
    <w:lvl w:ilvl="1" w:tplc="ECB20502">
      <w:numFmt w:val="bullet"/>
      <w:lvlText w:val="•"/>
      <w:lvlJc w:val="left"/>
      <w:pPr>
        <w:ind w:left="1790" w:hanging="710"/>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279251EB"/>
    <w:multiLevelType w:val="hybridMultilevel"/>
    <w:tmpl w:val="F0E66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281B47ED"/>
    <w:multiLevelType w:val="hybridMultilevel"/>
    <w:tmpl w:val="033688D0"/>
    <w:lvl w:ilvl="0" w:tplc="080C000D">
      <w:start w:val="1"/>
      <w:numFmt w:val="bullet"/>
      <w:lvlText w:val=""/>
      <w:lvlJc w:val="left"/>
      <w:pPr>
        <w:ind w:left="864" w:hanging="360"/>
      </w:pPr>
      <w:rPr>
        <w:rFonts w:ascii="Wingdings" w:hAnsi="Wingdings" w:hint="default"/>
      </w:rPr>
    </w:lvl>
    <w:lvl w:ilvl="1" w:tplc="080C0003" w:tentative="1">
      <w:start w:val="1"/>
      <w:numFmt w:val="bullet"/>
      <w:lvlText w:val="o"/>
      <w:lvlJc w:val="left"/>
      <w:pPr>
        <w:ind w:left="1584" w:hanging="360"/>
      </w:pPr>
      <w:rPr>
        <w:rFonts w:ascii="Courier New" w:hAnsi="Courier New" w:cs="Courier New" w:hint="default"/>
      </w:rPr>
    </w:lvl>
    <w:lvl w:ilvl="2" w:tplc="080C0005" w:tentative="1">
      <w:start w:val="1"/>
      <w:numFmt w:val="bullet"/>
      <w:lvlText w:val=""/>
      <w:lvlJc w:val="left"/>
      <w:pPr>
        <w:ind w:left="2304" w:hanging="360"/>
      </w:pPr>
      <w:rPr>
        <w:rFonts w:ascii="Wingdings" w:hAnsi="Wingdings" w:hint="default"/>
      </w:rPr>
    </w:lvl>
    <w:lvl w:ilvl="3" w:tplc="080C0001" w:tentative="1">
      <w:start w:val="1"/>
      <w:numFmt w:val="bullet"/>
      <w:lvlText w:val=""/>
      <w:lvlJc w:val="left"/>
      <w:pPr>
        <w:ind w:left="3024" w:hanging="360"/>
      </w:pPr>
      <w:rPr>
        <w:rFonts w:ascii="Symbol" w:hAnsi="Symbol" w:hint="default"/>
      </w:rPr>
    </w:lvl>
    <w:lvl w:ilvl="4" w:tplc="080C0003" w:tentative="1">
      <w:start w:val="1"/>
      <w:numFmt w:val="bullet"/>
      <w:lvlText w:val="o"/>
      <w:lvlJc w:val="left"/>
      <w:pPr>
        <w:ind w:left="3744" w:hanging="360"/>
      </w:pPr>
      <w:rPr>
        <w:rFonts w:ascii="Courier New" w:hAnsi="Courier New" w:cs="Courier New" w:hint="default"/>
      </w:rPr>
    </w:lvl>
    <w:lvl w:ilvl="5" w:tplc="080C0005" w:tentative="1">
      <w:start w:val="1"/>
      <w:numFmt w:val="bullet"/>
      <w:lvlText w:val=""/>
      <w:lvlJc w:val="left"/>
      <w:pPr>
        <w:ind w:left="4464" w:hanging="360"/>
      </w:pPr>
      <w:rPr>
        <w:rFonts w:ascii="Wingdings" w:hAnsi="Wingdings" w:hint="default"/>
      </w:rPr>
    </w:lvl>
    <w:lvl w:ilvl="6" w:tplc="080C0001" w:tentative="1">
      <w:start w:val="1"/>
      <w:numFmt w:val="bullet"/>
      <w:lvlText w:val=""/>
      <w:lvlJc w:val="left"/>
      <w:pPr>
        <w:ind w:left="5184" w:hanging="360"/>
      </w:pPr>
      <w:rPr>
        <w:rFonts w:ascii="Symbol" w:hAnsi="Symbol" w:hint="default"/>
      </w:rPr>
    </w:lvl>
    <w:lvl w:ilvl="7" w:tplc="080C0003" w:tentative="1">
      <w:start w:val="1"/>
      <w:numFmt w:val="bullet"/>
      <w:lvlText w:val="o"/>
      <w:lvlJc w:val="left"/>
      <w:pPr>
        <w:ind w:left="5904" w:hanging="360"/>
      </w:pPr>
      <w:rPr>
        <w:rFonts w:ascii="Courier New" w:hAnsi="Courier New" w:cs="Courier New" w:hint="default"/>
      </w:rPr>
    </w:lvl>
    <w:lvl w:ilvl="8" w:tplc="080C0005" w:tentative="1">
      <w:start w:val="1"/>
      <w:numFmt w:val="bullet"/>
      <w:lvlText w:val=""/>
      <w:lvlJc w:val="left"/>
      <w:pPr>
        <w:ind w:left="6624" w:hanging="360"/>
      </w:pPr>
      <w:rPr>
        <w:rFonts w:ascii="Wingdings" w:hAnsi="Wingdings" w:hint="default"/>
      </w:rPr>
    </w:lvl>
  </w:abstractNum>
  <w:abstractNum w:abstractNumId="51" w15:restartNumberingAfterBreak="0">
    <w:nsid w:val="2A401AB7"/>
    <w:multiLevelType w:val="multilevel"/>
    <w:tmpl w:val="249845E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F8333B"/>
    <w:multiLevelType w:val="hybridMultilevel"/>
    <w:tmpl w:val="44664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2C394FF1"/>
    <w:multiLevelType w:val="hybridMultilevel"/>
    <w:tmpl w:val="2D22F3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4" w15:restartNumberingAfterBreak="0">
    <w:nsid w:val="2DE9099C"/>
    <w:multiLevelType w:val="hybridMultilevel"/>
    <w:tmpl w:val="98766E52"/>
    <w:lvl w:ilvl="0" w:tplc="080C0017">
      <w:start w:val="1"/>
      <w:numFmt w:val="lowerLetter"/>
      <w:lvlText w:val="%1)"/>
      <w:lvlJc w:val="left"/>
      <w:pPr>
        <w:ind w:left="108" w:hanging="360"/>
      </w:pPr>
    </w:lvl>
    <w:lvl w:ilvl="1" w:tplc="080C0019">
      <w:start w:val="1"/>
      <w:numFmt w:val="lowerLetter"/>
      <w:lvlText w:val="%2."/>
      <w:lvlJc w:val="left"/>
      <w:pPr>
        <w:ind w:left="828" w:hanging="360"/>
      </w:pPr>
    </w:lvl>
    <w:lvl w:ilvl="2" w:tplc="080C001B">
      <w:start w:val="1"/>
      <w:numFmt w:val="lowerRoman"/>
      <w:lvlText w:val="%3."/>
      <w:lvlJc w:val="right"/>
      <w:pPr>
        <w:ind w:left="1548" w:hanging="180"/>
      </w:pPr>
    </w:lvl>
    <w:lvl w:ilvl="3" w:tplc="080C000F">
      <w:start w:val="1"/>
      <w:numFmt w:val="decimal"/>
      <w:lvlText w:val="%4."/>
      <w:lvlJc w:val="left"/>
      <w:pPr>
        <w:ind w:left="2268" w:hanging="360"/>
      </w:pPr>
    </w:lvl>
    <w:lvl w:ilvl="4" w:tplc="080C0019">
      <w:start w:val="1"/>
      <w:numFmt w:val="lowerLetter"/>
      <w:lvlText w:val="%5."/>
      <w:lvlJc w:val="left"/>
      <w:pPr>
        <w:ind w:left="2988" w:hanging="360"/>
      </w:pPr>
    </w:lvl>
    <w:lvl w:ilvl="5" w:tplc="080C001B">
      <w:start w:val="1"/>
      <w:numFmt w:val="lowerRoman"/>
      <w:lvlText w:val="%6."/>
      <w:lvlJc w:val="right"/>
      <w:pPr>
        <w:ind w:left="3708" w:hanging="180"/>
      </w:pPr>
    </w:lvl>
    <w:lvl w:ilvl="6" w:tplc="080C000F">
      <w:start w:val="1"/>
      <w:numFmt w:val="decimal"/>
      <w:lvlText w:val="%7."/>
      <w:lvlJc w:val="left"/>
      <w:pPr>
        <w:ind w:left="4428" w:hanging="360"/>
      </w:pPr>
    </w:lvl>
    <w:lvl w:ilvl="7" w:tplc="080C0019">
      <w:start w:val="1"/>
      <w:numFmt w:val="lowerLetter"/>
      <w:lvlText w:val="%8."/>
      <w:lvlJc w:val="left"/>
      <w:pPr>
        <w:ind w:left="5148" w:hanging="360"/>
      </w:pPr>
    </w:lvl>
    <w:lvl w:ilvl="8" w:tplc="080C001B">
      <w:start w:val="1"/>
      <w:numFmt w:val="lowerRoman"/>
      <w:lvlText w:val="%9."/>
      <w:lvlJc w:val="right"/>
      <w:pPr>
        <w:ind w:left="5868" w:hanging="180"/>
      </w:pPr>
    </w:lvl>
  </w:abstractNum>
  <w:abstractNum w:abstractNumId="55" w15:restartNumberingAfterBreak="0">
    <w:nsid w:val="2E1A6966"/>
    <w:multiLevelType w:val="hybridMultilevel"/>
    <w:tmpl w:val="9A36B1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2E912443"/>
    <w:multiLevelType w:val="hybridMultilevel"/>
    <w:tmpl w:val="8FFC54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2F5810F0"/>
    <w:multiLevelType w:val="multilevel"/>
    <w:tmpl w:val="DBCEEFD0"/>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00611B6"/>
    <w:multiLevelType w:val="multilevel"/>
    <w:tmpl w:val="48125212"/>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01F6390"/>
    <w:multiLevelType w:val="hybridMultilevel"/>
    <w:tmpl w:val="DBAAC9E8"/>
    <w:lvl w:ilvl="0" w:tplc="E8AC8F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30710D1F"/>
    <w:multiLevelType w:val="hybridMultilevel"/>
    <w:tmpl w:val="FE2C6900"/>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61" w15:restartNumberingAfterBreak="0">
    <w:nsid w:val="30C23E14"/>
    <w:multiLevelType w:val="hybridMultilevel"/>
    <w:tmpl w:val="14D44B6E"/>
    <w:lvl w:ilvl="0" w:tplc="DD22EF8A">
      <w:start w:val="3"/>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2" w15:restartNumberingAfterBreak="0">
    <w:nsid w:val="312F1E63"/>
    <w:multiLevelType w:val="multilevel"/>
    <w:tmpl w:val="DBCEEFD0"/>
    <w:lvl w:ilvl="0">
      <w:start w:val="1"/>
      <w:numFmt w:val="bullet"/>
      <w:lvlText w:val=""/>
      <w:lvlJc w:val="left"/>
      <w:pPr>
        <w:tabs>
          <w:tab w:val="left" w:pos="-648"/>
        </w:tabs>
        <w:ind w:left="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14B3DC6"/>
    <w:multiLevelType w:val="multilevel"/>
    <w:tmpl w:val="05FA8B0A"/>
    <w:lvl w:ilvl="0">
      <w:start w:val="1"/>
      <w:numFmt w:val="bullet"/>
      <w:lvlText w:val="-"/>
      <w:lvlJc w:val="left"/>
      <w:pPr>
        <w:tabs>
          <w:tab w:val="left" w:pos="216"/>
        </w:tabs>
        <w:ind w:left="720"/>
      </w:pPr>
      <w:rPr>
        <w:rFonts w:ascii="Symbol" w:eastAsia="Symbol" w:hAnsi="Symbol"/>
        <w:i/>
        <w:strike w:val="0"/>
        <w:color w:val="000000"/>
        <w:spacing w:val="-1"/>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815036"/>
    <w:multiLevelType w:val="hybridMultilevel"/>
    <w:tmpl w:val="B3AEC834"/>
    <w:lvl w:ilvl="0" w:tplc="E2CC659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28E3F13"/>
    <w:multiLevelType w:val="hybridMultilevel"/>
    <w:tmpl w:val="EC702D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33B14884"/>
    <w:multiLevelType w:val="multilevel"/>
    <w:tmpl w:val="59A0E4D4"/>
    <w:lvl w:ilvl="0">
      <w:start w:val="1"/>
      <w:numFmt w:val="bullet"/>
      <w:lvlText w:val=""/>
      <w:lvlJc w:val="left"/>
      <w:pPr>
        <w:tabs>
          <w:tab w:val="left" w:pos="1352"/>
        </w:tabs>
        <w:ind w:left="1856"/>
      </w:pPr>
      <w:rPr>
        <w:rFonts w:ascii="Symbol" w:hAnsi="Symbol" w:hint="default"/>
        <w:strike w:val="0"/>
        <w:color w:val="000000"/>
        <w:spacing w:val="-1"/>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3C71754"/>
    <w:multiLevelType w:val="hybridMultilevel"/>
    <w:tmpl w:val="3CEC9CB8"/>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8" w15:restartNumberingAfterBreak="0">
    <w:nsid w:val="356B7AFB"/>
    <w:multiLevelType w:val="multilevel"/>
    <w:tmpl w:val="14C2A546"/>
    <w:lvl w:ilvl="0">
      <w:start w:val="1"/>
      <w:numFmt w:val="lowerLetter"/>
      <w:lvlText w:val="%1)"/>
      <w:lvlJc w:val="left"/>
      <w:pPr>
        <w:ind w:left="3900" w:hanging="360"/>
      </w:pPr>
      <w:rPr>
        <w:rFonts w:hint="default"/>
      </w:rPr>
    </w:lvl>
    <w:lvl w:ilvl="1">
      <w:start w:val="1"/>
      <w:numFmt w:val="lowerLetter"/>
      <w:lvlText w:val="%2)"/>
      <w:lvlJc w:val="left"/>
      <w:pPr>
        <w:ind w:left="4260" w:hanging="360"/>
      </w:pPr>
    </w:lvl>
    <w:lvl w:ilvl="2">
      <w:start w:val="1"/>
      <w:numFmt w:val="lowerRoman"/>
      <w:lvlText w:val="%3)"/>
      <w:lvlJc w:val="left"/>
      <w:pPr>
        <w:ind w:left="4330" w:hanging="360"/>
      </w:pPr>
      <w:rPr>
        <w:b/>
        <w:bCs/>
      </w:rPr>
    </w:lvl>
    <w:lvl w:ilvl="3">
      <w:start w:val="1"/>
      <w:numFmt w:val="decimal"/>
      <w:lvlText w:val="(%4)"/>
      <w:lvlJc w:val="left"/>
      <w:pPr>
        <w:ind w:left="4980" w:hanging="360"/>
      </w:pPr>
    </w:lvl>
    <w:lvl w:ilvl="4">
      <w:start w:val="1"/>
      <w:numFmt w:val="lowerLetter"/>
      <w:lvlText w:val="(%5)"/>
      <w:lvlJc w:val="left"/>
      <w:pPr>
        <w:ind w:left="5340" w:hanging="360"/>
      </w:pPr>
    </w:lvl>
    <w:lvl w:ilvl="5">
      <w:start w:val="1"/>
      <w:numFmt w:val="lowerRoman"/>
      <w:lvlText w:val="(%6)"/>
      <w:lvlJc w:val="left"/>
      <w:pPr>
        <w:ind w:left="5700" w:hanging="360"/>
      </w:pPr>
    </w:lvl>
    <w:lvl w:ilvl="6">
      <w:start w:val="1"/>
      <w:numFmt w:val="decimal"/>
      <w:lvlText w:val="%7."/>
      <w:lvlJc w:val="left"/>
      <w:pPr>
        <w:ind w:left="6060" w:hanging="360"/>
      </w:pPr>
    </w:lvl>
    <w:lvl w:ilvl="7">
      <w:start w:val="1"/>
      <w:numFmt w:val="lowerLetter"/>
      <w:lvlText w:val="%8."/>
      <w:lvlJc w:val="left"/>
      <w:pPr>
        <w:ind w:left="6420" w:hanging="360"/>
      </w:pPr>
    </w:lvl>
    <w:lvl w:ilvl="8">
      <w:start w:val="1"/>
      <w:numFmt w:val="lowerRoman"/>
      <w:lvlText w:val="%9."/>
      <w:lvlJc w:val="left"/>
      <w:pPr>
        <w:ind w:left="6780" w:hanging="360"/>
      </w:pPr>
    </w:lvl>
  </w:abstractNum>
  <w:abstractNum w:abstractNumId="69" w15:restartNumberingAfterBreak="0">
    <w:nsid w:val="36DD081B"/>
    <w:multiLevelType w:val="hybridMultilevel"/>
    <w:tmpl w:val="92CC4400"/>
    <w:lvl w:ilvl="0" w:tplc="EF1CBB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71E2CDA"/>
    <w:multiLevelType w:val="multilevel"/>
    <w:tmpl w:val="DEC27BE0"/>
    <w:lvl w:ilvl="0">
      <w:start w:val="1"/>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78F1796"/>
    <w:multiLevelType w:val="multilevel"/>
    <w:tmpl w:val="2BC24124"/>
    <w:lvl w:ilvl="0">
      <w:start w:val="1"/>
      <w:numFmt w:val="bullet"/>
      <w:lvlText w:val="-"/>
      <w:lvlJc w:val="left"/>
      <w:pPr>
        <w:tabs>
          <w:tab w:val="left" w:pos="558"/>
        </w:tabs>
        <w:ind w:left="1134"/>
      </w:pPr>
      <w:rPr>
        <w:rFonts w:ascii="Symbol" w:eastAsia="Symbol" w:hAnsi="Symbol"/>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5E6D5A"/>
    <w:multiLevelType w:val="hybridMultilevel"/>
    <w:tmpl w:val="2C704B86"/>
    <w:lvl w:ilvl="0" w:tplc="97F8718A">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3B8E6521"/>
    <w:multiLevelType w:val="hybridMultilevel"/>
    <w:tmpl w:val="A15E1EBA"/>
    <w:lvl w:ilvl="0" w:tplc="FFFFFFFF">
      <w:start w:val="1"/>
      <w:numFmt w:val="decimal"/>
      <w:lvlText w:val="%1)"/>
      <w:lvlJc w:val="left"/>
      <w:pPr>
        <w:tabs>
          <w:tab w:val="num" w:pos="928"/>
        </w:tabs>
        <w:ind w:left="92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4" w15:restartNumberingAfterBreak="0">
    <w:nsid w:val="3BB66D77"/>
    <w:multiLevelType w:val="hybridMultilevel"/>
    <w:tmpl w:val="88082916"/>
    <w:lvl w:ilvl="0" w:tplc="01D6EFA0">
      <w:start w:val="5"/>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3F1C603E"/>
    <w:multiLevelType w:val="multilevel"/>
    <w:tmpl w:val="1E364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3F555A0B"/>
    <w:multiLevelType w:val="hybridMultilevel"/>
    <w:tmpl w:val="2AA68024"/>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77" w15:restartNumberingAfterBreak="0">
    <w:nsid w:val="3F804F5D"/>
    <w:multiLevelType w:val="multilevel"/>
    <w:tmpl w:val="EA00A63C"/>
    <w:lvl w:ilvl="0">
      <w:start w:val="1"/>
      <w:numFmt w:val="bullet"/>
      <w:lvlText w:val="-"/>
      <w:lvlJc w:val="left"/>
      <w:pPr>
        <w:tabs>
          <w:tab w:val="left" w:pos="648"/>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D637BA"/>
    <w:multiLevelType w:val="multilevel"/>
    <w:tmpl w:val="4DCE402A"/>
    <w:lvl w:ilvl="0">
      <w:start w:val="1"/>
      <w:numFmt w:val="bullet"/>
      <w:lvlText w:val="·"/>
      <w:lvlJc w:val="left"/>
      <w:pPr>
        <w:ind w:left="720"/>
      </w:pPr>
      <w:rPr>
        <w:rFonts w:ascii="Symbol" w:eastAsia="Symbol" w:hAnsi="Symbol"/>
        <w:strike w:val="0"/>
        <w:color w:val="970B28"/>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02F093B"/>
    <w:multiLevelType w:val="multilevel"/>
    <w:tmpl w:val="8F427F80"/>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16B60AA"/>
    <w:multiLevelType w:val="hybridMultilevel"/>
    <w:tmpl w:val="DDB62A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1" w15:restartNumberingAfterBreak="0">
    <w:nsid w:val="429B77C6"/>
    <w:multiLevelType w:val="hybridMultilevel"/>
    <w:tmpl w:val="8954D376"/>
    <w:lvl w:ilvl="0" w:tplc="A54CFD98">
      <w:start w:val="1"/>
      <w:numFmt w:val="decimal"/>
      <w:lvlText w:val="%1)"/>
      <w:lvlJc w:val="left"/>
      <w:pPr>
        <w:ind w:left="1440" w:hanging="360"/>
      </w:pPr>
      <w:rPr>
        <w:b/>
        <w:bCs/>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2" w15:restartNumberingAfterBreak="0">
    <w:nsid w:val="432C4382"/>
    <w:multiLevelType w:val="multilevel"/>
    <w:tmpl w:val="2EA0051C"/>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3C05383"/>
    <w:multiLevelType w:val="hybridMultilevel"/>
    <w:tmpl w:val="0DEC7806"/>
    <w:lvl w:ilvl="0" w:tplc="DFBE3EBE">
      <w:start w:val="1"/>
      <w:numFmt w:val="bullet"/>
      <w:lvlText w:val="•"/>
      <w:lvlJc w:val="left"/>
      <w:pPr>
        <w:tabs>
          <w:tab w:val="num" w:pos="720"/>
        </w:tabs>
        <w:ind w:left="720" w:hanging="360"/>
      </w:pPr>
      <w:rPr>
        <w:rFonts w:ascii="Times New Roman" w:hAnsi="Times New Roman" w:hint="default"/>
      </w:rPr>
    </w:lvl>
    <w:lvl w:ilvl="1" w:tplc="774C2F9A" w:tentative="1">
      <w:start w:val="1"/>
      <w:numFmt w:val="bullet"/>
      <w:lvlText w:val="•"/>
      <w:lvlJc w:val="left"/>
      <w:pPr>
        <w:tabs>
          <w:tab w:val="num" w:pos="1440"/>
        </w:tabs>
        <w:ind w:left="1440" w:hanging="360"/>
      </w:pPr>
      <w:rPr>
        <w:rFonts w:ascii="Times New Roman" w:hAnsi="Times New Roman" w:hint="default"/>
      </w:rPr>
    </w:lvl>
    <w:lvl w:ilvl="2" w:tplc="B456BA4E" w:tentative="1">
      <w:start w:val="1"/>
      <w:numFmt w:val="bullet"/>
      <w:lvlText w:val="•"/>
      <w:lvlJc w:val="left"/>
      <w:pPr>
        <w:tabs>
          <w:tab w:val="num" w:pos="2160"/>
        </w:tabs>
        <w:ind w:left="2160" w:hanging="360"/>
      </w:pPr>
      <w:rPr>
        <w:rFonts w:ascii="Times New Roman" w:hAnsi="Times New Roman" w:hint="default"/>
      </w:rPr>
    </w:lvl>
    <w:lvl w:ilvl="3" w:tplc="D42A0A4C" w:tentative="1">
      <w:start w:val="1"/>
      <w:numFmt w:val="bullet"/>
      <w:lvlText w:val="•"/>
      <w:lvlJc w:val="left"/>
      <w:pPr>
        <w:tabs>
          <w:tab w:val="num" w:pos="2880"/>
        </w:tabs>
        <w:ind w:left="2880" w:hanging="360"/>
      </w:pPr>
      <w:rPr>
        <w:rFonts w:ascii="Times New Roman" w:hAnsi="Times New Roman" w:hint="default"/>
      </w:rPr>
    </w:lvl>
    <w:lvl w:ilvl="4" w:tplc="85744C68" w:tentative="1">
      <w:start w:val="1"/>
      <w:numFmt w:val="bullet"/>
      <w:lvlText w:val="•"/>
      <w:lvlJc w:val="left"/>
      <w:pPr>
        <w:tabs>
          <w:tab w:val="num" w:pos="3600"/>
        </w:tabs>
        <w:ind w:left="3600" w:hanging="360"/>
      </w:pPr>
      <w:rPr>
        <w:rFonts w:ascii="Times New Roman" w:hAnsi="Times New Roman" w:hint="default"/>
      </w:rPr>
    </w:lvl>
    <w:lvl w:ilvl="5" w:tplc="9E86F9AA" w:tentative="1">
      <w:start w:val="1"/>
      <w:numFmt w:val="bullet"/>
      <w:lvlText w:val="•"/>
      <w:lvlJc w:val="left"/>
      <w:pPr>
        <w:tabs>
          <w:tab w:val="num" w:pos="4320"/>
        </w:tabs>
        <w:ind w:left="4320" w:hanging="360"/>
      </w:pPr>
      <w:rPr>
        <w:rFonts w:ascii="Times New Roman" w:hAnsi="Times New Roman" w:hint="default"/>
      </w:rPr>
    </w:lvl>
    <w:lvl w:ilvl="6" w:tplc="7A2A33E8" w:tentative="1">
      <w:start w:val="1"/>
      <w:numFmt w:val="bullet"/>
      <w:lvlText w:val="•"/>
      <w:lvlJc w:val="left"/>
      <w:pPr>
        <w:tabs>
          <w:tab w:val="num" w:pos="5040"/>
        </w:tabs>
        <w:ind w:left="5040" w:hanging="360"/>
      </w:pPr>
      <w:rPr>
        <w:rFonts w:ascii="Times New Roman" w:hAnsi="Times New Roman" w:hint="default"/>
      </w:rPr>
    </w:lvl>
    <w:lvl w:ilvl="7" w:tplc="BEA0A07A" w:tentative="1">
      <w:start w:val="1"/>
      <w:numFmt w:val="bullet"/>
      <w:lvlText w:val="•"/>
      <w:lvlJc w:val="left"/>
      <w:pPr>
        <w:tabs>
          <w:tab w:val="num" w:pos="5760"/>
        </w:tabs>
        <w:ind w:left="5760" w:hanging="360"/>
      </w:pPr>
      <w:rPr>
        <w:rFonts w:ascii="Times New Roman" w:hAnsi="Times New Roman" w:hint="default"/>
      </w:rPr>
    </w:lvl>
    <w:lvl w:ilvl="8" w:tplc="D98445E8"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43C52AB8"/>
    <w:multiLevelType w:val="multilevel"/>
    <w:tmpl w:val="353C85C6"/>
    <w:lvl w:ilvl="0">
      <w:start w:val="1"/>
      <w:numFmt w:val="lowerLetter"/>
      <w:lvlText w:val="%1)"/>
      <w:lvlJc w:val="left"/>
      <w:pPr>
        <w:tabs>
          <w:tab w:val="left" w:pos="-360"/>
        </w:tabs>
        <w:ind w:left="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EF5924"/>
    <w:multiLevelType w:val="multilevel"/>
    <w:tmpl w:val="FB826F26"/>
    <w:lvl w:ilvl="0">
      <w:start w:val="1"/>
      <w:numFmt w:val="bullet"/>
      <w:lvlText w:val=""/>
      <w:lvlJc w:val="left"/>
      <w:pPr>
        <w:tabs>
          <w:tab w:val="left" w:pos="-148"/>
        </w:tabs>
        <w:ind w:left="284"/>
      </w:pPr>
      <w:rPr>
        <w:rFonts w:ascii="Symbol" w:hAnsi="Symbol"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03694E"/>
    <w:multiLevelType w:val="multilevel"/>
    <w:tmpl w:val="51EC1CB8"/>
    <w:lvl w:ilvl="0">
      <w:start w:val="1"/>
      <w:numFmt w:val="bullet"/>
      <w:lvlText w:val=""/>
      <w:lvlJc w:val="left"/>
      <w:pPr>
        <w:tabs>
          <w:tab w:val="left" w:pos="360"/>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46A48F5"/>
    <w:multiLevelType w:val="hybridMultilevel"/>
    <w:tmpl w:val="46D488F6"/>
    <w:lvl w:ilvl="0" w:tplc="080C0001">
      <w:start w:val="1"/>
      <w:numFmt w:val="bullet"/>
      <w:lvlText w:val=""/>
      <w:lvlJc w:val="left"/>
      <w:pPr>
        <w:ind w:left="437" w:hanging="360"/>
      </w:pPr>
      <w:rPr>
        <w:rFonts w:ascii="Symbol" w:hAnsi="Symbol" w:hint="default"/>
      </w:rPr>
    </w:lvl>
    <w:lvl w:ilvl="1" w:tplc="080C0003" w:tentative="1">
      <w:start w:val="1"/>
      <w:numFmt w:val="bullet"/>
      <w:lvlText w:val="o"/>
      <w:lvlJc w:val="left"/>
      <w:pPr>
        <w:ind w:left="1157" w:hanging="360"/>
      </w:pPr>
      <w:rPr>
        <w:rFonts w:ascii="Courier New" w:hAnsi="Courier New" w:cs="Courier New" w:hint="default"/>
      </w:rPr>
    </w:lvl>
    <w:lvl w:ilvl="2" w:tplc="080C0005" w:tentative="1">
      <w:start w:val="1"/>
      <w:numFmt w:val="bullet"/>
      <w:lvlText w:val=""/>
      <w:lvlJc w:val="left"/>
      <w:pPr>
        <w:ind w:left="1877" w:hanging="360"/>
      </w:pPr>
      <w:rPr>
        <w:rFonts w:ascii="Wingdings" w:hAnsi="Wingdings" w:hint="default"/>
      </w:rPr>
    </w:lvl>
    <w:lvl w:ilvl="3" w:tplc="080C0001" w:tentative="1">
      <w:start w:val="1"/>
      <w:numFmt w:val="bullet"/>
      <w:lvlText w:val=""/>
      <w:lvlJc w:val="left"/>
      <w:pPr>
        <w:ind w:left="2597" w:hanging="360"/>
      </w:pPr>
      <w:rPr>
        <w:rFonts w:ascii="Symbol" w:hAnsi="Symbol" w:hint="default"/>
      </w:rPr>
    </w:lvl>
    <w:lvl w:ilvl="4" w:tplc="080C0003" w:tentative="1">
      <w:start w:val="1"/>
      <w:numFmt w:val="bullet"/>
      <w:lvlText w:val="o"/>
      <w:lvlJc w:val="left"/>
      <w:pPr>
        <w:ind w:left="3317" w:hanging="360"/>
      </w:pPr>
      <w:rPr>
        <w:rFonts w:ascii="Courier New" w:hAnsi="Courier New" w:cs="Courier New" w:hint="default"/>
      </w:rPr>
    </w:lvl>
    <w:lvl w:ilvl="5" w:tplc="080C0005" w:tentative="1">
      <w:start w:val="1"/>
      <w:numFmt w:val="bullet"/>
      <w:lvlText w:val=""/>
      <w:lvlJc w:val="left"/>
      <w:pPr>
        <w:ind w:left="4037" w:hanging="360"/>
      </w:pPr>
      <w:rPr>
        <w:rFonts w:ascii="Wingdings" w:hAnsi="Wingdings" w:hint="default"/>
      </w:rPr>
    </w:lvl>
    <w:lvl w:ilvl="6" w:tplc="080C0001" w:tentative="1">
      <w:start w:val="1"/>
      <w:numFmt w:val="bullet"/>
      <w:lvlText w:val=""/>
      <w:lvlJc w:val="left"/>
      <w:pPr>
        <w:ind w:left="4757" w:hanging="360"/>
      </w:pPr>
      <w:rPr>
        <w:rFonts w:ascii="Symbol" w:hAnsi="Symbol" w:hint="default"/>
      </w:rPr>
    </w:lvl>
    <w:lvl w:ilvl="7" w:tplc="080C0003" w:tentative="1">
      <w:start w:val="1"/>
      <w:numFmt w:val="bullet"/>
      <w:lvlText w:val="o"/>
      <w:lvlJc w:val="left"/>
      <w:pPr>
        <w:ind w:left="5477" w:hanging="360"/>
      </w:pPr>
      <w:rPr>
        <w:rFonts w:ascii="Courier New" w:hAnsi="Courier New" w:cs="Courier New" w:hint="default"/>
      </w:rPr>
    </w:lvl>
    <w:lvl w:ilvl="8" w:tplc="080C0005" w:tentative="1">
      <w:start w:val="1"/>
      <w:numFmt w:val="bullet"/>
      <w:lvlText w:val=""/>
      <w:lvlJc w:val="left"/>
      <w:pPr>
        <w:ind w:left="6197" w:hanging="360"/>
      </w:pPr>
      <w:rPr>
        <w:rFonts w:ascii="Wingdings" w:hAnsi="Wingdings" w:hint="default"/>
      </w:rPr>
    </w:lvl>
  </w:abstractNum>
  <w:abstractNum w:abstractNumId="88" w15:restartNumberingAfterBreak="0">
    <w:nsid w:val="44EB2F44"/>
    <w:multiLevelType w:val="hybridMultilevel"/>
    <w:tmpl w:val="EB581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48A47A81"/>
    <w:multiLevelType w:val="multilevel"/>
    <w:tmpl w:val="0FAA56BA"/>
    <w:lvl w:ilvl="0">
      <w:start w:val="1"/>
      <w:numFmt w:val="bullet"/>
      <w:lvlText w:val=""/>
      <w:lvlJc w:val="left"/>
      <w:pPr>
        <w:tabs>
          <w:tab w:val="left" w:pos="842"/>
        </w:tabs>
        <w:ind w:left="1418"/>
      </w:pPr>
      <w:rPr>
        <w:rFonts w:ascii="Wingdings" w:hAnsi="Wingdings" w:hint="default"/>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9156202"/>
    <w:multiLevelType w:val="multilevel"/>
    <w:tmpl w:val="72F48BF0"/>
    <w:lvl w:ilvl="0">
      <w:start w:val="1"/>
      <w:numFmt w:val="decimal"/>
      <w:lvlText w:val="%1)"/>
      <w:lvlJc w:val="left"/>
      <w:pPr>
        <w:tabs>
          <w:tab w:val="left" w:pos="-360"/>
        </w:tabs>
        <w:ind w:left="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9546032"/>
    <w:multiLevelType w:val="multilevel"/>
    <w:tmpl w:val="680633B6"/>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991717D"/>
    <w:multiLevelType w:val="hybridMultilevel"/>
    <w:tmpl w:val="3FB454F6"/>
    <w:lvl w:ilvl="0" w:tplc="E39EDBF0">
      <w:start w:val="3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4A5E39C3"/>
    <w:multiLevelType w:val="multilevel"/>
    <w:tmpl w:val="7A36E6B0"/>
    <w:lvl w:ilvl="0">
      <w:start w:val="1"/>
      <w:numFmt w:val="bullet"/>
      <w:lvlText w:val="-"/>
      <w:lvlJc w:val="left"/>
      <w:pPr>
        <w:tabs>
          <w:tab w:val="left" w:pos="-148"/>
        </w:tabs>
        <w:ind w:left="284"/>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781732"/>
    <w:multiLevelType w:val="multilevel"/>
    <w:tmpl w:val="42260EC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8804D4"/>
    <w:multiLevelType w:val="multilevel"/>
    <w:tmpl w:val="CC44EA36"/>
    <w:lvl w:ilvl="0">
      <w:start w:val="1"/>
      <w:numFmt w:val="bullet"/>
      <w:lvlText w:val="o"/>
      <w:lvlJc w:val="left"/>
      <w:pPr>
        <w:tabs>
          <w:tab w:val="left" w:pos="-148"/>
        </w:tabs>
        <w:ind w:left="284" w:firstLine="0"/>
      </w:pPr>
      <w:rPr>
        <w:rFonts w:ascii="Courier New" w:hAnsi="Courier New" w:cs="Courier New" w:hint="default"/>
        <w:strike w:val="0"/>
        <w:dstrike w:val="0"/>
        <w:color w:val="000000"/>
        <w:spacing w:val="0"/>
        <w:w w:val="100"/>
        <w:sz w:val="24"/>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4AF8497C"/>
    <w:multiLevelType w:val="multilevel"/>
    <w:tmpl w:val="BAD4F2B0"/>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E37B2"/>
    <w:multiLevelType w:val="hybridMultilevel"/>
    <w:tmpl w:val="BE7072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8" w15:restartNumberingAfterBreak="0">
    <w:nsid w:val="4C076A87"/>
    <w:multiLevelType w:val="hybridMultilevel"/>
    <w:tmpl w:val="071E4C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4C6A435D"/>
    <w:multiLevelType w:val="multilevel"/>
    <w:tmpl w:val="02245D4A"/>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4D660AE3"/>
    <w:multiLevelType w:val="hybridMultilevel"/>
    <w:tmpl w:val="D2662252"/>
    <w:lvl w:ilvl="0" w:tplc="080C000F">
      <w:start w:val="1"/>
      <w:numFmt w:val="decimal"/>
      <w:lvlText w:val="%1."/>
      <w:lvlJc w:val="left"/>
      <w:pPr>
        <w:ind w:left="2138" w:hanging="360"/>
      </w:p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101" w15:restartNumberingAfterBreak="0">
    <w:nsid w:val="4D87714F"/>
    <w:multiLevelType w:val="hybridMultilevel"/>
    <w:tmpl w:val="0BE254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2" w15:restartNumberingAfterBreak="0">
    <w:nsid w:val="4F651493"/>
    <w:multiLevelType w:val="hybridMultilevel"/>
    <w:tmpl w:val="F1725DAC"/>
    <w:lvl w:ilvl="0" w:tplc="E39EDBF0">
      <w:start w:val="3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3" w15:restartNumberingAfterBreak="0">
    <w:nsid w:val="50156B48"/>
    <w:multiLevelType w:val="hybridMultilevel"/>
    <w:tmpl w:val="57C45CF4"/>
    <w:lvl w:ilvl="0" w:tplc="C4FECA02">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50C85E88"/>
    <w:multiLevelType w:val="multilevel"/>
    <w:tmpl w:val="C756BDBE"/>
    <w:lvl w:ilvl="0">
      <w:start w:val="1"/>
      <w:numFmt w:val="decimal"/>
      <w:lvlText w:val="%1)"/>
      <w:lvlJc w:val="left"/>
      <w:pPr>
        <w:tabs>
          <w:tab w:val="left" w:pos="360"/>
        </w:tabs>
        <w:ind w:left="72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1945DE0"/>
    <w:multiLevelType w:val="hybridMultilevel"/>
    <w:tmpl w:val="62A2571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6" w15:restartNumberingAfterBreak="0">
    <w:nsid w:val="51B71DF9"/>
    <w:multiLevelType w:val="hybridMultilevel"/>
    <w:tmpl w:val="3E0EE7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51E17DBE"/>
    <w:multiLevelType w:val="hybridMultilevel"/>
    <w:tmpl w:val="7A9AF0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8" w15:restartNumberingAfterBreak="0">
    <w:nsid w:val="521774A5"/>
    <w:multiLevelType w:val="hybridMultilevel"/>
    <w:tmpl w:val="4D0A0DD4"/>
    <w:lvl w:ilvl="0" w:tplc="080C000F">
      <w:start w:val="1"/>
      <w:numFmt w:val="decimal"/>
      <w:lvlText w:val="%1."/>
      <w:lvlJc w:val="left"/>
      <w:pPr>
        <w:ind w:left="2138" w:hanging="360"/>
      </w:p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109" w15:restartNumberingAfterBreak="0">
    <w:nsid w:val="528E462E"/>
    <w:multiLevelType w:val="hybridMultilevel"/>
    <w:tmpl w:val="402C2FDE"/>
    <w:lvl w:ilvl="0" w:tplc="080C0001">
      <w:start w:val="1"/>
      <w:numFmt w:val="bullet"/>
      <w:lvlText w:val=""/>
      <w:lvlJc w:val="left"/>
      <w:pPr>
        <w:ind w:left="504" w:hanging="360"/>
      </w:pPr>
      <w:rPr>
        <w:rFonts w:ascii="Symbol" w:hAnsi="Symbol" w:hint="default"/>
      </w:rPr>
    </w:lvl>
    <w:lvl w:ilvl="1" w:tplc="080C0003">
      <w:start w:val="1"/>
      <w:numFmt w:val="bullet"/>
      <w:lvlText w:val="o"/>
      <w:lvlJc w:val="left"/>
      <w:pPr>
        <w:ind w:left="1224" w:hanging="360"/>
      </w:pPr>
      <w:rPr>
        <w:rFonts w:ascii="Courier New" w:hAnsi="Courier New" w:cs="Courier New" w:hint="default"/>
      </w:rPr>
    </w:lvl>
    <w:lvl w:ilvl="2" w:tplc="080C0005" w:tentative="1">
      <w:start w:val="1"/>
      <w:numFmt w:val="bullet"/>
      <w:lvlText w:val=""/>
      <w:lvlJc w:val="left"/>
      <w:pPr>
        <w:ind w:left="1944" w:hanging="360"/>
      </w:pPr>
      <w:rPr>
        <w:rFonts w:ascii="Wingdings" w:hAnsi="Wingdings" w:hint="default"/>
      </w:rPr>
    </w:lvl>
    <w:lvl w:ilvl="3" w:tplc="080C0001" w:tentative="1">
      <w:start w:val="1"/>
      <w:numFmt w:val="bullet"/>
      <w:lvlText w:val=""/>
      <w:lvlJc w:val="left"/>
      <w:pPr>
        <w:ind w:left="2664" w:hanging="360"/>
      </w:pPr>
      <w:rPr>
        <w:rFonts w:ascii="Symbol" w:hAnsi="Symbol" w:hint="default"/>
      </w:rPr>
    </w:lvl>
    <w:lvl w:ilvl="4" w:tplc="080C0003" w:tentative="1">
      <w:start w:val="1"/>
      <w:numFmt w:val="bullet"/>
      <w:lvlText w:val="o"/>
      <w:lvlJc w:val="left"/>
      <w:pPr>
        <w:ind w:left="3384" w:hanging="360"/>
      </w:pPr>
      <w:rPr>
        <w:rFonts w:ascii="Courier New" w:hAnsi="Courier New" w:cs="Courier New" w:hint="default"/>
      </w:rPr>
    </w:lvl>
    <w:lvl w:ilvl="5" w:tplc="080C0005" w:tentative="1">
      <w:start w:val="1"/>
      <w:numFmt w:val="bullet"/>
      <w:lvlText w:val=""/>
      <w:lvlJc w:val="left"/>
      <w:pPr>
        <w:ind w:left="4104" w:hanging="360"/>
      </w:pPr>
      <w:rPr>
        <w:rFonts w:ascii="Wingdings" w:hAnsi="Wingdings" w:hint="default"/>
      </w:rPr>
    </w:lvl>
    <w:lvl w:ilvl="6" w:tplc="080C0001" w:tentative="1">
      <w:start w:val="1"/>
      <w:numFmt w:val="bullet"/>
      <w:lvlText w:val=""/>
      <w:lvlJc w:val="left"/>
      <w:pPr>
        <w:ind w:left="4824" w:hanging="360"/>
      </w:pPr>
      <w:rPr>
        <w:rFonts w:ascii="Symbol" w:hAnsi="Symbol" w:hint="default"/>
      </w:rPr>
    </w:lvl>
    <w:lvl w:ilvl="7" w:tplc="080C0003" w:tentative="1">
      <w:start w:val="1"/>
      <w:numFmt w:val="bullet"/>
      <w:lvlText w:val="o"/>
      <w:lvlJc w:val="left"/>
      <w:pPr>
        <w:ind w:left="5544" w:hanging="360"/>
      </w:pPr>
      <w:rPr>
        <w:rFonts w:ascii="Courier New" w:hAnsi="Courier New" w:cs="Courier New" w:hint="default"/>
      </w:rPr>
    </w:lvl>
    <w:lvl w:ilvl="8" w:tplc="080C0005" w:tentative="1">
      <w:start w:val="1"/>
      <w:numFmt w:val="bullet"/>
      <w:lvlText w:val=""/>
      <w:lvlJc w:val="left"/>
      <w:pPr>
        <w:ind w:left="6264" w:hanging="360"/>
      </w:pPr>
      <w:rPr>
        <w:rFonts w:ascii="Wingdings" w:hAnsi="Wingdings" w:hint="default"/>
      </w:rPr>
    </w:lvl>
  </w:abstractNum>
  <w:abstractNum w:abstractNumId="110" w15:restartNumberingAfterBreak="0">
    <w:nsid w:val="53547316"/>
    <w:multiLevelType w:val="multilevel"/>
    <w:tmpl w:val="FB826F26"/>
    <w:lvl w:ilvl="0">
      <w:start w:val="1"/>
      <w:numFmt w:val="bullet"/>
      <w:lvlText w:val=""/>
      <w:lvlJc w:val="left"/>
      <w:pPr>
        <w:tabs>
          <w:tab w:val="left" w:pos="-148"/>
        </w:tabs>
        <w:ind w:left="284"/>
      </w:pPr>
      <w:rPr>
        <w:rFonts w:ascii="Symbol" w:hAnsi="Symbol"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3B75255"/>
    <w:multiLevelType w:val="hybridMultilevel"/>
    <w:tmpl w:val="BDFCE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2" w15:restartNumberingAfterBreak="0">
    <w:nsid w:val="53F776D8"/>
    <w:multiLevelType w:val="hybridMultilevel"/>
    <w:tmpl w:val="01A43A2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3" w15:restartNumberingAfterBreak="0">
    <w:nsid w:val="54493084"/>
    <w:multiLevelType w:val="multilevel"/>
    <w:tmpl w:val="C94E69F6"/>
    <w:lvl w:ilvl="0">
      <w:start w:val="1"/>
      <w:numFmt w:val="decimal"/>
      <w:lvlText w:val="%1."/>
      <w:lvlJc w:val="left"/>
      <w:pPr>
        <w:tabs>
          <w:tab w:val="left" w:pos="360"/>
        </w:tabs>
        <w:ind w:left="72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4E634F6"/>
    <w:multiLevelType w:val="hybridMultilevel"/>
    <w:tmpl w:val="BBDC8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15:restartNumberingAfterBreak="0">
    <w:nsid w:val="54F7602E"/>
    <w:multiLevelType w:val="multilevel"/>
    <w:tmpl w:val="9056C348"/>
    <w:lvl w:ilvl="0">
      <w:start w:val="1"/>
      <w:numFmt w:val="upperRoman"/>
      <w:pStyle w:val="Sam1"/>
      <w:lvlText w:val="%1."/>
      <w:lvlJc w:val="left"/>
      <w:pPr>
        <w:ind w:left="851" w:hanging="851"/>
      </w:pPr>
      <w:rPr>
        <w:rFonts w:hint="default"/>
        <w:b/>
      </w:rPr>
    </w:lvl>
    <w:lvl w:ilvl="1">
      <w:start w:val="1"/>
      <w:numFmt w:val="decimal"/>
      <w:pStyle w:val="Sam2"/>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pStyle w:val="Sam4"/>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5CB0B4C"/>
    <w:multiLevelType w:val="hybridMultilevel"/>
    <w:tmpl w:val="2B0E06A0"/>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17" w15:restartNumberingAfterBreak="0">
    <w:nsid w:val="56D57A66"/>
    <w:multiLevelType w:val="hybridMultilevel"/>
    <w:tmpl w:val="CA3CF7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8" w15:restartNumberingAfterBreak="0">
    <w:nsid w:val="578543F3"/>
    <w:multiLevelType w:val="hybridMultilevel"/>
    <w:tmpl w:val="B6ECEF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9" w15:restartNumberingAfterBreak="0">
    <w:nsid w:val="57CD22CE"/>
    <w:multiLevelType w:val="hybridMultilevel"/>
    <w:tmpl w:val="028E5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15:restartNumberingAfterBreak="0">
    <w:nsid w:val="580872DD"/>
    <w:multiLevelType w:val="hybridMultilevel"/>
    <w:tmpl w:val="C1E2A806"/>
    <w:lvl w:ilvl="0" w:tplc="ECB2050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90D1635"/>
    <w:multiLevelType w:val="multilevel"/>
    <w:tmpl w:val="2704358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90F4F3A"/>
    <w:multiLevelType w:val="hybridMultilevel"/>
    <w:tmpl w:val="795079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3" w15:restartNumberingAfterBreak="0">
    <w:nsid w:val="5B3E1EBE"/>
    <w:multiLevelType w:val="hybridMultilevel"/>
    <w:tmpl w:val="51721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4" w15:restartNumberingAfterBreak="0">
    <w:nsid w:val="5B7D11A1"/>
    <w:multiLevelType w:val="hybridMultilevel"/>
    <w:tmpl w:val="25BAD2A8"/>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25" w15:restartNumberingAfterBreak="0">
    <w:nsid w:val="5C840B38"/>
    <w:multiLevelType w:val="hybridMultilevel"/>
    <w:tmpl w:val="4C84B504"/>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126" w15:restartNumberingAfterBreak="0">
    <w:nsid w:val="5D530444"/>
    <w:multiLevelType w:val="multilevel"/>
    <w:tmpl w:val="02245D4A"/>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EA52344"/>
    <w:multiLevelType w:val="multilevel"/>
    <w:tmpl w:val="EAF2D02C"/>
    <w:lvl w:ilvl="0">
      <w:start w:val="7"/>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FD944EC"/>
    <w:multiLevelType w:val="hybridMultilevel"/>
    <w:tmpl w:val="9B6ACA0C"/>
    <w:lvl w:ilvl="0" w:tplc="DE0AC24A">
      <w:start w:val="1"/>
      <w:numFmt w:val="decimal"/>
      <w:lvlText w:val="%1)"/>
      <w:lvlJc w:val="left"/>
      <w:pPr>
        <w:ind w:left="720" w:hanging="360"/>
      </w:pPr>
      <w:rPr>
        <w:rFonts w:ascii="Times New Roman" w:eastAsia="Times New Roman" w:hAnsi="Times New Roman" w:cs="Times New Roman"/>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9" w15:restartNumberingAfterBreak="0">
    <w:nsid w:val="604578DD"/>
    <w:multiLevelType w:val="hybridMultilevel"/>
    <w:tmpl w:val="24E4A7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0" w15:restartNumberingAfterBreak="0">
    <w:nsid w:val="606C573B"/>
    <w:multiLevelType w:val="hybridMultilevel"/>
    <w:tmpl w:val="8DF211F6"/>
    <w:lvl w:ilvl="0" w:tplc="225C840E">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31" w15:restartNumberingAfterBreak="0">
    <w:nsid w:val="609457C6"/>
    <w:multiLevelType w:val="multilevel"/>
    <w:tmpl w:val="252C5ACE"/>
    <w:lvl w:ilvl="0">
      <w:start w:val="1"/>
      <w:numFmt w:val="lowerLetter"/>
      <w:lvlText w:val="%1)"/>
      <w:lvlJc w:val="left"/>
      <w:pPr>
        <w:tabs>
          <w:tab w:val="left" w:pos="8928"/>
        </w:tabs>
        <w:ind w:left="9216"/>
      </w:pPr>
      <w:rPr>
        <w:rFonts w:ascii="Times New Roman" w:eastAsia="Times New Roman" w:hAnsi="Times New Roman"/>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2337EDD"/>
    <w:multiLevelType w:val="multilevel"/>
    <w:tmpl w:val="8DFECD1E"/>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26E527E"/>
    <w:multiLevelType w:val="hybridMultilevel"/>
    <w:tmpl w:val="94888C3C"/>
    <w:lvl w:ilvl="0" w:tplc="223A84F4">
      <w:numFmt w:val="bullet"/>
      <w:lvlText w:val="-"/>
      <w:lvlJc w:val="left"/>
      <w:pPr>
        <w:ind w:left="360" w:hanging="360"/>
      </w:pPr>
      <w:rPr>
        <w:rFonts w:ascii="Times New Roman" w:eastAsia="Times New Roman" w:hAnsi="Times New Roman" w:cs="Times New Roman" w:hint="default"/>
        <w:strike w:val="0"/>
        <w:dstrike w:val="0"/>
        <w:u w:val="none"/>
        <w:effect w:val="none"/>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34" w15:restartNumberingAfterBreak="0">
    <w:nsid w:val="6273201C"/>
    <w:multiLevelType w:val="hybridMultilevel"/>
    <w:tmpl w:val="1EC828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5" w15:restartNumberingAfterBreak="0">
    <w:nsid w:val="62EA66B7"/>
    <w:multiLevelType w:val="multilevel"/>
    <w:tmpl w:val="AE2C74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374352F"/>
    <w:multiLevelType w:val="hybridMultilevel"/>
    <w:tmpl w:val="0118342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7" w15:restartNumberingAfterBreak="0">
    <w:nsid w:val="63A6215F"/>
    <w:multiLevelType w:val="multilevel"/>
    <w:tmpl w:val="EAEE6CDE"/>
    <w:lvl w:ilvl="0">
      <w:start w:val="1"/>
      <w:numFmt w:val="bullet"/>
      <w:lvlText w:val=""/>
      <w:lvlJc w:val="left"/>
      <w:pPr>
        <w:tabs>
          <w:tab w:val="left" w:pos="842"/>
        </w:tabs>
        <w:ind w:left="1418"/>
      </w:pPr>
      <w:rPr>
        <w:rFonts w:ascii="Wingdings" w:hAnsi="Wingdings" w:hint="default"/>
        <w:strike w:val="0"/>
        <w:color w:val="000000"/>
        <w:spacing w:val="3"/>
        <w:w w:val="100"/>
        <w:sz w:val="23"/>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4F13CC6"/>
    <w:multiLevelType w:val="hybridMultilevel"/>
    <w:tmpl w:val="F2100E04"/>
    <w:lvl w:ilvl="0" w:tplc="0B6EC0F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9" w15:restartNumberingAfterBreak="0">
    <w:nsid w:val="65234C4A"/>
    <w:multiLevelType w:val="hybridMultilevel"/>
    <w:tmpl w:val="0A188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8F6D15"/>
    <w:multiLevelType w:val="hybridMultilevel"/>
    <w:tmpl w:val="352890A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1" w15:restartNumberingAfterBreak="0">
    <w:nsid w:val="66FE6FB4"/>
    <w:multiLevelType w:val="hybridMultilevel"/>
    <w:tmpl w:val="3D4CD572"/>
    <w:lvl w:ilvl="0" w:tplc="4466653C">
      <w:start w:val="125"/>
      <w:numFmt w:val="bullet"/>
      <w:lvlText w:val=""/>
      <w:lvlJc w:val="left"/>
      <w:pPr>
        <w:ind w:left="1080" w:hanging="360"/>
      </w:pPr>
      <w:rPr>
        <w:rFonts w:ascii="Symbol" w:eastAsia="PMingLiU" w:hAnsi="Symbol"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2" w15:restartNumberingAfterBreak="0">
    <w:nsid w:val="67376C2B"/>
    <w:multiLevelType w:val="multilevel"/>
    <w:tmpl w:val="DE249074"/>
    <w:lvl w:ilvl="0">
      <w:start w:val="1"/>
      <w:numFmt w:val="decimal"/>
      <w:lvlText w:val="%1."/>
      <w:lvlJc w:val="left"/>
      <w:pPr>
        <w:ind w:left="360" w:hanging="360"/>
      </w:pPr>
      <w:rPr>
        <w:rFonts w:hint="default"/>
      </w:rPr>
    </w:lvl>
    <w:lvl w:ilvl="1">
      <w:start w:val="1"/>
      <w:numFmt w:val="decimal"/>
      <w:lvlText w:val="%1.%2."/>
      <w:lvlJc w:val="left"/>
      <w:pPr>
        <w:ind w:left="2849" w:hanging="720"/>
      </w:pPr>
      <w:rPr>
        <w:rFonts w:hint="default"/>
      </w:rPr>
    </w:lvl>
    <w:lvl w:ilvl="2">
      <w:start w:val="1"/>
      <w:numFmt w:val="decimal"/>
      <w:lvlText w:val="%1.%2.%3."/>
      <w:lvlJc w:val="left"/>
      <w:pPr>
        <w:ind w:left="4978" w:hanging="720"/>
      </w:pPr>
      <w:rPr>
        <w:rFonts w:hint="default"/>
      </w:rPr>
    </w:lvl>
    <w:lvl w:ilvl="3">
      <w:start w:val="1"/>
      <w:numFmt w:val="decimal"/>
      <w:lvlText w:val="%1.%2.%3.%4."/>
      <w:lvlJc w:val="left"/>
      <w:pPr>
        <w:ind w:left="7467" w:hanging="1080"/>
      </w:pPr>
      <w:rPr>
        <w:rFonts w:hint="default"/>
      </w:rPr>
    </w:lvl>
    <w:lvl w:ilvl="4">
      <w:start w:val="1"/>
      <w:numFmt w:val="decimal"/>
      <w:lvlText w:val="%1.%2.%3.%4.%5."/>
      <w:lvlJc w:val="left"/>
      <w:pPr>
        <w:ind w:left="9596" w:hanging="1080"/>
      </w:pPr>
      <w:rPr>
        <w:rFonts w:hint="default"/>
      </w:rPr>
    </w:lvl>
    <w:lvl w:ilvl="5">
      <w:start w:val="1"/>
      <w:numFmt w:val="decimal"/>
      <w:lvlText w:val="%1.%2.%3.%4.%5.%6."/>
      <w:lvlJc w:val="left"/>
      <w:pPr>
        <w:ind w:left="12085" w:hanging="1440"/>
      </w:pPr>
      <w:rPr>
        <w:rFonts w:hint="default"/>
      </w:rPr>
    </w:lvl>
    <w:lvl w:ilvl="6">
      <w:start w:val="1"/>
      <w:numFmt w:val="decimal"/>
      <w:lvlText w:val="%1.%2.%3.%4.%5.%6.%7."/>
      <w:lvlJc w:val="left"/>
      <w:pPr>
        <w:ind w:left="14214" w:hanging="1440"/>
      </w:pPr>
      <w:rPr>
        <w:rFonts w:hint="default"/>
      </w:rPr>
    </w:lvl>
    <w:lvl w:ilvl="7">
      <w:start w:val="1"/>
      <w:numFmt w:val="decimal"/>
      <w:lvlText w:val="%1.%2.%3.%4.%5.%6.%7.%8."/>
      <w:lvlJc w:val="left"/>
      <w:pPr>
        <w:ind w:left="16703" w:hanging="1800"/>
      </w:pPr>
      <w:rPr>
        <w:rFonts w:hint="default"/>
      </w:rPr>
    </w:lvl>
    <w:lvl w:ilvl="8">
      <w:start w:val="1"/>
      <w:numFmt w:val="decimal"/>
      <w:lvlText w:val="%1.%2.%3.%4.%5.%6.%7.%8.%9."/>
      <w:lvlJc w:val="left"/>
      <w:pPr>
        <w:ind w:left="18832" w:hanging="1800"/>
      </w:pPr>
      <w:rPr>
        <w:rFonts w:hint="default"/>
      </w:rPr>
    </w:lvl>
  </w:abstractNum>
  <w:abstractNum w:abstractNumId="143" w15:restartNumberingAfterBreak="0">
    <w:nsid w:val="673D61D2"/>
    <w:multiLevelType w:val="multilevel"/>
    <w:tmpl w:val="FF5A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85A0329"/>
    <w:multiLevelType w:val="hybridMultilevel"/>
    <w:tmpl w:val="B1DAA34C"/>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5" w15:restartNumberingAfterBreak="0">
    <w:nsid w:val="6AD83117"/>
    <w:multiLevelType w:val="hybridMultilevel"/>
    <w:tmpl w:val="A97CAA36"/>
    <w:lvl w:ilvl="0" w:tplc="845AD9AC">
      <w:start w:val="1"/>
      <w:numFmt w:val="upperLetter"/>
      <w:pStyle w:val="Titre1"/>
      <w:lvlText w:val="%1."/>
      <w:lvlJc w:val="left"/>
      <w:pPr>
        <w:tabs>
          <w:tab w:val="num" w:pos="720"/>
        </w:tabs>
        <w:ind w:left="720" w:hanging="360"/>
      </w:p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6" w15:restartNumberingAfterBreak="0">
    <w:nsid w:val="6B1430CE"/>
    <w:multiLevelType w:val="multilevel"/>
    <w:tmpl w:val="67685F8E"/>
    <w:lvl w:ilvl="0">
      <w:start w:val="1"/>
      <w:numFmt w:val="bullet"/>
      <w:lvlText w:val=""/>
      <w:lvlJc w:val="left"/>
      <w:pPr>
        <w:tabs>
          <w:tab w:val="left" w:pos="-148"/>
        </w:tabs>
        <w:ind w:left="284"/>
      </w:pPr>
      <w:rPr>
        <w:rFonts w:ascii="Wingdings" w:hAnsi="Wingdings"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B706C7B"/>
    <w:multiLevelType w:val="multilevel"/>
    <w:tmpl w:val="F3140FCA"/>
    <w:lvl w:ilvl="0">
      <w:start w:val="1"/>
      <w:numFmt w:val="lowerLetter"/>
      <w:lvlText w:val="%1)"/>
      <w:lvlJc w:val="left"/>
      <w:pPr>
        <w:tabs>
          <w:tab w:val="left" w:pos="-288"/>
        </w:tabs>
        <w:ind w:left="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7B6B2D"/>
    <w:multiLevelType w:val="multilevel"/>
    <w:tmpl w:val="5E64B6A2"/>
    <w:lvl w:ilvl="0">
      <w:start w:val="1"/>
      <w:numFmt w:val="lowerLetter"/>
      <w:lvlText w:val="%1)"/>
      <w:lvlJc w:val="left"/>
      <w:pPr>
        <w:tabs>
          <w:tab w:val="left" w:pos="720"/>
        </w:tabs>
        <w:ind w:left="108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E1A30D8"/>
    <w:multiLevelType w:val="multilevel"/>
    <w:tmpl w:val="AE2C74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F6C4071"/>
    <w:multiLevelType w:val="hybridMultilevel"/>
    <w:tmpl w:val="C4660EF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1" w15:restartNumberingAfterBreak="0">
    <w:nsid w:val="6FB00008"/>
    <w:multiLevelType w:val="hybridMultilevel"/>
    <w:tmpl w:val="E442442C"/>
    <w:lvl w:ilvl="0" w:tplc="98241A58">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2" w15:restartNumberingAfterBreak="0">
    <w:nsid w:val="705E05BB"/>
    <w:multiLevelType w:val="hybridMultilevel"/>
    <w:tmpl w:val="306858DE"/>
    <w:lvl w:ilvl="0" w:tplc="06B23E3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709B33F0"/>
    <w:multiLevelType w:val="hybridMultilevel"/>
    <w:tmpl w:val="80BC2B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4" w15:restartNumberingAfterBreak="0">
    <w:nsid w:val="70B94BBF"/>
    <w:multiLevelType w:val="multilevel"/>
    <w:tmpl w:val="587CDE24"/>
    <w:lvl w:ilvl="0">
      <w:start w:val="1"/>
      <w:numFmt w:val="bullet"/>
      <w:lvlText w:val="-"/>
      <w:lvlJc w:val="left"/>
      <w:pPr>
        <w:tabs>
          <w:tab w:val="left" w:pos="864"/>
        </w:tabs>
        <w:ind w:left="792"/>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23C394A"/>
    <w:multiLevelType w:val="hybridMultilevel"/>
    <w:tmpl w:val="0CD2298A"/>
    <w:lvl w:ilvl="0" w:tplc="223A84F4">
      <w:numFmt w:val="bullet"/>
      <w:lvlText w:val="-"/>
      <w:lvlJc w:val="left"/>
      <w:pPr>
        <w:ind w:left="720" w:hanging="360"/>
      </w:pPr>
      <w:rPr>
        <w:rFonts w:ascii="Times New Roman" w:eastAsia="Times New Roman" w:hAnsi="Times New Roman" w:cs="Times New Roman"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6" w15:restartNumberingAfterBreak="0">
    <w:nsid w:val="731D6D54"/>
    <w:multiLevelType w:val="multilevel"/>
    <w:tmpl w:val="0FAA56BA"/>
    <w:lvl w:ilvl="0">
      <w:start w:val="1"/>
      <w:numFmt w:val="bullet"/>
      <w:lvlText w:val=""/>
      <w:lvlJc w:val="left"/>
      <w:pPr>
        <w:tabs>
          <w:tab w:val="left" w:pos="842"/>
        </w:tabs>
        <w:ind w:left="1418"/>
      </w:pPr>
      <w:rPr>
        <w:rFonts w:ascii="Wingdings" w:hAnsi="Wingdings" w:hint="default"/>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3A13F12"/>
    <w:multiLevelType w:val="hybridMultilevel"/>
    <w:tmpl w:val="C3868B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8" w15:restartNumberingAfterBreak="0">
    <w:nsid w:val="754121D8"/>
    <w:multiLevelType w:val="hybridMultilevel"/>
    <w:tmpl w:val="62F021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9" w15:restartNumberingAfterBreak="0">
    <w:nsid w:val="75AD3B18"/>
    <w:multiLevelType w:val="multilevel"/>
    <w:tmpl w:val="9C2CE386"/>
    <w:lvl w:ilvl="0">
      <w:start w:val="1"/>
      <w:numFmt w:val="decimal"/>
      <w:lvlText w:val="%1)"/>
      <w:lvlJc w:val="left"/>
      <w:pPr>
        <w:tabs>
          <w:tab w:val="left" w:pos="-360"/>
        </w:tabs>
        <w:ind w:left="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6322C24"/>
    <w:multiLevelType w:val="hybridMultilevel"/>
    <w:tmpl w:val="33DE290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1" w15:restartNumberingAfterBreak="0">
    <w:nsid w:val="77670746"/>
    <w:multiLevelType w:val="hybridMultilevel"/>
    <w:tmpl w:val="E258EDFC"/>
    <w:lvl w:ilvl="0" w:tplc="0CFA410C">
      <w:start w:val="125"/>
      <w:numFmt w:val="bullet"/>
      <w:lvlText w:val=""/>
      <w:lvlJc w:val="left"/>
      <w:pPr>
        <w:ind w:left="1778" w:hanging="360"/>
      </w:pPr>
      <w:rPr>
        <w:rFonts w:ascii="Symbol" w:eastAsia="Times New Roman" w:hAnsi="Symbol" w:cs="Calibri Light"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62" w15:restartNumberingAfterBreak="0">
    <w:nsid w:val="77A54BD1"/>
    <w:multiLevelType w:val="multilevel"/>
    <w:tmpl w:val="BC8A7202"/>
    <w:lvl w:ilvl="0">
      <w:start w:val="1"/>
      <w:numFmt w:val="bullet"/>
      <w:lvlText w:val="-"/>
      <w:lvlJc w:val="left"/>
      <w:pPr>
        <w:tabs>
          <w:tab w:val="left" w:pos="360"/>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8CA2283"/>
    <w:multiLevelType w:val="hybridMultilevel"/>
    <w:tmpl w:val="B096065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64" w15:restartNumberingAfterBreak="0">
    <w:nsid w:val="799E7EBF"/>
    <w:multiLevelType w:val="hybridMultilevel"/>
    <w:tmpl w:val="97004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A323177"/>
    <w:multiLevelType w:val="hybridMultilevel"/>
    <w:tmpl w:val="D63EBB5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6" w15:restartNumberingAfterBreak="0">
    <w:nsid w:val="7A3F09CA"/>
    <w:multiLevelType w:val="hybridMultilevel"/>
    <w:tmpl w:val="4E7436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7" w15:restartNumberingAfterBreak="0">
    <w:nsid w:val="7A432059"/>
    <w:multiLevelType w:val="hybridMultilevel"/>
    <w:tmpl w:val="3D9E55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8" w15:restartNumberingAfterBreak="0">
    <w:nsid w:val="7A8E6A36"/>
    <w:multiLevelType w:val="multilevel"/>
    <w:tmpl w:val="DBCEEFD0"/>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CC43E19"/>
    <w:multiLevelType w:val="hybridMultilevel"/>
    <w:tmpl w:val="F2DA3F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0" w15:restartNumberingAfterBreak="0">
    <w:nsid w:val="7CCB4FEB"/>
    <w:multiLevelType w:val="hybridMultilevel"/>
    <w:tmpl w:val="504035C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1" w15:restartNumberingAfterBreak="0">
    <w:nsid w:val="7CF506A1"/>
    <w:multiLevelType w:val="hybridMultilevel"/>
    <w:tmpl w:val="F3943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2" w15:restartNumberingAfterBreak="0">
    <w:nsid w:val="7D3D702A"/>
    <w:multiLevelType w:val="multilevel"/>
    <w:tmpl w:val="ADB2254E"/>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D557B01"/>
    <w:multiLevelType w:val="multilevel"/>
    <w:tmpl w:val="5F8278AE"/>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EA01CFA"/>
    <w:multiLevelType w:val="hybridMultilevel"/>
    <w:tmpl w:val="D9149070"/>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75" w15:restartNumberingAfterBreak="0">
    <w:nsid w:val="7EB007D1"/>
    <w:multiLevelType w:val="hybridMultilevel"/>
    <w:tmpl w:val="0C3A7C6C"/>
    <w:lvl w:ilvl="0" w:tplc="84146DE2">
      <w:numFmt w:val="bullet"/>
      <w:lvlText w:val="-"/>
      <w:lvlJc w:val="left"/>
      <w:pPr>
        <w:ind w:left="790" w:hanging="43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5"/>
  </w:num>
  <w:num w:numId="2">
    <w:abstractNumId w:val="115"/>
  </w:num>
  <w:num w:numId="3">
    <w:abstractNumId w:val="43"/>
  </w:num>
  <w:num w:numId="4">
    <w:abstractNumId w:val="9"/>
  </w:num>
  <w:num w:numId="5">
    <w:abstractNumId w:val="44"/>
  </w:num>
  <w:num w:numId="6">
    <w:abstractNumId w:val="71"/>
  </w:num>
  <w:num w:numId="7">
    <w:abstractNumId w:val="162"/>
  </w:num>
  <w:num w:numId="8">
    <w:abstractNumId w:val="47"/>
  </w:num>
  <w:num w:numId="9">
    <w:abstractNumId w:val="77"/>
  </w:num>
  <w:num w:numId="10">
    <w:abstractNumId w:val="0"/>
  </w:num>
  <w:num w:numId="11">
    <w:abstractNumId w:val="58"/>
    <w:lvlOverride w:ilvl="0">
      <w:startOverride w:val="1"/>
    </w:lvlOverride>
    <w:lvlOverride w:ilvl="1"/>
    <w:lvlOverride w:ilvl="2"/>
    <w:lvlOverride w:ilvl="3"/>
    <w:lvlOverride w:ilvl="4"/>
    <w:lvlOverride w:ilvl="5"/>
    <w:lvlOverride w:ilvl="6"/>
    <w:lvlOverride w:ilvl="7"/>
    <w:lvlOverride w:ilvl="8"/>
  </w:num>
  <w:num w:numId="12">
    <w:abstractNumId w:val="37"/>
  </w:num>
  <w:num w:numId="13">
    <w:abstractNumId w:val="128"/>
  </w:num>
  <w:num w:numId="14">
    <w:abstractNumId w:val="114"/>
  </w:num>
  <w:num w:numId="15">
    <w:abstractNumId w:val="92"/>
  </w:num>
  <w:num w:numId="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7"/>
  </w:num>
  <w:num w:numId="19">
    <w:abstractNumId w:val="155"/>
  </w:num>
  <w:num w:numId="20">
    <w:abstractNumId w:val="31"/>
  </w:num>
  <w:num w:numId="21">
    <w:abstractNumId w:val="106"/>
  </w:num>
  <w:num w:numId="22">
    <w:abstractNumId w:val="15"/>
  </w:num>
  <w:num w:numId="23">
    <w:abstractNumId w:val="24"/>
  </w:num>
  <w:num w:numId="24">
    <w:abstractNumId w:val="78"/>
  </w:num>
  <w:num w:numId="25">
    <w:abstractNumId w:val="93"/>
  </w:num>
  <w:num w:numId="26">
    <w:abstractNumId w:val="173"/>
  </w:num>
  <w:num w:numId="27">
    <w:abstractNumId w:val="94"/>
  </w:num>
  <w:num w:numId="28">
    <w:abstractNumId w:val="22"/>
  </w:num>
  <w:num w:numId="29">
    <w:abstractNumId w:val="154"/>
  </w:num>
  <w:num w:numId="30">
    <w:abstractNumId w:val="132"/>
  </w:num>
  <w:num w:numId="31">
    <w:abstractNumId w:val="96"/>
  </w:num>
  <w:num w:numId="32">
    <w:abstractNumId w:val="121"/>
  </w:num>
  <w:num w:numId="33">
    <w:abstractNumId w:val="3"/>
  </w:num>
  <w:num w:numId="34">
    <w:abstractNumId w:val="147"/>
  </w:num>
  <w:num w:numId="35">
    <w:abstractNumId w:val="20"/>
  </w:num>
  <w:num w:numId="36">
    <w:abstractNumId w:val="63"/>
  </w:num>
  <w:num w:numId="37">
    <w:abstractNumId w:val="70"/>
  </w:num>
  <w:num w:numId="38">
    <w:abstractNumId w:val="135"/>
  </w:num>
  <w:num w:numId="39">
    <w:abstractNumId w:val="51"/>
  </w:num>
  <w:num w:numId="40">
    <w:abstractNumId w:val="131"/>
  </w:num>
  <w:num w:numId="41">
    <w:abstractNumId w:val="125"/>
  </w:num>
  <w:num w:numId="42">
    <w:abstractNumId w:val="66"/>
  </w:num>
  <w:num w:numId="43">
    <w:abstractNumId w:val="34"/>
  </w:num>
  <w:num w:numId="44">
    <w:abstractNumId w:val="56"/>
  </w:num>
  <w:num w:numId="45">
    <w:abstractNumId w:val="8"/>
  </w:num>
  <w:num w:numId="46">
    <w:abstractNumId w:val="28"/>
  </w:num>
  <w:num w:numId="47">
    <w:abstractNumId w:val="72"/>
  </w:num>
  <w:num w:numId="48">
    <w:abstractNumId w:val="75"/>
  </w:num>
  <w:num w:numId="49">
    <w:abstractNumId w:val="17"/>
  </w:num>
  <w:num w:numId="50">
    <w:abstractNumId w:val="127"/>
  </w:num>
  <w:num w:numId="51">
    <w:abstractNumId w:val="138"/>
  </w:num>
  <w:num w:numId="52">
    <w:abstractNumId w:val="42"/>
  </w:num>
  <w:num w:numId="53">
    <w:abstractNumId w:val="141"/>
  </w:num>
  <w:num w:numId="54">
    <w:abstractNumId w:val="161"/>
  </w:num>
  <w:num w:numId="55">
    <w:abstractNumId w:val="101"/>
  </w:num>
  <w:num w:numId="56">
    <w:abstractNumId w:val="115"/>
  </w:num>
  <w:num w:numId="57">
    <w:abstractNumId w:val="115"/>
  </w:num>
  <w:num w:numId="58">
    <w:abstractNumId w:val="115"/>
  </w:num>
  <w:num w:numId="59">
    <w:abstractNumId w:val="115"/>
  </w:num>
  <w:num w:numId="60">
    <w:abstractNumId w:val="142"/>
  </w:num>
  <w:num w:numId="61">
    <w:abstractNumId w:val="115"/>
  </w:num>
  <w:num w:numId="62">
    <w:abstractNumId w:val="115"/>
    <w:lvlOverride w:ilvl="0">
      <w:startOverride w:val="1"/>
    </w:lvlOverride>
    <w:lvlOverride w:ilvl="1">
      <w:startOverride w:val="1"/>
    </w:lvlOverride>
    <w:lvlOverride w:ilvl="2">
      <w:startOverride w:val="1"/>
    </w:lvlOverride>
    <w:lvlOverride w:ilvl="3">
      <w:startOverride w:val="1"/>
    </w:lvlOverride>
  </w:num>
  <w:num w:numId="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num>
  <w:num w:numId="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3"/>
  </w:num>
  <w:num w:numId="7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5"/>
  </w:num>
  <w:num w:numId="76">
    <w:abstractNumId w:val="107"/>
  </w:num>
  <w:num w:numId="77">
    <w:abstractNumId w:val="69"/>
  </w:num>
  <w:num w:numId="78">
    <w:abstractNumId w:val="139"/>
  </w:num>
  <w:num w:numId="79">
    <w:abstractNumId w:val="67"/>
  </w:num>
  <w:num w:numId="80">
    <w:abstractNumId w:val="13"/>
  </w:num>
  <w:num w:numId="81">
    <w:abstractNumId w:val="10"/>
  </w:num>
  <w:num w:numId="82">
    <w:abstractNumId w:val="112"/>
  </w:num>
  <w:num w:numId="8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6"/>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5"/>
  </w:num>
  <w:num w:numId="87">
    <w:abstractNumId w:val="115"/>
  </w:num>
  <w:num w:numId="88">
    <w:abstractNumId w:val="115"/>
  </w:num>
  <w:num w:numId="89">
    <w:abstractNumId w:val="115"/>
  </w:num>
  <w:num w:numId="90">
    <w:abstractNumId w:val="118"/>
  </w:num>
  <w:num w:numId="91">
    <w:abstractNumId w:val="140"/>
  </w:num>
  <w:num w:numId="92">
    <w:abstractNumId w:val="105"/>
  </w:num>
  <w:num w:numId="93">
    <w:abstractNumId w:val="6"/>
  </w:num>
  <w:num w:numId="94">
    <w:abstractNumId w:val="95"/>
  </w:num>
  <w:num w:numId="95">
    <w:abstractNumId w:val="165"/>
  </w:num>
  <w:num w:numId="96">
    <w:abstractNumId w:val="118"/>
  </w:num>
  <w:num w:numId="97">
    <w:abstractNumId w:val="80"/>
  </w:num>
  <w:num w:numId="98">
    <w:abstractNumId w:val="117"/>
  </w:num>
  <w:num w:numId="99">
    <w:abstractNumId w:val="53"/>
  </w:num>
  <w:num w:numId="100">
    <w:abstractNumId w:val="30"/>
  </w:num>
  <w:num w:numId="10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num>
  <w:num w:numId="104">
    <w:abstractNumId w:val="158"/>
  </w:num>
  <w:num w:numId="10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3"/>
  </w:num>
  <w:num w:numId="107">
    <w:abstractNumId w:val="133"/>
  </w:num>
  <w:num w:numId="108">
    <w:abstractNumId w:val="115"/>
  </w:num>
  <w:num w:numId="109">
    <w:abstractNumId w:val="115"/>
  </w:num>
  <w:num w:numId="110">
    <w:abstractNumId w:val="115"/>
  </w:num>
  <w:num w:numId="111">
    <w:abstractNumId w:val="115"/>
  </w:num>
  <w:num w:numId="112">
    <w:abstractNumId w:val="115"/>
  </w:num>
  <w:num w:numId="113">
    <w:abstractNumId w:val="115"/>
  </w:num>
  <w:num w:numId="114">
    <w:abstractNumId w:val="81"/>
  </w:num>
  <w:num w:numId="115">
    <w:abstractNumId w:val="115"/>
  </w:num>
  <w:num w:numId="116">
    <w:abstractNumId w:val="151"/>
  </w:num>
  <w:num w:numId="117">
    <w:abstractNumId w:val="115"/>
  </w:num>
  <w:num w:numId="118">
    <w:abstractNumId w:val="32"/>
  </w:num>
  <w:num w:numId="1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3"/>
  </w:num>
  <w:num w:numId="121">
    <w:abstractNumId w:val="39"/>
  </w:num>
  <w:num w:numId="122">
    <w:abstractNumId w:val="116"/>
  </w:num>
  <w:num w:numId="123">
    <w:abstractNumId w:val="76"/>
  </w:num>
  <w:num w:numId="124">
    <w:abstractNumId w:val="174"/>
  </w:num>
  <w:num w:numId="1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5"/>
  </w:num>
  <w:num w:numId="127">
    <w:abstractNumId w:val="115"/>
  </w:num>
  <w:num w:numId="128">
    <w:abstractNumId w:val="74"/>
  </w:num>
  <w:num w:numId="129">
    <w:abstractNumId w:val="115"/>
  </w:num>
  <w:num w:numId="130">
    <w:abstractNumId w:val="115"/>
  </w:num>
  <w:num w:numId="131">
    <w:abstractNumId w:val="14"/>
  </w:num>
  <w:num w:numId="132">
    <w:abstractNumId w:val="1"/>
  </w:num>
  <w:num w:numId="133">
    <w:abstractNumId w:val="83"/>
  </w:num>
  <w:num w:numId="134">
    <w:abstractNumId w:val="115"/>
  </w:num>
  <w:num w:numId="135">
    <w:abstractNumId w:val="115"/>
  </w:num>
  <w:num w:numId="136">
    <w:abstractNumId w:val="115"/>
  </w:num>
  <w:num w:numId="137">
    <w:abstractNumId w:val="124"/>
  </w:num>
  <w:num w:numId="138">
    <w:abstractNumId w:val="102"/>
  </w:num>
  <w:num w:numId="139">
    <w:abstractNumId w:val="115"/>
  </w:num>
  <w:num w:numId="140">
    <w:abstractNumId w:val="89"/>
  </w:num>
  <w:num w:numId="141">
    <w:abstractNumId w:val="115"/>
  </w:num>
  <w:num w:numId="142">
    <w:abstractNumId w:val="156"/>
  </w:num>
  <w:num w:numId="143">
    <w:abstractNumId w:val="137"/>
  </w:num>
  <w:num w:numId="144">
    <w:abstractNumId w:val="35"/>
  </w:num>
  <w:num w:numId="145">
    <w:abstractNumId w:val="59"/>
  </w:num>
  <w:num w:numId="1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5"/>
  </w:num>
  <w:num w:numId="148">
    <w:abstractNumId w:val="115"/>
  </w:num>
  <w:num w:numId="149">
    <w:abstractNumId w:val="115"/>
  </w:num>
  <w:num w:numId="150">
    <w:abstractNumId w:val="115"/>
  </w:num>
  <w:num w:numId="151">
    <w:abstractNumId w:val="122"/>
  </w:num>
  <w:num w:numId="152">
    <w:abstractNumId w:val="16"/>
  </w:num>
  <w:num w:numId="153">
    <w:abstractNumId w:val="171"/>
  </w:num>
  <w:num w:numId="154">
    <w:abstractNumId w:val="88"/>
  </w:num>
  <w:num w:numId="155">
    <w:abstractNumId w:val="87"/>
  </w:num>
  <w:num w:numId="156">
    <w:abstractNumId w:val="136"/>
  </w:num>
  <w:num w:numId="157">
    <w:abstractNumId w:val="7"/>
  </w:num>
  <w:num w:numId="158">
    <w:abstractNumId w:val="98"/>
  </w:num>
  <w:num w:numId="159">
    <w:abstractNumId w:val="167"/>
  </w:num>
  <w:num w:numId="160">
    <w:abstractNumId w:val="129"/>
  </w:num>
  <w:num w:numId="161">
    <w:abstractNumId w:val="60"/>
  </w:num>
  <w:num w:numId="162">
    <w:abstractNumId w:val="109"/>
  </w:num>
  <w:num w:numId="163">
    <w:abstractNumId w:val="4"/>
  </w:num>
  <w:num w:numId="164">
    <w:abstractNumId w:val="11"/>
  </w:num>
  <w:num w:numId="165">
    <w:abstractNumId w:val="146"/>
  </w:num>
  <w:num w:numId="166">
    <w:abstractNumId w:val="85"/>
  </w:num>
  <w:num w:numId="167">
    <w:abstractNumId w:val="110"/>
  </w:num>
  <w:num w:numId="168">
    <w:abstractNumId w:val="50"/>
  </w:num>
  <w:num w:numId="169">
    <w:abstractNumId w:val="113"/>
  </w:num>
  <w:num w:numId="170">
    <w:abstractNumId w:val="104"/>
  </w:num>
  <w:num w:numId="171">
    <w:abstractNumId w:val="90"/>
  </w:num>
  <w:num w:numId="172">
    <w:abstractNumId w:val="159"/>
  </w:num>
  <w:num w:numId="173">
    <w:abstractNumId w:val="84"/>
  </w:num>
  <w:num w:numId="174">
    <w:abstractNumId w:val="149"/>
  </w:num>
  <w:num w:numId="175">
    <w:abstractNumId w:val="33"/>
  </w:num>
  <w:num w:numId="176">
    <w:abstractNumId w:val="148"/>
  </w:num>
  <w:num w:numId="177">
    <w:abstractNumId w:val="26"/>
  </w:num>
  <w:num w:numId="178">
    <w:abstractNumId w:val="115"/>
  </w:num>
  <w:num w:numId="179">
    <w:abstractNumId w:val="153"/>
  </w:num>
  <w:num w:numId="180">
    <w:abstractNumId w:val="19"/>
  </w:num>
  <w:num w:numId="181">
    <w:abstractNumId w:val="111"/>
  </w:num>
  <w:num w:numId="182">
    <w:abstractNumId w:val="115"/>
  </w:num>
  <w:num w:numId="183">
    <w:abstractNumId w:val="115"/>
  </w:num>
  <w:num w:numId="184">
    <w:abstractNumId w:val="115"/>
  </w:num>
  <w:num w:numId="185">
    <w:abstractNumId w:val="115"/>
  </w:num>
  <w:num w:numId="186">
    <w:abstractNumId w:val="119"/>
  </w:num>
  <w:num w:numId="187">
    <w:abstractNumId w:val="55"/>
  </w:num>
  <w:num w:numId="188">
    <w:abstractNumId w:val="115"/>
  </w:num>
  <w:num w:numId="189">
    <w:abstractNumId w:val="115"/>
  </w:num>
  <w:num w:numId="190">
    <w:abstractNumId w:val="115"/>
  </w:num>
  <w:num w:numId="191">
    <w:abstractNumId w:val="115"/>
  </w:num>
  <w:num w:numId="192">
    <w:abstractNumId w:val="115"/>
  </w:num>
  <w:num w:numId="193">
    <w:abstractNumId w:val="115"/>
  </w:num>
  <w:num w:numId="194">
    <w:abstractNumId w:val="115"/>
  </w:num>
  <w:num w:numId="195">
    <w:abstractNumId w:val="115"/>
  </w:num>
  <w:num w:numId="196">
    <w:abstractNumId w:val="115"/>
  </w:num>
  <w:num w:numId="197">
    <w:abstractNumId w:val="115"/>
  </w:num>
  <w:num w:numId="198">
    <w:abstractNumId w:val="115"/>
  </w:num>
  <w:num w:numId="199">
    <w:abstractNumId w:val="115"/>
  </w:num>
  <w:num w:numId="200">
    <w:abstractNumId w:val="115"/>
  </w:num>
  <w:num w:numId="201">
    <w:abstractNumId w:val="115"/>
  </w:num>
  <w:num w:numId="202">
    <w:abstractNumId w:val="115"/>
  </w:num>
  <w:num w:numId="203">
    <w:abstractNumId w:val="115"/>
  </w:num>
  <w:num w:numId="204">
    <w:abstractNumId w:val="115"/>
  </w:num>
  <w:num w:numId="205">
    <w:abstractNumId w:val="115"/>
  </w:num>
  <w:num w:numId="206">
    <w:abstractNumId w:val="115"/>
  </w:num>
  <w:num w:numId="207">
    <w:abstractNumId w:val="115"/>
  </w:num>
  <w:num w:numId="208">
    <w:abstractNumId w:val="115"/>
  </w:num>
  <w:num w:numId="209">
    <w:abstractNumId w:val="115"/>
  </w:num>
  <w:num w:numId="210">
    <w:abstractNumId w:val="115"/>
  </w:num>
  <w:num w:numId="211">
    <w:abstractNumId w:val="115"/>
  </w:num>
  <w:num w:numId="212">
    <w:abstractNumId w:val="115"/>
  </w:num>
  <w:num w:numId="213">
    <w:abstractNumId w:val="115"/>
  </w:num>
  <w:num w:numId="214">
    <w:abstractNumId w:val="115"/>
  </w:num>
  <w:num w:numId="215">
    <w:abstractNumId w:val="115"/>
  </w:num>
  <w:num w:numId="216">
    <w:abstractNumId w:val="115"/>
  </w:num>
  <w:num w:numId="217">
    <w:abstractNumId w:val="115"/>
  </w:num>
  <w:num w:numId="218">
    <w:abstractNumId w:val="115"/>
  </w:num>
  <w:num w:numId="219">
    <w:abstractNumId w:val="115"/>
  </w:num>
  <w:num w:numId="220">
    <w:abstractNumId w:val="115"/>
  </w:num>
  <w:num w:numId="221">
    <w:abstractNumId w:val="115"/>
  </w:num>
  <w:num w:numId="222">
    <w:abstractNumId w:val="115"/>
  </w:num>
  <w:num w:numId="223">
    <w:abstractNumId w:val="115"/>
  </w:num>
  <w:num w:numId="224">
    <w:abstractNumId w:val="115"/>
  </w:num>
  <w:num w:numId="225">
    <w:abstractNumId w:val="115"/>
  </w:num>
  <w:num w:numId="226">
    <w:abstractNumId w:val="115"/>
  </w:num>
  <w:num w:numId="227">
    <w:abstractNumId w:val="57"/>
  </w:num>
  <w:num w:numId="228">
    <w:abstractNumId w:val="62"/>
  </w:num>
  <w:num w:numId="229">
    <w:abstractNumId w:val="168"/>
  </w:num>
  <w:num w:numId="23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5"/>
  </w:num>
  <w:num w:numId="232">
    <w:abstractNumId w:val="115"/>
  </w:num>
  <w:num w:numId="233">
    <w:abstractNumId w:val="115"/>
  </w:num>
  <w:num w:numId="234">
    <w:abstractNumId w:val="115"/>
  </w:num>
  <w:num w:numId="235">
    <w:abstractNumId w:val="115"/>
  </w:num>
  <w:num w:numId="236">
    <w:abstractNumId w:val="115"/>
  </w:num>
  <w:num w:numId="237">
    <w:abstractNumId w:val="91"/>
  </w:num>
  <w:num w:numId="238">
    <w:abstractNumId w:val="115"/>
  </w:num>
  <w:num w:numId="239">
    <w:abstractNumId w:val="115"/>
  </w:num>
  <w:num w:numId="240">
    <w:abstractNumId w:val="79"/>
  </w:num>
  <w:num w:numId="241">
    <w:abstractNumId w:val="115"/>
  </w:num>
  <w:num w:numId="242">
    <w:abstractNumId w:val="82"/>
  </w:num>
  <w:num w:numId="243">
    <w:abstractNumId w:val="115"/>
  </w:num>
  <w:num w:numId="244">
    <w:abstractNumId w:val="115"/>
  </w:num>
  <w:num w:numId="245">
    <w:abstractNumId w:val="115"/>
  </w:num>
  <w:num w:numId="246">
    <w:abstractNumId w:val="108"/>
  </w:num>
  <w:num w:numId="247">
    <w:abstractNumId w:val="115"/>
  </w:num>
  <w:num w:numId="248">
    <w:abstractNumId w:val="99"/>
  </w:num>
  <w:num w:numId="249">
    <w:abstractNumId w:val="115"/>
  </w:num>
  <w:num w:numId="250">
    <w:abstractNumId w:val="115"/>
  </w:num>
  <w:num w:numId="251">
    <w:abstractNumId w:val="115"/>
  </w:num>
  <w:num w:numId="252">
    <w:abstractNumId w:val="115"/>
  </w:num>
  <w:num w:numId="253">
    <w:abstractNumId w:val="115"/>
  </w:num>
  <w:num w:numId="254">
    <w:abstractNumId w:val="115"/>
  </w:num>
  <w:num w:numId="255">
    <w:abstractNumId w:val="115"/>
  </w:num>
  <w:num w:numId="256">
    <w:abstractNumId w:val="100"/>
  </w:num>
  <w:num w:numId="257">
    <w:abstractNumId w:val="115"/>
  </w:num>
  <w:num w:numId="258">
    <w:abstractNumId w:val="115"/>
  </w:num>
  <w:num w:numId="259">
    <w:abstractNumId w:val="115"/>
  </w:num>
  <w:num w:numId="260">
    <w:abstractNumId w:val="115"/>
  </w:num>
  <w:num w:numId="261">
    <w:abstractNumId w:val="115"/>
  </w:num>
  <w:num w:numId="262">
    <w:abstractNumId w:val="115"/>
  </w:num>
  <w:num w:numId="263">
    <w:abstractNumId w:val="115"/>
  </w:num>
  <w:num w:numId="264">
    <w:abstractNumId w:val="115"/>
  </w:num>
  <w:num w:numId="265">
    <w:abstractNumId w:val="115"/>
  </w:num>
  <w:num w:numId="266">
    <w:abstractNumId w:val="115"/>
  </w:num>
  <w:num w:numId="267">
    <w:abstractNumId w:val="115"/>
  </w:num>
  <w:num w:numId="268">
    <w:abstractNumId w:val="115"/>
  </w:num>
  <w:num w:numId="269">
    <w:abstractNumId w:val="115"/>
  </w:num>
  <w:num w:numId="270">
    <w:abstractNumId w:val="115"/>
  </w:num>
  <w:num w:numId="271">
    <w:abstractNumId w:val="115"/>
  </w:num>
  <w:num w:numId="272">
    <w:abstractNumId w:val="23"/>
  </w:num>
  <w:num w:numId="273">
    <w:abstractNumId w:val="115"/>
  </w:num>
  <w:num w:numId="274">
    <w:abstractNumId w:val="115"/>
  </w:num>
  <w:num w:numId="275">
    <w:abstractNumId w:val="115"/>
  </w:num>
  <w:num w:numId="276">
    <w:abstractNumId w:val="18"/>
  </w:num>
  <w:num w:numId="277">
    <w:abstractNumId w:val="115"/>
  </w:num>
  <w:num w:numId="278">
    <w:abstractNumId w:val="65"/>
  </w:num>
  <w:num w:numId="279">
    <w:abstractNumId w:val="175"/>
  </w:num>
  <w:num w:numId="280">
    <w:abstractNumId w:val="12"/>
  </w:num>
  <w:num w:numId="281">
    <w:abstractNumId w:val="115"/>
  </w:num>
  <w:num w:numId="282">
    <w:abstractNumId w:val="115"/>
  </w:num>
  <w:num w:numId="283">
    <w:abstractNumId w:val="115"/>
  </w:num>
  <w:num w:numId="284">
    <w:abstractNumId w:val="115"/>
  </w:num>
  <w:num w:numId="285">
    <w:abstractNumId w:val="115"/>
  </w:num>
  <w:num w:numId="286">
    <w:abstractNumId w:val="115"/>
  </w:num>
  <w:num w:numId="287">
    <w:abstractNumId w:val="52"/>
  </w:num>
  <w:num w:numId="288">
    <w:abstractNumId w:val="123"/>
  </w:num>
  <w:num w:numId="289">
    <w:abstractNumId w:val="48"/>
  </w:num>
  <w:num w:numId="290">
    <w:abstractNumId w:val="169"/>
  </w:num>
  <w:num w:numId="291">
    <w:abstractNumId w:val="172"/>
  </w:num>
  <w:num w:numId="292">
    <w:abstractNumId w:val="86"/>
  </w:num>
  <w:num w:numId="293">
    <w:abstractNumId w:val="38"/>
  </w:num>
  <w:num w:numId="294">
    <w:abstractNumId w:val="115"/>
  </w:num>
  <w:num w:numId="295">
    <w:abstractNumId w:val="49"/>
  </w:num>
  <w:num w:numId="296">
    <w:abstractNumId w:val="64"/>
  </w:num>
  <w:num w:numId="297">
    <w:abstractNumId w:val="134"/>
  </w:num>
  <w:num w:numId="298">
    <w:abstractNumId w:val="97"/>
  </w:num>
  <w:num w:numId="2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
  </w:num>
  <w:num w:numId="301">
    <w:abstractNumId w:val="115"/>
  </w:num>
  <w:num w:numId="302">
    <w:abstractNumId w:val="157"/>
  </w:num>
  <w:num w:numId="303">
    <w:abstractNumId w:val="144"/>
  </w:num>
  <w:num w:numId="304">
    <w:abstractNumId w:val="40"/>
  </w:num>
  <w:num w:numId="305">
    <w:abstractNumId w:val="152"/>
  </w:num>
  <w:num w:numId="306">
    <w:abstractNumId w:val="115"/>
  </w:num>
  <w:num w:numId="307">
    <w:abstractNumId w:val="115"/>
  </w:num>
  <w:num w:numId="308">
    <w:abstractNumId w:val="115"/>
  </w:num>
  <w:num w:numId="309">
    <w:abstractNumId w:val="115"/>
  </w:num>
  <w:num w:numId="310">
    <w:abstractNumId w:val="115"/>
  </w:num>
  <w:num w:numId="311">
    <w:abstractNumId w:val="115"/>
  </w:num>
  <w:num w:numId="312">
    <w:abstractNumId w:val="103"/>
  </w:num>
  <w:num w:numId="313">
    <w:abstractNumId w:val="21"/>
  </w:num>
  <w:num w:numId="314">
    <w:abstractNumId w:val="46"/>
  </w:num>
  <w:num w:numId="315">
    <w:abstractNumId w:val="68"/>
  </w:num>
  <w:num w:numId="316">
    <w:abstractNumId w:val="45"/>
  </w:num>
  <w:num w:numId="317">
    <w:abstractNumId w:val="126"/>
  </w:num>
  <w:num w:numId="318">
    <w:abstractNumId w:val="164"/>
  </w:num>
  <w:num w:numId="319">
    <w:abstractNumId w:val="25"/>
  </w:num>
  <w:num w:numId="320">
    <w:abstractNumId w:val="29"/>
  </w:num>
  <w:num w:numId="321">
    <w:abstractNumId w:val="120"/>
  </w:num>
  <w:num w:numId="322">
    <w:abstractNumId w:val="5"/>
  </w:num>
  <w:num w:numId="323">
    <w:abstractNumId w:val="115"/>
  </w:num>
  <w:num w:numId="324">
    <w:abstractNumId w:val="115"/>
  </w:num>
  <w:num w:numId="325">
    <w:abstractNumId w:val="115"/>
  </w:num>
  <w:num w:numId="326">
    <w:abstractNumId w:val="115"/>
  </w:num>
  <w:num w:numId="327">
    <w:abstractNumId w:val="115"/>
  </w:num>
  <w:num w:numId="328">
    <w:abstractNumId w:val="115"/>
  </w:num>
  <w:num w:numId="329">
    <w:abstractNumId w:val="115"/>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C0"/>
    <w:rsid w:val="000006B0"/>
    <w:rsid w:val="00001DBD"/>
    <w:rsid w:val="0000347E"/>
    <w:rsid w:val="00003D67"/>
    <w:rsid w:val="00005119"/>
    <w:rsid w:val="00005250"/>
    <w:rsid w:val="0000555D"/>
    <w:rsid w:val="00005F8A"/>
    <w:rsid w:val="00007999"/>
    <w:rsid w:val="00010FF7"/>
    <w:rsid w:val="00011874"/>
    <w:rsid w:val="00011E0F"/>
    <w:rsid w:val="00012AEF"/>
    <w:rsid w:val="00014AFE"/>
    <w:rsid w:val="00015403"/>
    <w:rsid w:val="00015454"/>
    <w:rsid w:val="00016733"/>
    <w:rsid w:val="00016AE8"/>
    <w:rsid w:val="0001720F"/>
    <w:rsid w:val="00023FEE"/>
    <w:rsid w:val="000256F8"/>
    <w:rsid w:val="00026465"/>
    <w:rsid w:val="00031455"/>
    <w:rsid w:val="000314EF"/>
    <w:rsid w:val="00031B09"/>
    <w:rsid w:val="00031FDF"/>
    <w:rsid w:val="000321B8"/>
    <w:rsid w:val="000322A2"/>
    <w:rsid w:val="00032481"/>
    <w:rsid w:val="00032557"/>
    <w:rsid w:val="00032A7A"/>
    <w:rsid w:val="00032F0B"/>
    <w:rsid w:val="00033FF3"/>
    <w:rsid w:val="00034846"/>
    <w:rsid w:val="0003491B"/>
    <w:rsid w:val="000351A7"/>
    <w:rsid w:val="00035571"/>
    <w:rsid w:val="0003564E"/>
    <w:rsid w:val="000361CA"/>
    <w:rsid w:val="00037B94"/>
    <w:rsid w:val="00040D50"/>
    <w:rsid w:val="00040EC9"/>
    <w:rsid w:val="00042B94"/>
    <w:rsid w:val="000434CB"/>
    <w:rsid w:val="0004397B"/>
    <w:rsid w:val="00043BC1"/>
    <w:rsid w:val="00043D81"/>
    <w:rsid w:val="0004428D"/>
    <w:rsid w:val="00044434"/>
    <w:rsid w:val="00044BB5"/>
    <w:rsid w:val="00046186"/>
    <w:rsid w:val="000461C0"/>
    <w:rsid w:val="00046CE1"/>
    <w:rsid w:val="00046E7D"/>
    <w:rsid w:val="000470DD"/>
    <w:rsid w:val="0005008C"/>
    <w:rsid w:val="00050DD1"/>
    <w:rsid w:val="00052AB2"/>
    <w:rsid w:val="00052DA8"/>
    <w:rsid w:val="00054244"/>
    <w:rsid w:val="00054311"/>
    <w:rsid w:val="000543BD"/>
    <w:rsid w:val="00054F3F"/>
    <w:rsid w:val="00055A8A"/>
    <w:rsid w:val="000566FF"/>
    <w:rsid w:val="00056994"/>
    <w:rsid w:val="00056AB8"/>
    <w:rsid w:val="00061AD0"/>
    <w:rsid w:val="00061F33"/>
    <w:rsid w:val="00062C3B"/>
    <w:rsid w:val="0006327F"/>
    <w:rsid w:val="00063A7D"/>
    <w:rsid w:val="00063C5B"/>
    <w:rsid w:val="000662B8"/>
    <w:rsid w:val="00066CE8"/>
    <w:rsid w:val="00070B30"/>
    <w:rsid w:val="00071DC5"/>
    <w:rsid w:val="000723BF"/>
    <w:rsid w:val="00072B24"/>
    <w:rsid w:val="00072FAE"/>
    <w:rsid w:val="00074174"/>
    <w:rsid w:val="00075810"/>
    <w:rsid w:val="00076294"/>
    <w:rsid w:val="00076914"/>
    <w:rsid w:val="000777C7"/>
    <w:rsid w:val="000779C1"/>
    <w:rsid w:val="000811F7"/>
    <w:rsid w:val="00082104"/>
    <w:rsid w:val="0008287A"/>
    <w:rsid w:val="00083F3E"/>
    <w:rsid w:val="00084A68"/>
    <w:rsid w:val="000851EC"/>
    <w:rsid w:val="00085F40"/>
    <w:rsid w:val="00086461"/>
    <w:rsid w:val="00086AC1"/>
    <w:rsid w:val="00087661"/>
    <w:rsid w:val="000943C8"/>
    <w:rsid w:val="00095395"/>
    <w:rsid w:val="00095952"/>
    <w:rsid w:val="00095A9B"/>
    <w:rsid w:val="000963A9"/>
    <w:rsid w:val="0009751D"/>
    <w:rsid w:val="00097AD5"/>
    <w:rsid w:val="000A03D4"/>
    <w:rsid w:val="000A1F3F"/>
    <w:rsid w:val="000A248A"/>
    <w:rsid w:val="000A2510"/>
    <w:rsid w:val="000A2789"/>
    <w:rsid w:val="000A2D19"/>
    <w:rsid w:val="000A3E8F"/>
    <w:rsid w:val="000A3E94"/>
    <w:rsid w:val="000A710B"/>
    <w:rsid w:val="000A7DAE"/>
    <w:rsid w:val="000B02C1"/>
    <w:rsid w:val="000B079D"/>
    <w:rsid w:val="000B0A63"/>
    <w:rsid w:val="000B11B0"/>
    <w:rsid w:val="000B2C5D"/>
    <w:rsid w:val="000B4897"/>
    <w:rsid w:val="000B6DDE"/>
    <w:rsid w:val="000B771C"/>
    <w:rsid w:val="000B77B6"/>
    <w:rsid w:val="000B789D"/>
    <w:rsid w:val="000B7DB2"/>
    <w:rsid w:val="000C0420"/>
    <w:rsid w:val="000C0B75"/>
    <w:rsid w:val="000C0C6C"/>
    <w:rsid w:val="000C1637"/>
    <w:rsid w:val="000C485C"/>
    <w:rsid w:val="000C54C1"/>
    <w:rsid w:val="000C7152"/>
    <w:rsid w:val="000D1193"/>
    <w:rsid w:val="000D122C"/>
    <w:rsid w:val="000D1361"/>
    <w:rsid w:val="000D3B8B"/>
    <w:rsid w:val="000D3FEA"/>
    <w:rsid w:val="000D441C"/>
    <w:rsid w:val="000D4BE7"/>
    <w:rsid w:val="000D4DBB"/>
    <w:rsid w:val="000D624F"/>
    <w:rsid w:val="000D68AA"/>
    <w:rsid w:val="000D74F2"/>
    <w:rsid w:val="000E01F9"/>
    <w:rsid w:val="000E0967"/>
    <w:rsid w:val="000E1CF9"/>
    <w:rsid w:val="000E1DDA"/>
    <w:rsid w:val="000E2083"/>
    <w:rsid w:val="000E4F3B"/>
    <w:rsid w:val="000E57E4"/>
    <w:rsid w:val="000E5811"/>
    <w:rsid w:val="000E5E94"/>
    <w:rsid w:val="000E6871"/>
    <w:rsid w:val="000E694D"/>
    <w:rsid w:val="000E6D3E"/>
    <w:rsid w:val="000F015D"/>
    <w:rsid w:val="000F1785"/>
    <w:rsid w:val="000F211C"/>
    <w:rsid w:val="000F2200"/>
    <w:rsid w:val="000F2BA6"/>
    <w:rsid w:val="000F38CA"/>
    <w:rsid w:val="000F39E3"/>
    <w:rsid w:val="000F3DBD"/>
    <w:rsid w:val="000F4A79"/>
    <w:rsid w:val="000F5824"/>
    <w:rsid w:val="000F5C1E"/>
    <w:rsid w:val="000F62AB"/>
    <w:rsid w:val="000F72F2"/>
    <w:rsid w:val="000F7972"/>
    <w:rsid w:val="001026FA"/>
    <w:rsid w:val="001044C0"/>
    <w:rsid w:val="00105AD1"/>
    <w:rsid w:val="001064E2"/>
    <w:rsid w:val="00107310"/>
    <w:rsid w:val="001073DB"/>
    <w:rsid w:val="0010745F"/>
    <w:rsid w:val="00107837"/>
    <w:rsid w:val="00110C1B"/>
    <w:rsid w:val="0011138A"/>
    <w:rsid w:val="0011344D"/>
    <w:rsid w:val="00113600"/>
    <w:rsid w:val="00113A19"/>
    <w:rsid w:val="001144DC"/>
    <w:rsid w:val="0011455F"/>
    <w:rsid w:val="001162C1"/>
    <w:rsid w:val="001171F0"/>
    <w:rsid w:val="001174FA"/>
    <w:rsid w:val="001177DE"/>
    <w:rsid w:val="00117F4D"/>
    <w:rsid w:val="00121541"/>
    <w:rsid w:val="00121BB0"/>
    <w:rsid w:val="0012275D"/>
    <w:rsid w:val="00123206"/>
    <w:rsid w:val="00123228"/>
    <w:rsid w:val="001240A1"/>
    <w:rsid w:val="001245ED"/>
    <w:rsid w:val="001255F8"/>
    <w:rsid w:val="001259A8"/>
    <w:rsid w:val="001259C0"/>
    <w:rsid w:val="00125B76"/>
    <w:rsid w:val="00126FCF"/>
    <w:rsid w:val="00127EBA"/>
    <w:rsid w:val="001308DF"/>
    <w:rsid w:val="001318EC"/>
    <w:rsid w:val="00131F5C"/>
    <w:rsid w:val="001342D0"/>
    <w:rsid w:val="001357FB"/>
    <w:rsid w:val="00135E45"/>
    <w:rsid w:val="00135F06"/>
    <w:rsid w:val="001362B0"/>
    <w:rsid w:val="001400D4"/>
    <w:rsid w:val="001402E8"/>
    <w:rsid w:val="00140E9C"/>
    <w:rsid w:val="0014374B"/>
    <w:rsid w:val="001456F2"/>
    <w:rsid w:val="00145C86"/>
    <w:rsid w:val="001461BD"/>
    <w:rsid w:val="001504CC"/>
    <w:rsid w:val="001516DA"/>
    <w:rsid w:val="00152A61"/>
    <w:rsid w:val="00153451"/>
    <w:rsid w:val="00156140"/>
    <w:rsid w:val="001561B7"/>
    <w:rsid w:val="00157C8E"/>
    <w:rsid w:val="00161FE4"/>
    <w:rsid w:val="0016204C"/>
    <w:rsid w:val="00162F0E"/>
    <w:rsid w:val="001646D9"/>
    <w:rsid w:val="001678E7"/>
    <w:rsid w:val="00170294"/>
    <w:rsid w:val="0017146B"/>
    <w:rsid w:val="00171B74"/>
    <w:rsid w:val="0017559F"/>
    <w:rsid w:val="00175B50"/>
    <w:rsid w:val="001772D3"/>
    <w:rsid w:val="001773D3"/>
    <w:rsid w:val="00177A7B"/>
    <w:rsid w:val="00177DFD"/>
    <w:rsid w:val="00177E0F"/>
    <w:rsid w:val="00180096"/>
    <w:rsid w:val="0018039E"/>
    <w:rsid w:val="00180559"/>
    <w:rsid w:val="00180F07"/>
    <w:rsid w:val="0018165E"/>
    <w:rsid w:val="00181A16"/>
    <w:rsid w:val="001823B5"/>
    <w:rsid w:val="00183B1D"/>
    <w:rsid w:val="0018478A"/>
    <w:rsid w:val="00184CEA"/>
    <w:rsid w:val="0018706D"/>
    <w:rsid w:val="00190924"/>
    <w:rsid w:val="00190A48"/>
    <w:rsid w:val="001913FC"/>
    <w:rsid w:val="001926D3"/>
    <w:rsid w:val="001935CF"/>
    <w:rsid w:val="001939CE"/>
    <w:rsid w:val="00193D58"/>
    <w:rsid w:val="00196409"/>
    <w:rsid w:val="001966C0"/>
    <w:rsid w:val="00197051"/>
    <w:rsid w:val="00197475"/>
    <w:rsid w:val="001974AD"/>
    <w:rsid w:val="001A0303"/>
    <w:rsid w:val="001A074C"/>
    <w:rsid w:val="001A2A45"/>
    <w:rsid w:val="001A53EB"/>
    <w:rsid w:val="001A5ACC"/>
    <w:rsid w:val="001A5DB1"/>
    <w:rsid w:val="001A6088"/>
    <w:rsid w:val="001A6813"/>
    <w:rsid w:val="001A6905"/>
    <w:rsid w:val="001B1015"/>
    <w:rsid w:val="001B1569"/>
    <w:rsid w:val="001B17EC"/>
    <w:rsid w:val="001B24BD"/>
    <w:rsid w:val="001B2B16"/>
    <w:rsid w:val="001B502E"/>
    <w:rsid w:val="001B50DD"/>
    <w:rsid w:val="001B635A"/>
    <w:rsid w:val="001B7E5C"/>
    <w:rsid w:val="001C06BE"/>
    <w:rsid w:val="001C1D59"/>
    <w:rsid w:val="001C1E71"/>
    <w:rsid w:val="001C2617"/>
    <w:rsid w:val="001C3CF4"/>
    <w:rsid w:val="001C3D8C"/>
    <w:rsid w:val="001C3EA5"/>
    <w:rsid w:val="001C5F2B"/>
    <w:rsid w:val="001C658D"/>
    <w:rsid w:val="001C7CA7"/>
    <w:rsid w:val="001D1024"/>
    <w:rsid w:val="001D1731"/>
    <w:rsid w:val="001D1DD9"/>
    <w:rsid w:val="001D1F70"/>
    <w:rsid w:val="001D2329"/>
    <w:rsid w:val="001D2BB0"/>
    <w:rsid w:val="001D3395"/>
    <w:rsid w:val="001D33E9"/>
    <w:rsid w:val="001D44F1"/>
    <w:rsid w:val="001D49D0"/>
    <w:rsid w:val="001D5368"/>
    <w:rsid w:val="001D599E"/>
    <w:rsid w:val="001D685D"/>
    <w:rsid w:val="001D6A79"/>
    <w:rsid w:val="001E098B"/>
    <w:rsid w:val="001E0A00"/>
    <w:rsid w:val="001E0AF4"/>
    <w:rsid w:val="001E10A5"/>
    <w:rsid w:val="001E12BB"/>
    <w:rsid w:val="001E1353"/>
    <w:rsid w:val="001E178F"/>
    <w:rsid w:val="001E1C45"/>
    <w:rsid w:val="001E4456"/>
    <w:rsid w:val="001E47BC"/>
    <w:rsid w:val="001E4B87"/>
    <w:rsid w:val="001E537F"/>
    <w:rsid w:val="001E6163"/>
    <w:rsid w:val="001E6C5A"/>
    <w:rsid w:val="001F0A88"/>
    <w:rsid w:val="001F0D98"/>
    <w:rsid w:val="001F22EA"/>
    <w:rsid w:val="001F2F24"/>
    <w:rsid w:val="001F2FAD"/>
    <w:rsid w:val="001F44AF"/>
    <w:rsid w:val="001F508E"/>
    <w:rsid w:val="001F5FB5"/>
    <w:rsid w:val="001F6ECF"/>
    <w:rsid w:val="001F70EB"/>
    <w:rsid w:val="001F727D"/>
    <w:rsid w:val="001F771B"/>
    <w:rsid w:val="0020033A"/>
    <w:rsid w:val="002017D0"/>
    <w:rsid w:val="00201E97"/>
    <w:rsid w:val="00202306"/>
    <w:rsid w:val="002026DB"/>
    <w:rsid w:val="002036F1"/>
    <w:rsid w:val="00203954"/>
    <w:rsid w:val="00206E97"/>
    <w:rsid w:val="002101BF"/>
    <w:rsid w:val="00211C58"/>
    <w:rsid w:val="0021272A"/>
    <w:rsid w:val="00212ACF"/>
    <w:rsid w:val="00212CAF"/>
    <w:rsid w:val="00213196"/>
    <w:rsid w:val="0021392E"/>
    <w:rsid w:val="00214701"/>
    <w:rsid w:val="00214D0D"/>
    <w:rsid w:val="00215DE9"/>
    <w:rsid w:val="00215F84"/>
    <w:rsid w:val="002178C3"/>
    <w:rsid w:val="00221BF5"/>
    <w:rsid w:val="00221F1B"/>
    <w:rsid w:val="002246CF"/>
    <w:rsid w:val="00225EA1"/>
    <w:rsid w:val="00226143"/>
    <w:rsid w:val="00226268"/>
    <w:rsid w:val="00227086"/>
    <w:rsid w:val="0022735E"/>
    <w:rsid w:val="002276C5"/>
    <w:rsid w:val="00230C54"/>
    <w:rsid w:val="00231604"/>
    <w:rsid w:val="00232316"/>
    <w:rsid w:val="002328AB"/>
    <w:rsid w:val="002339E0"/>
    <w:rsid w:val="002353AB"/>
    <w:rsid w:val="00235F28"/>
    <w:rsid w:val="00236526"/>
    <w:rsid w:val="0023664E"/>
    <w:rsid w:val="002376D1"/>
    <w:rsid w:val="00240A67"/>
    <w:rsid w:val="00243635"/>
    <w:rsid w:val="00243897"/>
    <w:rsid w:val="002439A5"/>
    <w:rsid w:val="00243D96"/>
    <w:rsid w:val="002451E9"/>
    <w:rsid w:val="002453B0"/>
    <w:rsid w:val="00247D0D"/>
    <w:rsid w:val="002504E8"/>
    <w:rsid w:val="0025122B"/>
    <w:rsid w:val="00252BDC"/>
    <w:rsid w:val="00254CCB"/>
    <w:rsid w:val="00254D07"/>
    <w:rsid w:val="00254E29"/>
    <w:rsid w:val="0025638A"/>
    <w:rsid w:val="002565AB"/>
    <w:rsid w:val="00256E9F"/>
    <w:rsid w:val="00257583"/>
    <w:rsid w:val="00257704"/>
    <w:rsid w:val="00257BEB"/>
    <w:rsid w:val="00260335"/>
    <w:rsid w:val="0026097F"/>
    <w:rsid w:val="00261B7D"/>
    <w:rsid w:val="00263259"/>
    <w:rsid w:val="00263864"/>
    <w:rsid w:val="0026451E"/>
    <w:rsid w:val="00265340"/>
    <w:rsid w:val="002661F4"/>
    <w:rsid w:val="00270327"/>
    <w:rsid w:val="00270DCC"/>
    <w:rsid w:val="0027177F"/>
    <w:rsid w:val="0027229E"/>
    <w:rsid w:val="00274029"/>
    <w:rsid w:val="002755AF"/>
    <w:rsid w:val="0027625F"/>
    <w:rsid w:val="00276F16"/>
    <w:rsid w:val="00277F18"/>
    <w:rsid w:val="002805F6"/>
    <w:rsid w:val="00280CFA"/>
    <w:rsid w:val="002812F1"/>
    <w:rsid w:val="0028144E"/>
    <w:rsid w:val="002822B9"/>
    <w:rsid w:val="0028243D"/>
    <w:rsid w:val="0028272E"/>
    <w:rsid w:val="00282EBE"/>
    <w:rsid w:val="002833AB"/>
    <w:rsid w:val="0028386D"/>
    <w:rsid w:val="00283913"/>
    <w:rsid w:val="0028398E"/>
    <w:rsid w:val="002841A4"/>
    <w:rsid w:val="002849AE"/>
    <w:rsid w:val="00284AEC"/>
    <w:rsid w:val="00285C09"/>
    <w:rsid w:val="0028628B"/>
    <w:rsid w:val="0028666A"/>
    <w:rsid w:val="00286880"/>
    <w:rsid w:val="00287A97"/>
    <w:rsid w:val="00287D6C"/>
    <w:rsid w:val="00287DFC"/>
    <w:rsid w:val="0029025E"/>
    <w:rsid w:val="00290856"/>
    <w:rsid w:val="00290E3F"/>
    <w:rsid w:val="00291F04"/>
    <w:rsid w:val="00292825"/>
    <w:rsid w:val="00293728"/>
    <w:rsid w:val="0029646A"/>
    <w:rsid w:val="002A1046"/>
    <w:rsid w:val="002A1161"/>
    <w:rsid w:val="002A1B92"/>
    <w:rsid w:val="002A3E0C"/>
    <w:rsid w:val="002A5187"/>
    <w:rsid w:val="002A5E9A"/>
    <w:rsid w:val="002A6C9F"/>
    <w:rsid w:val="002A704D"/>
    <w:rsid w:val="002A73C1"/>
    <w:rsid w:val="002A7D13"/>
    <w:rsid w:val="002A7E7A"/>
    <w:rsid w:val="002B0522"/>
    <w:rsid w:val="002B0713"/>
    <w:rsid w:val="002B1002"/>
    <w:rsid w:val="002B11E2"/>
    <w:rsid w:val="002B1D5F"/>
    <w:rsid w:val="002B2A05"/>
    <w:rsid w:val="002B2C52"/>
    <w:rsid w:val="002B3530"/>
    <w:rsid w:val="002B3636"/>
    <w:rsid w:val="002B40A9"/>
    <w:rsid w:val="002B47D4"/>
    <w:rsid w:val="002B5C7C"/>
    <w:rsid w:val="002B6504"/>
    <w:rsid w:val="002C1A5A"/>
    <w:rsid w:val="002C3A6C"/>
    <w:rsid w:val="002C3FC2"/>
    <w:rsid w:val="002C4374"/>
    <w:rsid w:val="002C560F"/>
    <w:rsid w:val="002C69BC"/>
    <w:rsid w:val="002C6B32"/>
    <w:rsid w:val="002D26DE"/>
    <w:rsid w:val="002D4589"/>
    <w:rsid w:val="002D45C7"/>
    <w:rsid w:val="002D7ED4"/>
    <w:rsid w:val="002E07D4"/>
    <w:rsid w:val="002E1116"/>
    <w:rsid w:val="002E191A"/>
    <w:rsid w:val="002E1CB4"/>
    <w:rsid w:val="002E1D87"/>
    <w:rsid w:val="002E28F5"/>
    <w:rsid w:val="002E4936"/>
    <w:rsid w:val="002E4B5F"/>
    <w:rsid w:val="002E4F27"/>
    <w:rsid w:val="002E65F1"/>
    <w:rsid w:val="002E6A01"/>
    <w:rsid w:val="002E7775"/>
    <w:rsid w:val="002F0147"/>
    <w:rsid w:val="002F0880"/>
    <w:rsid w:val="002F0C79"/>
    <w:rsid w:val="002F0F80"/>
    <w:rsid w:val="002F2617"/>
    <w:rsid w:val="002F2849"/>
    <w:rsid w:val="002F4432"/>
    <w:rsid w:val="002F4547"/>
    <w:rsid w:val="002F45FA"/>
    <w:rsid w:val="002F4885"/>
    <w:rsid w:val="002F558C"/>
    <w:rsid w:val="002F5816"/>
    <w:rsid w:val="002F6F15"/>
    <w:rsid w:val="002F704D"/>
    <w:rsid w:val="002F7E60"/>
    <w:rsid w:val="00300305"/>
    <w:rsid w:val="00302D4E"/>
    <w:rsid w:val="00302E01"/>
    <w:rsid w:val="00303431"/>
    <w:rsid w:val="003039D3"/>
    <w:rsid w:val="003047FF"/>
    <w:rsid w:val="0030541A"/>
    <w:rsid w:val="003059B8"/>
    <w:rsid w:val="00305A3C"/>
    <w:rsid w:val="00305A51"/>
    <w:rsid w:val="003070EA"/>
    <w:rsid w:val="0031154C"/>
    <w:rsid w:val="00311CC3"/>
    <w:rsid w:val="00311D2F"/>
    <w:rsid w:val="00311F09"/>
    <w:rsid w:val="003121F5"/>
    <w:rsid w:val="003123A7"/>
    <w:rsid w:val="00312C1B"/>
    <w:rsid w:val="00312E34"/>
    <w:rsid w:val="003130F5"/>
    <w:rsid w:val="00313700"/>
    <w:rsid w:val="00313BC0"/>
    <w:rsid w:val="00314303"/>
    <w:rsid w:val="00314F7C"/>
    <w:rsid w:val="00315C83"/>
    <w:rsid w:val="00315F8B"/>
    <w:rsid w:val="003174A3"/>
    <w:rsid w:val="00317BD1"/>
    <w:rsid w:val="0032021A"/>
    <w:rsid w:val="00321916"/>
    <w:rsid w:val="00322AAF"/>
    <w:rsid w:val="00322FF3"/>
    <w:rsid w:val="003234DC"/>
    <w:rsid w:val="00323757"/>
    <w:rsid w:val="00323B9F"/>
    <w:rsid w:val="003243F5"/>
    <w:rsid w:val="003244DB"/>
    <w:rsid w:val="00325080"/>
    <w:rsid w:val="00325C51"/>
    <w:rsid w:val="0032674E"/>
    <w:rsid w:val="00326957"/>
    <w:rsid w:val="00326CD6"/>
    <w:rsid w:val="00327889"/>
    <w:rsid w:val="00327E72"/>
    <w:rsid w:val="0033088D"/>
    <w:rsid w:val="0033182F"/>
    <w:rsid w:val="003318BA"/>
    <w:rsid w:val="00331C15"/>
    <w:rsid w:val="003327D8"/>
    <w:rsid w:val="00333270"/>
    <w:rsid w:val="00334364"/>
    <w:rsid w:val="0033578B"/>
    <w:rsid w:val="00336EBB"/>
    <w:rsid w:val="00337119"/>
    <w:rsid w:val="0033765C"/>
    <w:rsid w:val="00337E2C"/>
    <w:rsid w:val="00337F21"/>
    <w:rsid w:val="003407DB"/>
    <w:rsid w:val="00340BA2"/>
    <w:rsid w:val="003435AF"/>
    <w:rsid w:val="00343B15"/>
    <w:rsid w:val="00343D91"/>
    <w:rsid w:val="00344189"/>
    <w:rsid w:val="003443EF"/>
    <w:rsid w:val="003447FC"/>
    <w:rsid w:val="00344B96"/>
    <w:rsid w:val="00345164"/>
    <w:rsid w:val="003475EF"/>
    <w:rsid w:val="00350525"/>
    <w:rsid w:val="003549AB"/>
    <w:rsid w:val="0035523B"/>
    <w:rsid w:val="00355B1B"/>
    <w:rsid w:val="0035630A"/>
    <w:rsid w:val="003567C4"/>
    <w:rsid w:val="00360EE6"/>
    <w:rsid w:val="00361A55"/>
    <w:rsid w:val="00361B7F"/>
    <w:rsid w:val="0036362F"/>
    <w:rsid w:val="0036483B"/>
    <w:rsid w:val="00366C28"/>
    <w:rsid w:val="003670E5"/>
    <w:rsid w:val="00367F81"/>
    <w:rsid w:val="00371232"/>
    <w:rsid w:val="00371A15"/>
    <w:rsid w:val="00371FBC"/>
    <w:rsid w:val="0037322F"/>
    <w:rsid w:val="00375232"/>
    <w:rsid w:val="003802F1"/>
    <w:rsid w:val="003807F5"/>
    <w:rsid w:val="0038087F"/>
    <w:rsid w:val="00380ED1"/>
    <w:rsid w:val="0038100C"/>
    <w:rsid w:val="00381644"/>
    <w:rsid w:val="00381B19"/>
    <w:rsid w:val="00381B43"/>
    <w:rsid w:val="00382B93"/>
    <w:rsid w:val="0038330A"/>
    <w:rsid w:val="00384D7E"/>
    <w:rsid w:val="00384F13"/>
    <w:rsid w:val="0038530D"/>
    <w:rsid w:val="00385431"/>
    <w:rsid w:val="00385D47"/>
    <w:rsid w:val="00386096"/>
    <w:rsid w:val="00386116"/>
    <w:rsid w:val="00390BC1"/>
    <w:rsid w:val="00390CC3"/>
    <w:rsid w:val="003914E1"/>
    <w:rsid w:val="00391C3A"/>
    <w:rsid w:val="00394832"/>
    <w:rsid w:val="00394F8E"/>
    <w:rsid w:val="003959B9"/>
    <w:rsid w:val="00395C20"/>
    <w:rsid w:val="003960D4"/>
    <w:rsid w:val="0039733D"/>
    <w:rsid w:val="00397D73"/>
    <w:rsid w:val="003A003A"/>
    <w:rsid w:val="003A0462"/>
    <w:rsid w:val="003A0B7D"/>
    <w:rsid w:val="003A0CE3"/>
    <w:rsid w:val="003A0F68"/>
    <w:rsid w:val="003A1854"/>
    <w:rsid w:val="003A19DE"/>
    <w:rsid w:val="003A367B"/>
    <w:rsid w:val="003A37A3"/>
    <w:rsid w:val="003A3E72"/>
    <w:rsid w:val="003A4851"/>
    <w:rsid w:val="003A4DE9"/>
    <w:rsid w:val="003A657B"/>
    <w:rsid w:val="003A6785"/>
    <w:rsid w:val="003A6B99"/>
    <w:rsid w:val="003A750D"/>
    <w:rsid w:val="003A7881"/>
    <w:rsid w:val="003A7D98"/>
    <w:rsid w:val="003B0044"/>
    <w:rsid w:val="003B0359"/>
    <w:rsid w:val="003B03FE"/>
    <w:rsid w:val="003B5600"/>
    <w:rsid w:val="003B583C"/>
    <w:rsid w:val="003B6D20"/>
    <w:rsid w:val="003B7AF1"/>
    <w:rsid w:val="003C0A75"/>
    <w:rsid w:val="003C0CE2"/>
    <w:rsid w:val="003C0E2C"/>
    <w:rsid w:val="003C0E3A"/>
    <w:rsid w:val="003C17B2"/>
    <w:rsid w:val="003C273D"/>
    <w:rsid w:val="003C45DB"/>
    <w:rsid w:val="003D042E"/>
    <w:rsid w:val="003D0481"/>
    <w:rsid w:val="003D1B1D"/>
    <w:rsid w:val="003D1B97"/>
    <w:rsid w:val="003D2B5E"/>
    <w:rsid w:val="003D2F82"/>
    <w:rsid w:val="003D4900"/>
    <w:rsid w:val="003D4ED8"/>
    <w:rsid w:val="003D6169"/>
    <w:rsid w:val="003D6247"/>
    <w:rsid w:val="003D68FE"/>
    <w:rsid w:val="003D726D"/>
    <w:rsid w:val="003D7394"/>
    <w:rsid w:val="003D78BF"/>
    <w:rsid w:val="003E13A2"/>
    <w:rsid w:val="003E1810"/>
    <w:rsid w:val="003E1CB1"/>
    <w:rsid w:val="003E25AF"/>
    <w:rsid w:val="003E28AF"/>
    <w:rsid w:val="003E4318"/>
    <w:rsid w:val="003E5247"/>
    <w:rsid w:val="003F0063"/>
    <w:rsid w:val="003F03AD"/>
    <w:rsid w:val="003F0B7B"/>
    <w:rsid w:val="003F17A3"/>
    <w:rsid w:val="003F47DF"/>
    <w:rsid w:val="003F52A4"/>
    <w:rsid w:val="003F5A44"/>
    <w:rsid w:val="003F68B4"/>
    <w:rsid w:val="00400E6C"/>
    <w:rsid w:val="0040328A"/>
    <w:rsid w:val="004035DD"/>
    <w:rsid w:val="00403788"/>
    <w:rsid w:val="00403BB3"/>
    <w:rsid w:val="00403D86"/>
    <w:rsid w:val="004041E6"/>
    <w:rsid w:val="00405917"/>
    <w:rsid w:val="00406039"/>
    <w:rsid w:val="0041061D"/>
    <w:rsid w:val="00410F05"/>
    <w:rsid w:val="004115B1"/>
    <w:rsid w:val="00413885"/>
    <w:rsid w:val="0041465F"/>
    <w:rsid w:val="00414677"/>
    <w:rsid w:val="00414A23"/>
    <w:rsid w:val="00416909"/>
    <w:rsid w:val="00417473"/>
    <w:rsid w:val="0042031D"/>
    <w:rsid w:val="00421E0F"/>
    <w:rsid w:val="0042207C"/>
    <w:rsid w:val="00422AA4"/>
    <w:rsid w:val="004240E1"/>
    <w:rsid w:val="00424771"/>
    <w:rsid w:val="004247D1"/>
    <w:rsid w:val="00424D83"/>
    <w:rsid w:val="0042690C"/>
    <w:rsid w:val="00426AB3"/>
    <w:rsid w:val="00426E14"/>
    <w:rsid w:val="00430632"/>
    <w:rsid w:val="00430A98"/>
    <w:rsid w:val="004340EA"/>
    <w:rsid w:val="00434136"/>
    <w:rsid w:val="00434194"/>
    <w:rsid w:val="004343B1"/>
    <w:rsid w:val="0043554F"/>
    <w:rsid w:val="00435741"/>
    <w:rsid w:val="00436C12"/>
    <w:rsid w:val="0043746E"/>
    <w:rsid w:val="00440005"/>
    <w:rsid w:val="0044101F"/>
    <w:rsid w:val="0044274F"/>
    <w:rsid w:val="00443178"/>
    <w:rsid w:val="004435D3"/>
    <w:rsid w:val="00444CF9"/>
    <w:rsid w:val="00444F42"/>
    <w:rsid w:val="00445D3C"/>
    <w:rsid w:val="0044610C"/>
    <w:rsid w:val="0044660E"/>
    <w:rsid w:val="004475F1"/>
    <w:rsid w:val="004508C9"/>
    <w:rsid w:val="004509F8"/>
    <w:rsid w:val="00451AC7"/>
    <w:rsid w:val="00452946"/>
    <w:rsid w:val="0045326F"/>
    <w:rsid w:val="00453744"/>
    <w:rsid w:val="00453CB4"/>
    <w:rsid w:val="00453DE5"/>
    <w:rsid w:val="004541A5"/>
    <w:rsid w:val="0045425D"/>
    <w:rsid w:val="00454FDD"/>
    <w:rsid w:val="004561F7"/>
    <w:rsid w:val="004572F2"/>
    <w:rsid w:val="0046017C"/>
    <w:rsid w:val="004605EA"/>
    <w:rsid w:val="00460F83"/>
    <w:rsid w:val="00462CD1"/>
    <w:rsid w:val="004647E8"/>
    <w:rsid w:val="00464EE4"/>
    <w:rsid w:val="004672E1"/>
    <w:rsid w:val="00467E48"/>
    <w:rsid w:val="00470E80"/>
    <w:rsid w:val="00471D05"/>
    <w:rsid w:val="00472036"/>
    <w:rsid w:val="00472D1F"/>
    <w:rsid w:val="004744E9"/>
    <w:rsid w:val="00474A8F"/>
    <w:rsid w:val="00475C19"/>
    <w:rsid w:val="00476138"/>
    <w:rsid w:val="0047712E"/>
    <w:rsid w:val="00477181"/>
    <w:rsid w:val="00477D68"/>
    <w:rsid w:val="00481BFC"/>
    <w:rsid w:val="00481CA3"/>
    <w:rsid w:val="00482295"/>
    <w:rsid w:val="004828B1"/>
    <w:rsid w:val="00483EFD"/>
    <w:rsid w:val="004845EF"/>
    <w:rsid w:val="00485422"/>
    <w:rsid w:val="00485E63"/>
    <w:rsid w:val="00486E17"/>
    <w:rsid w:val="0048738D"/>
    <w:rsid w:val="00487B4C"/>
    <w:rsid w:val="00487D14"/>
    <w:rsid w:val="00490C68"/>
    <w:rsid w:val="0049103E"/>
    <w:rsid w:val="00491632"/>
    <w:rsid w:val="00491648"/>
    <w:rsid w:val="00493337"/>
    <w:rsid w:val="004936B8"/>
    <w:rsid w:val="00493B97"/>
    <w:rsid w:val="00494241"/>
    <w:rsid w:val="0049430A"/>
    <w:rsid w:val="004952BF"/>
    <w:rsid w:val="00496FC3"/>
    <w:rsid w:val="004A0EA9"/>
    <w:rsid w:val="004A17F3"/>
    <w:rsid w:val="004A262B"/>
    <w:rsid w:val="004A2669"/>
    <w:rsid w:val="004A27FA"/>
    <w:rsid w:val="004A2966"/>
    <w:rsid w:val="004A32EB"/>
    <w:rsid w:val="004A3D53"/>
    <w:rsid w:val="004A48F5"/>
    <w:rsid w:val="004A4A60"/>
    <w:rsid w:val="004A760A"/>
    <w:rsid w:val="004B0360"/>
    <w:rsid w:val="004B0B47"/>
    <w:rsid w:val="004B213F"/>
    <w:rsid w:val="004B3342"/>
    <w:rsid w:val="004B3921"/>
    <w:rsid w:val="004B407E"/>
    <w:rsid w:val="004B4A86"/>
    <w:rsid w:val="004B67CF"/>
    <w:rsid w:val="004B6CFF"/>
    <w:rsid w:val="004B6E6B"/>
    <w:rsid w:val="004B7CBF"/>
    <w:rsid w:val="004C0409"/>
    <w:rsid w:val="004C2BB2"/>
    <w:rsid w:val="004C4113"/>
    <w:rsid w:val="004C440E"/>
    <w:rsid w:val="004C4DC1"/>
    <w:rsid w:val="004C527F"/>
    <w:rsid w:val="004C5964"/>
    <w:rsid w:val="004C5B6F"/>
    <w:rsid w:val="004C701F"/>
    <w:rsid w:val="004D0FC9"/>
    <w:rsid w:val="004D122A"/>
    <w:rsid w:val="004D1C7C"/>
    <w:rsid w:val="004D2E59"/>
    <w:rsid w:val="004D3291"/>
    <w:rsid w:val="004D432E"/>
    <w:rsid w:val="004D4442"/>
    <w:rsid w:val="004D6458"/>
    <w:rsid w:val="004D6B92"/>
    <w:rsid w:val="004D6C36"/>
    <w:rsid w:val="004E075F"/>
    <w:rsid w:val="004E108A"/>
    <w:rsid w:val="004E1E5D"/>
    <w:rsid w:val="004E2A78"/>
    <w:rsid w:val="004E2CD8"/>
    <w:rsid w:val="004E4535"/>
    <w:rsid w:val="004E47F9"/>
    <w:rsid w:val="004E49DE"/>
    <w:rsid w:val="004E4E41"/>
    <w:rsid w:val="004E4E8D"/>
    <w:rsid w:val="004E67AC"/>
    <w:rsid w:val="004E72AB"/>
    <w:rsid w:val="004F00CA"/>
    <w:rsid w:val="004F17CB"/>
    <w:rsid w:val="004F330C"/>
    <w:rsid w:val="004F3DCC"/>
    <w:rsid w:val="004F40BF"/>
    <w:rsid w:val="004F506E"/>
    <w:rsid w:val="004F5CEF"/>
    <w:rsid w:val="004F5D3B"/>
    <w:rsid w:val="004F7F87"/>
    <w:rsid w:val="00503913"/>
    <w:rsid w:val="00505625"/>
    <w:rsid w:val="00505A65"/>
    <w:rsid w:val="005060AF"/>
    <w:rsid w:val="00507D08"/>
    <w:rsid w:val="00510403"/>
    <w:rsid w:val="0051095A"/>
    <w:rsid w:val="00511929"/>
    <w:rsid w:val="005133F3"/>
    <w:rsid w:val="00513537"/>
    <w:rsid w:val="00513B3C"/>
    <w:rsid w:val="00513E03"/>
    <w:rsid w:val="00513E39"/>
    <w:rsid w:val="00513E46"/>
    <w:rsid w:val="005155C1"/>
    <w:rsid w:val="00516A9F"/>
    <w:rsid w:val="005174B9"/>
    <w:rsid w:val="005176E6"/>
    <w:rsid w:val="00521E1C"/>
    <w:rsid w:val="005221EE"/>
    <w:rsid w:val="00522E89"/>
    <w:rsid w:val="00526546"/>
    <w:rsid w:val="00526A46"/>
    <w:rsid w:val="005274E4"/>
    <w:rsid w:val="0053006F"/>
    <w:rsid w:val="00531B89"/>
    <w:rsid w:val="00531BF8"/>
    <w:rsid w:val="00532C5D"/>
    <w:rsid w:val="00534E2F"/>
    <w:rsid w:val="00536B51"/>
    <w:rsid w:val="0054036A"/>
    <w:rsid w:val="00540736"/>
    <w:rsid w:val="00540F2F"/>
    <w:rsid w:val="00540F33"/>
    <w:rsid w:val="00541870"/>
    <w:rsid w:val="00541AFA"/>
    <w:rsid w:val="005438AF"/>
    <w:rsid w:val="005455C7"/>
    <w:rsid w:val="0054682B"/>
    <w:rsid w:val="0054696B"/>
    <w:rsid w:val="00546E3A"/>
    <w:rsid w:val="00547CAF"/>
    <w:rsid w:val="00553D05"/>
    <w:rsid w:val="005547D1"/>
    <w:rsid w:val="0055531D"/>
    <w:rsid w:val="00555C69"/>
    <w:rsid w:val="00556EE1"/>
    <w:rsid w:val="00557098"/>
    <w:rsid w:val="00560CBF"/>
    <w:rsid w:val="00561227"/>
    <w:rsid w:val="00561267"/>
    <w:rsid w:val="00562411"/>
    <w:rsid w:val="00563663"/>
    <w:rsid w:val="00563F6B"/>
    <w:rsid w:val="00564360"/>
    <w:rsid w:val="00565234"/>
    <w:rsid w:val="00567584"/>
    <w:rsid w:val="00570691"/>
    <w:rsid w:val="00570F36"/>
    <w:rsid w:val="005721C7"/>
    <w:rsid w:val="00572F09"/>
    <w:rsid w:val="00572F9C"/>
    <w:rsid w:val="00573599"/>
    <w:rsid w:val="00573D8C"/>
    <w:rsid w:val="00573E5A"/>
    <w:rsid w:val="00574D9B"/>
    <w:rsid w:val="0057520F"/>
    <w:rsid w:val="00575728"/>
    <w:rsid w:val="00575B2A"/>
    <w:rsid w:val="00576EF5"/>
    <w:rsid w:val="00576F9A"/>
    <w:rsid w:val="0057785D"/>
    <w:rsid w:val="00577F11"/>
    <w:rsid w:val="00581DAD"/>
    <w:rsid w:val="005821A6"/>
    <w:rsid w:val="005822A6"/>
    <w:rsid w:val="005824AA"/>
    <w:rsid w:val="00582A82"/>
    <w:rsid w:val="00582FBC"/>
    <w:rsid w:val="0058421C"/>
    <w:rsid w:val="00584539"/>
    <w:rsid w:val="00584A3B"/>
    <w:rsid w:val="00585088"/>
    <w:rsid w:val="00585569"/>
    <w:rsid w:val="00587071"/>
    <w:rsid w:val="005923BD"/>
    <w:rsid w:val="00592408"/>
    <w:rsid w:val="00594BF0"/>
    <w:rsid w:val="00594F93"/>
    <w:rsid w:val="0059625F"/>
    <w:rsid w:val="005A1851"/>
    <w:rsid w:val="005A26D8"/>
    <w:rsid w:val="005A3B76"/>
    <w:rsid w:val="005A3E74"/>
    <w:rsid w:val="005A4B54"/>
    <w:rsid w:val="005A676C"/>
    <w:rsid w:val="005A7D89"/>
    <w:rsid w:val="005A7F65"/>
    <w:rsid w:val="005B06A3"/>
    <w:rsid w:val="005B0BDC"/>
    <w:rsid w:val="005B0E59"/>
    <w:rsid w:val="005B1BDF"/>
    <w:rsid w:val="005B2457"/>
    <w:rsid w:val="005B484B"/>
    <w:rsid w:val="005B4AFA"/>
    <w:rsid w:val="005B5904"/>
    <w:rsid w:val="005B5A4A"/>
    <w:rsid w:val="005B6AFC"/>
    <w:rsid w:val="005B7823"/>
    <w:rsid w:val="005B7E8F"/>
    <w:rsid w:val="005B7FEB"/>
    <w:rsid w:val="005C084C"/>
    <w:rsid w:val="005C0C29"/>
    <w:rsid w:val="005C499C"/>
    <w:rsid w:val="005C4DA7"/>
    <w:rsid w:val="005C50B8"/>
    <w:rsid w:val="005C67E3"/>
    <w:rsid w:val="005C7BD6"/>
    <w:rsid w:val="005D0C86"/>
    <w:rsid w:val="005D1C24"/>
    <w:rsid w:val="005D1E26"/>
    <w:rsid w:val="005D20BD"/>
    <w:rsid w:val="005D2C71"/>
    <w:rsid w:val="005D3CCC"/>
    <w:rsid w:val="005D3E6F"/>
    <w:rsid w:val="005D5751"/>
    <w:rsid w:val="005D6F82"/>
    <w:rsid w:val="005D77D1"/>
    <w:rsid w:val="005E1E9C"/>
    <w:rsid w:val="005E3BE0"/>
    <w:rsid w:val="005E4439"/>
    <w:rsid w:val="005E467C"/>
    <w:rsid w:val="005E4EEF"/>
    <w:rsid w:val="005E597D"/>
    <w:rsid w:val="005E6B68"/>
    <w:rsid w:val="005E7402"/>
    <w:rsid w:val="005E75A0"/>
    <w:rsid w:val="005F0382"/>
    <w:rsid w:val="005F0767"/>
    <w:rsid w:val="005F0978"/>
    <w:rsid w:val="005F170B"/>
    <w:rsid w:val="005F200D"/>
    <w:rsid w:val="005F3DAC"/>
    <w:rsid w:val="005F3F2F"/>
    <w:rsid w:val="005F3F99"/>
    <w:rsid w:val="005F4C75"/>
    <w:rsid w:val="005F4CED"/>
    <w:rsid w:val="005F6B10"/>
    <w:rsid w:val="005F75AD"/>
    <w:rsid w:val="005F7FC1"/>
    <w:rsid w:val="0060515B"/>
    <w:rsid w:val="00605445"/>
    <w:rsid w:val="0060592F"/>
    <w:rsid w:val="00606113"/>
    <w:rsid w:val="00610FD3"/>
    <w:rsid w:val="00611B22"/>
    <w:rsid w:val="00611BC4"/>
    <w:rsid w:val="006126A1"/>
    <w:rsid w:val="00613E2F"/>
    <w:rsid w:val="006145D3"/>
    <w:rsid w:val="00615583"/>
    <w:rsid w:val="006156E2"/>
    <w:rsid w:val="00616120"/>
    <w:rsid w:val="00616461"/>
    <w:rsid w:val="00616C4D"/>
    <w:rsid w:val="00617612"/>
    <w:rsid w:val="00617615"/>
    <w:rsid w:val="006204B0"/>
    <w:rsid w:val="006208CF"/>
    <w:rsid w:val="00620C88"/>
    <w:rsid w:val="00621352"/>
    <w:rsid w:val="006216FD"/>
    <w:rsid w:val="006225A7"/>
    <w:rsid w:val="00622A36"/>
    <w:rsid w:val="00622B11"/>
    <w:rsid w:val="00622D16"/>
    <w:rsid w:val="00622DA2"/>
    <w:rsid w:val="00623107"/>
    <w:rsid w:val="00623D5C"/>
    <w:rsid w:val="00624235"/>
    <w:rsid w:val="00625093"/>
    <w:rsid w:val="0062559D"/>
    <w:rsid w:val="00625C34"/>
    <w:rsid w:val="0062640D"/>
    <w:rsid w:val="00627551"/>
    <w:rsid w:val="00627DD1"/>
    <w:rsid w:val="006300C8"/>
    <w:rsid w:val="006306EC"/>
    <w:rsid w:val="00630921"/>
    <w:rsid w:val="00630967"/>
    <w:rsid w:val="006316EA"/>
    <w:rsid w:val="00631D6F"/>
    <w:rsid w:val="006336AC"/>
    <w:rsid w:val="00634079"/>
    <w:rsid w:val="00634339"/>
    <w:rsid w:val="0063496E"/>
    <w:rsid w:val="00634A52"/>
    <w:rsid w:val="00635221"/>
    <w:rsid w:val="0063725C"/>
    <w:rsid w:val="00637E07"/>
    <w:rsid w:val="0064008F"/>
    <w:rsid w:val="006402A2"/>
    <w:rsid w:val="00643EAC"/>
    <w:rsid w:val="00644D97"/>
    <w:rsid w:val="00645066"/>
    <w:rsid w:val="0064789E"/>
    <w:rsid w:val="00647919"/>
    <w:rsid w:val="00647C80"/>
    <w:rsid w:val="00651B59"/>
    <w:rsid w:val="00651F9B"/>
    <w:rsid w:val="00654F7E"/>
    <w:rsid w:val="00654FA4"/>
    <w:rsid w:val="0065625F"/>
    <w:rsid w:val="00657539"/>
    <w:rsid w:val="006607ED"/>
    <w:rsid w:val="00661296"/>
    <w:rsid w:val="006638E5"/>
    <w:rsid w:val="00663A3E"/>
    <w:rsid w:val="0066411E"/>
    <w:rsid w:val="00665967"/>
    <w:rsid w:val="00665DF4"/>
    <w:rsid w:val="00667012"/>
    <w:rsid w:val="00667C7C"/>
    <w:rsid w:val="00671240"/>
    <w:rsid w:val="00671518"/>
    <w:rsid w:val="00672BB2"/>
    <w:rsid w:val="0067312E"/>
    <w:rsid w:val="00674C4D"/>
    <w:rsid w:val="006752AE"/>
    <w:rsid w:val="00675B8A"/>
    <w:rsid w:val="0067660A"/>
    <w:rsid w:val="00676C80"/>
    <w:rsid w:val="006804F9"/>
    <w:rsid w:val="006812CA"/>
    <w:rsid w:val="00681510"/>
    <w:rsid w:val="00681CF5"/>
    <w:rsid w:val="0068263C"/>
    <w:rsid w:val="006834BC"/>
    <w:rsid w:val="0068356A"/>
    <w:rsid w:val="006835C9"/>
    <w:rsid w:val="00683A92"/>
    <w:rsid w:val="006843B9"/>
    <w:rsid w:val="006844C1"/>
    <w:rsid w:val="006854FB"/>
    <w:rsid w:val="0068619A"/>
    <w:rsid w:val="00690046"/>
    <w:rsid w:val="006905E9"/>
    <w:rsid w:val="00691103"/>
    <w:rsid w:val="006933D7"/>
    <w:rsid w:val="00693611"/>
    <w:rsid w:val="00695063"/>
    <w:rsid w:val="00695421"/>
    <w:rsid w:val="00695745"/>
    <w:rsid w:val="00695A86"/>
    <w:rsid w:val="00695EAF"/>
    <w:rsid w:val="00696DB2"/>
    <w:rsid w:val="006A000B"/>
    <w:rsid w:val="006A073F"/>
    <w:rsid w:val="006A11AD"/>
    <w:rsid w:val="006A11AF"/>
    <w:rsid w:val="006A1440"/>
    <w:rsid w:val="006A269D"/>
    <w:rsid w:val="006A2F4A"/>
    <w:rsid w:val="006A40FC"/>
    <w:rsid w:val="006A50FD"/>
    <w:rsid w:val="006A53EC"/>
    <w:rsid w:val="006A5DF0"/>
    <w:rsid w:val="006A6899"/>
    <w:rsid w:val="006A79F5"/>
    <w:rsid w:val="006B005F"/>
    <w:rsid w:val="006B0406"/>
    <w:rsid w:val="006B0766"/>
    <w:rsid w:val="006B19CA"/>
    <w:rsid w:val="006B1AFC"/>
    <w:rsid w:val="006B26C8"/>
    <w:rsid w:val="006B2F77"/>
    <w:rsid w:val="006B38E5"/>
    <w:rsid w:val="006B47EE"/>
    <w:rsid w:val="006B499E"/>
    <w:rsid w:val="006B58FE"/>
    <w:rsid w:val="006B59B2"/>
    <w:rsid w:val="006B5E2E"/>
    <w:rsid w:val="006B610B"/>
    <w:rsid w:val="006C043F"/>
    <w:rsid w:val="006C2113"/>
    <w:rsid w:val="006C2A96"/>
    <w:rsid w:val="006C35D2"/>
    <w:rsid w:val="006C3D36"/>
    <w:rsid w:val="006C5698"/>
    <w:rsid w:val="006C6AB2"/>
    <w:rsid w:val="006C6D04"/>
    <w:rsid w:val="006C7578"/>
    <w:rsid w:val="006C7878"/>
    <w:rsid w:val="006C7CA8"/>
    <w:rsid w:val="006D032E"/>
    <w:rsid w:val="006D2A01"/>
    <w:rsid w:val="006D3567"/>
    <w:rsid w:val="006D54DB"/>
    <w:rsid w:val="006D6133"/>
    <w:rsid w:val="006D6B33"/>
    <w:rsid w:val="006D6B9E"/>
    <w:rsid w:val="006D701D"/>
    <w:rsid w:val="006D7201"/>
    <w:rsid w:val="006D7820"/>
    <w:rsid w:val="006E039D"/>
    <w:rsid w:val="006E30EF"/>
    <w:rsid w:val="006E344A"/>
    <w:rsid w:val="006E467E"/>
    <w:rsid w:val="006E473D"/>
    <w:rsid w:val="006E474C"/>
    <w:rsid w:val="006E4CC0"/>
    <w:rsid w:val="006E4E87"/>
    <w:rsid w:val="006E508C"/>
    <w:rsid w:val="006E55FE"/>
    <w:rsid w:val="006E5C80"/>
    <w:rsid w:val="006E61B7"/>
    <w:rsid w:val="006F0486"/>
    <w:rsid w:val="006F0634"/>
    <w:rsid w:val="006F2055"/>
    <w:rsid w:val="006F317E"/>
    <w:rsid w:val="006F3527"/>
    <w:rsid w:val="006F3ADF"/>
    <w:rsid w:val="006F5267"/>
    <w:rsid w:val="006F5884"/>
    <w:rsid w:val="006F5D41"/>
    <w:rsid w:val="006F7C51"/>
    <w:rsid w:val="00700A6A"/>
    <w:rsid w:val="00701116"/>
    <w:rsid w:val="00701BBD"/>
    <w:rsid w:val="00703185"/>
    <w:rsid w:val="00703A89"/>
    <w:rsid w:val="00703E12"/>
    <w:rsid w:val="00705A12"/>
    <w:rsid w:val="00705F1E"/>
    <w:rsid w:val="00706CA9"/>
    <w:rsid w:val="007071D9"/>
    <w:rsid w:val="00711B74"/>
    <w:rsid w:val="00712807"/>
    <w:rsid w:val="007128A7"/>
    <w:rsid w:val="00712BD5"/>
    <w:rsid w:val="0071316C"/>
    <w:rsid w:val="0071350C"/>
    <w:rsid w:val="00713978"/>
    <w:rsid w:val="007144A2"/>
    <w:rsid w:val="0071515C"/>
    <w:rsid w:val="00715AF8"/>
    <w:rsid w:val="00717113"/>
    <w:rsid w:val="00717562"/>
    <w:rsid w:val="00720911"/>
    <w:rsid w:val="0072135E"/>
    <w:rsid w:val="00723E75"/>
    <w:rsid w:val="00724594"/>
    <w:rsid w:val="00725B81"/>
    <w:rsid w:val="00725DDC"/>
    <w:rsid w:val="00725FD2"/>
    <w:rsid w:val="00726E12"/>
    <w:rsid w:val="00730AF0"/>
    <w:rsid w:val="007319A5"/>
    <w:rsid w:val="007322A4"/>
    <w:rsid w:val="00732598"/>
    <w:rsid w:val="007334BF"/>
    <w:rsid w:val="00733944"/>
    <w:rsid w:val="0073453B"/>
    <w:rsid w:val="00736808"/>
    <w:rsid w:val="007377DF"/>
    <w:rsid w:val="00737946"/>
    <w:rsid w:val="00741043"/>
    <w:rsid w:val="007433A9"/>
    <w:rsid w:val="00745184"/>
    <w:rsid w:val="00745683"/>
    <w:rsid w:val="0074634B"/>
    <w:rsid w:val="007511DA"/>
    <w:rsid w:val="007517C0"/>
    <w:rsid w:val="007518A9"/>
    <w:rsid w:val="00752378"/>
    <w:rsid w:val="00753782"/>
    <w:rsid w:val="00754005"/>
    <w:rsid w:val="00754167"/>
    <w:rsid w:val="00757432"/>
    <w:rsid w:val="00757BFE"/>
    <w:rsid w:val="007609FA"/>
    <w:rsid w:val="00763B63"/>
    <w:rsid w:val="00763EDF"/>
    <w:rsid w:val="00766255"/>
    <w:rsid w:val="007662C1"/>
    <w:rsid w:val="00766645"/>
    <w:rsid w:val="00767A6F"/>
    <w:rsid w:val="00767B25"/>
    <w:rsid w:val="00770067"/>
    <w:rsid w:val="00770751"/>
    <w:rsid w:val="00770FE1"/>
    <w:rsid w:val="007716D7"/>
    <w:rsid w:val="007718CA"/>
    <w:rsid w:val="00772601"/>
    <w:rsid w:val="00773A89"/>
    <w:rsid w:val="0077467A"/>
    <w:rsid w:val="00774CA9"/>
    <w:rsid w:val="0077501D"/>
    <w:rsid w:val="007753BC"/>
    <w:rsid w:val="007755D5"/>
    <w:rsid w:val="00777886"/>
    <w:rsid w:val="00777BEB"/>
    <w:rsid w:val="00780ABB"/>
    <w:rsid w:val="00783BAA"/>
    <w:rsid w:val="00784153"/>
    <w:rsid w:val="007846B2"/>
    <w:rsid w:val="0078480D"/>
    <w:rsid w:val="007855E9"/>
    <w:rsid w:val="00786080"/>
    <w:rsid w:val="00787482"/>
    <w:rsid w:val="00792279"/>
    <w:rsid w:val="00792703"/>
    <w:rsid w:val="00792F8A"/>
    <w:rsid w:val="0079336C"/>
    <w:rsid w:val="00793616"/>
    <w:rsid w:val="00794390"/>
    <w:rsid w:val="007952CF"/>
    <w:rsid w:val="00795857"/>
    <w:rsid w:val="00795CFD"/>
    <w:rsid w:val="00795E5F"/>
    <w:rsid w:val="007964D5"/>
    <w:rsid w:val="00796D2C"/>
    <w:rsid w:val="007970C8"/>
    <w:rsid w:val="00797482"/>
    <w:rsid w:val="00797BD7"/>
    <w:rsid w:val="007A009B"/>
    <w:rsid w:val="007A0411"/>
    <w:rsid w:val="007A0B06"/>
    <w:rsid w:val="007A10F4"/>
    <w:rsid w:val="007A2019"/>
    <w:rsid w:val="007A5706"/>
    <w:rsid w:val="007A5C98"/>
    <w:rsid w:val="007A5FEF"/>
    <w:rsid w:val="007A6904"/>
    <w:rsid w:val="007A7236"/>
    <w:rsid w:val="007A7E8B"/>
    <w:rsid w:val="007B0192"/>
    <w:rsid w:val="007B15CD"/>
    <w:rsid w:val="007B1A99"/>
    <w:rsid w:val="007B1F6A"/>
    <w:rsid w:val="007B2083"/>
    <w:rsid w:val="007B26C0"/>
    <w:rsid w:val="007B26ED"/>
    <w:rsid w:val="007B3374"/>
    <w:rsid w:val="007B56CE"/>
    <w:rsid w:val="007B56F9"/>
    <w:rsid w:val="007B62A5"/>
    <w:rsid w:val="007B7200"/>
    <w:rsid w:val="007B7BD1"/>
    <w:rsid w:val="007C013F"/>
    <w:rsid w:val="007C0C42"/>
    <w:rsid w:val="007C16C9"/>
    <w:rsid w:val="007C2580"/>
    <w:rsid w:val="007C26EE"/>
    <w:rsid w:val="007C3330"/>
    <w:rsid w:val="007C345B"/>
    <w:rsid w:val="007C386D"/>
    <w:rsid w:val="007C3B5A"/>
    <w:rsid w:val="007C4AAA"/>
    <w:rsid w:val="007C4D2D"/>
    <w:rsid w:val="007C63D7"/>
    <w:rsid w:val="007C7F09"/>
    <w:rsid w:val="007D03B3"/>
    <w:rsid w:val="007D0F19"/>
    <w:rsid w:val="007D154D"/>
    <w:rsid w:val="007D25BA"/>
    <w:rsid w:val="007D2ACC"/>
    <w:rsid w:val="007D33C8"/>
    <w:rsid w:val="007D4A50"/>
    <w:rsid w:val="007D66F9"/>
    <w:rsid w:val="007D6979"/>
    <w:rsid w:val="007D7615"/>
    <w:rsid w:val="007E023C"/>
    <w:rsid w:val="007E074C"/>
    <w:rsid w:val="007E1D5B"/>
    <w:rsid w:val="007E25B1"/>
    <w:rsid w:val="007E2B18"/>
    <w:rsid w:val="007E352F"/>
    <w:rsid w:val="007E35CE"/>
    <w:rsid w:val="007E3ED0"/>
    <w:rsid w:val="007E61C7"/>
    <w:rsid w:val="007E6367"/>
    <w:rsid w:val="007E6775"/>
    <w:rsid w:val="007E7D96"/>
    <w:rsid w:val="007F02CC"/>
    <w:rsid w:val="007F0AFC"/>
    <w:rsid w:val="007F109A"/>
    <w:rsid w:val="007F1890"/>
    <w:rsid w:val="007F1AC5"/>
    <w:rsid w:val="007F2733"/>
    <w:rsid w:val="007F34B4"/>
    <w:rsid w:val="007F34F8"/>
    <w:rsid w:val="007F583F"/>
    <w:rsid w:val="007F62F8"/>
    <w:rsid w:val="007F7141"/>
    <w:rsid w:val="0080092D"/>
    <w:rsid w:val="0080147C"/>
    <w:rsid w:val="008018E4"/>
    <w:rsid w:val="00801A2B"/>
    <w:rsid w:val="00802CB6"/>
    <w:rsid w:val="00802E0D"/>
    <w:rsid w:val="00803D88"/>
    <w:rsid w:val="008042F1"/>
    <w:rsid w:val="008048DE"/>
    <w:rsid w:val="00804EAE"/>
    <w:rsid w:val="00805FA2"/>
    <w:rsid w:val="0081335C"/>
    <w:rsid w:val="0081403D"/>
    <w:rsid w:val="008144FA"/>
    <w:rsid w:val="008157B5"/>
    <w:rsid w:val="008219FF"/>
    <w:rsid w:val="00821C8C"/>
    <w:rsid w:val="008250A9"/>
    <w:rsid w:val="008260EB"/>
    <w:rsid w:val="0082681A"/>
    <w:rsid w:val="00826CAD"/>
    <w:rsid w:val="00830983"/>
    <w:rsid w:val="00830FFE"/>
    <w:rsid w:val="0083300C"/>
    <w:rsid w:val="00834BF7"/>
    <w:rsid w:val="008353A6"/>
    <w:rsid w:val="0083663C"/>
    <w:rsid w:val="00837FD0"/>
    <w:rsid w:val="0084016F"/>
    <w:rsid w:val="0084076C"/>
    <w:rsid w:val="0084158B"/>
    <w:rsid w:val="00841E9A"/>
    <w:rsid w:val="00841FC6"/>
    <w:rsid w:val="00842991"/>
    <w:rsid w:val="008430F6"/>
    <w:rsid w:val="008458B0"/>
    <w:rsid w:val="00845E90"/>
    <w:rsid w:val="00851E9E"/>
    <w:rsid w:val="0085222A"/>
    <w:rsid w:val="0085328A"/>
    <w:rsid w:val="00854CBA"/>
    <w:rsid w:val="00854F48"/>
    <w:rsid w:val="0085507D"/>
    <w:rsid w:val="00857108"/>
    <w:rsid w:val="00857D92"/>
    <w:rsid w:val="00860F85"/>
    <w:rsid w:val="00863A4B"/>
    <w:rsid w:val="008651D3"/>
    <w:rsid w:val="00865CB5"/>
    <w:rsid w:val="00866F0E"/>
    <w:rsid w:val="00871E26"/>
    <w:rsid w:val="008722FF"/>
    <w:rsid w:val="00872C4A"/>
    <w:rsid w:val="008733C0"/>
    <w:rsid w:val="008743FE"/>
    <w:rsid w:val="00877D7E"/>
    <w:rsid w:val="00880278"/>
    <w:rsid w:val="00882165"/>
    <w:rsid w:val="008835FC"/>
    <w:rsid w:val="00884260"/>
    <w:rsid w:val="008854B2"/>
    <w:rsid w:val="00886ED8"/>
    <w:rsid w:val="00890407"/>
    <w:rsid w:val="00890852"/>
    <w:rsid w:val="00891E79"/>
    <w:rsid w:val="0089210B"/>
    <w:rsid w:val="00892531"/>
    <w:rsid w:val="00892BCF"/>
    <w:rsid w:val="00892FFC"/>
    <w:rsid w:val="0089574C"/>
    <w:rsid w:val="00895EAA"/>
    <w:rsid w:val="00895F08"/>
    <w:rsid w:val="00896271"/>
    <w:rsid w:val="00897D19"/>
    <w:rsid w:val="008A21AC"/>
    <w:rsid w:val="008A23C7"/>
    <w:rsid w:val="008A40E8"/>
    <w:rsid w:val="008A49F2"/>
    <w:rsid w:val="008A4D51"/>
    <w:rsid w:val="008A59E1"/>
    <w:rsid w:val="008A619D"/>
    <w:rsid w:val="008A68C8"/>
    <w:rsid w:val="008A6AD6"/>
    <w:rsid w:val="008A6BD6"/>
    <w:rsid w:val="008A75BB"/>
    <w:rsid w:val="008B09B0"/>
    <w:rsid w:val="008B0A44"/>
    <w:rsid w:val="008B1081"/>
    <w:rsid w:val="008B1D06"/>
    <w:rsid w:val="008B2575"/>
    <w:rsid w:val="008B2DB9"/>
    <w:rsid w:val="008B2E20"/>
    <w:rsid w:val="008B2E55"/>
    <w:rsid w:val="008B3B87"/>
    <w:rsid w:val="008B47E2"/>
    <w:rsid w:val="008B5FD3"/>
    <w:rsid w:val="008B6620"/>
    <w:rsid w:val="008B6D04"/>
    <w:rsid w:val="008B6D82"/>
    <w:rsid w:val="008C07CA"/>
    <w:rsid w:val="008C1333"/>
    <w:rsid w:val="008C2138"/>
    <w:rsid w:val="008C243D"/>
    <w:rsid w:val="008C2A25"/>
    <w:rsid w:val="008C2DD7"/>
    <w:rsid w:val="008C2FA4"/>
    <w:rsid w:val="008C33A8"/>
    <w:rsid w:val="008C3FFA"/>
    <w:rsid w:val="008C48F7"/>
    <w:rsid w:val="008C5868"/>
    <w:rsid w:val="008C5E39"/>
    <w:rsid w:val="008C6E7C"/>
    <w:rsid w:val="008C6F06"/>
    <w:rsid w:val="008D040C"/>
    <w:rsid w:val="008D0765"/>
    <w:rsid w:val="008D0CC3"/>
    <w:rsid w:val="008D1529"/>
    <w:rsid w:val="008D396C"/>
    <w:rsid w:val="008D4481"/>
    <w:rsid w:val="008D5D16"/>
    <w:rsid w:val="008D5F1C"/>
    <w:rsid w:val="008D668F"/>
    <w:rsid w:val="008D7641"/>
    <w:rsid w:val="008D775C"/>
    <w:rsid w:val="008D7A2A"/>
    <w:rsid w:val="008D7EB7"/>
    <w:rsid w:val="008E0762"/>
    <w:rsid w:val="008E2608"/>
    <w:rsid w:val="008E2B35"/>
    <w:rsid w:val="008E3A66"/>
    <w:rsid w:val="008E3C72"/>
    <w:rsid w:val="008E507D"/>
    <w:rsid w:val="008E576F"/>
    <w:rsid w:val="008E6538"/>
    <w:rsid w:val="008E76F2"/>
    <w:rsid w:val="008F08E0"/>
    <w:rsid w:val="008F2BB0"/>
    <w:rsid w:val="008F2C83"/>
    <w:rsid w:val="008F333F"/>
    <w:rsid w:val="008F37ED"/>
    <w:rsid w:val="008F46A7"/>
    <w:rsid w:val="008F718B"/>
    <w:rsid w:val="008F78A6"/>
    <w:rsid w:val="008F7977"/>
    <w:rsid w:val="00900C39"/>
    <w:rsid w:val="009022C3"/>
    <w:rsid w:val="00902733"/>
    <w:rsid w:val="00902B4D"/>
    <w:rsid w:val="00902F4F"/>
    <w:rsid w:val="00903267"/>
    <w:rsid w:val="00903DBC"/>
    <w:rsid w:val="00903F42"/>
    <w:rsid w:val="009041F6"/>
    <w:rsid w:val="0090429A"/>
    <w:rsid w:val="00904ABA"/>
    <w:rsid w:val="0090768A"/>
    <w:rsid w:val="0091148D"/>
    <w:rsid w:val="009154D8"/>
    <w:rsid w:val="009159B5"/>
    <w:rsid w:val="00915F50"/>
    <w:rsid w:val="0091719F"/>
    <w:rsid w:val="009200B9"/>
    <w:rsid w:val="009200BC"/>
    <w:rsid w:val="00920AE4"/>
    <w:rsid w:val="00920E06"/>
    <w:rsid w:val="009210C3"/>
    <w:rsid w:val="00921138"/>
    <w:rsid w:val="00921D5B"/>
    <w:rsid w:val="00921FA7"/>
    <w:rsid w:val="0092204C"/>
    <w:rsid w:val="00922D16"/>
    <w:rsid w:val="00922E43"/>
    <w:rsid w:val="0092365D"/>
    <w:rsid w:val="00923D5C"/>
    <w:rsid w:val="009240FF"/>
    <w:rsid w:val="00924A8F"/>
    <w:rsid w:val="00925915"/>
    <w:rsid w:val="00925E8F"/>
    <w:rsid w:val="0092610E"/>
    <w:rsid w:val="00926996"/>
    <w:rsid w:val="0092721E"/>
    <w:rsid w:val="00927C5A"/>
    <w:rsid w:val="00927EB1"/>
    <w:rsid w:val="00930462"/>
    <w:rsid w:val="00930BDC"/>
    <w:rsid w:val="00930E3E"/>
    <w:rsid w:val="009315DC"/>
    <w:rsid w:val="00931860"/>
    <w:rsid w:val="009324D4"/>
    <w:rsid w:val="00933126"/>
    <w:rsid w:val="00933C0B"/>
    <w:rsid w:val="00934569"/>
    <w:rsid w:val="00934BC3"/>
    <w:rsid w:val="00934E07"/>
    <w:rsid w:val="009353AC"/>
    <w:rsid w:val="00935D55"/>
    <w:rsid w:val="009374B6"/>
    <w:rsid w:val="009402F2"/>
    <w:rsid w:val="00941754"/>
    <w:rsid w:val="009425E4"/>
    <w:rsid w:val="00943E57"/>
    <w:rsid w:val="00944BC7"/>
    <w:rsid w:val="00944C56"/>
    <w:rsid w:val="00944D1B"/>
    <w:rsid w:val="0094525A"/>
    <w:rsid w:val="00945630"/>
    <w:rsid w:val="00945A6F"/>
    <w:rsid w:val="009462D3"/>
    <w:rsid w:val="00947641"/>
    <w:rsid w:val="00947F10"/>
    <w:rsid w:val="0095173F"/>
    <w:rsid w:val="00951CCC"/>
    <w:rsid w:val="00952704"/>
    <w:rsid w:val="0095329E"/>
    <w:rsid w:val="009538BF"/>
    <w:rsid w:val="00954208"/>
    <w:rsid w:val="00954594"/>
    <w:rsid w:val="00954869"/>
    <w:rsid w:val="00954B84"/>
    <w:rsid w:val="0095611A"/>
    <w:rsid w:val="009572DB"/>
    <w:rsid w:val="00957AC9"/>
    <w:rsid w:val="00957D30"/>
    <w:rsid w:val="00957DEC"/>
    <w:rsid w:val="00957F90"/>
    <w:rsid w:val="00961214"/>
    <w:rsid w:val="00961297"/>
    <w:rsid w:val="00964935"/>
    <w:rsid w:val="00964C4B"/>
    <w:rsid w:val="00964EE9"/>
    <w:rsid w:val="0096501C"/>
    <w:rsid w:val="00965A59"/>
    <w:rsid w:val="00965C36"/>
    <w:rsid w:val="009661F5"/>
    <w:rsid w:val="009668D7"/>
    <w:rsid w:val="00967080"/>
    <w:rsid w:val="00967B66"/>
    <w:rsid w:val="00970CB0"/>
    <w:rsid w:val="00971431"/>
    <w:rsid w:val="00971487"/>
    <w:rsid w:val="00971C74"/>
    <w:rsid w:val="00972873"/>
    <w:rsid w:val="00974112"/>
    <w:rsid w:val="00974459"/>
    <w:rsid w:val="0097469F"/>
    <w:rsid w:val="009764F6"/>
    <w:rsid w:val="0097653A"/>
    <w:rsid w:val="00976836"/>
    <w:rsid w:val="009768A4"/>
    <w:rsid w:val="0097709B"/>
    <w:rsid w:val="00977118"/>
    <w:rsid w:val="00977964"/>
    <w:rsid w:val="00977FD7"/>
    <w:rsid w:val="009832F5"/>
    <w:rsid w:val="009836C5"/>
    <w:rsid w:val="00984D17"/>
    <w:rsid w:val="00986BB0"/>
    <w:rsid w:val="009874FD"/>
    <w:rsid w:val="00987EA4"/>
    <w:rsid w:val="0099114D"/>
    <w:rsid w:val="0099189B"/>
    <w:rsid w:val="0099229E"/>
    <w:rsid w:val="00992DED"/>
    <w:rsid w:val="00992EAD"/>
    <w:rsid w:val="009945A5"/>
    <w:rsid w:val="0099580E"/>
    <w:rsid w:val="009959FD"/>
    <w:rsid w:val="00996208"/>
    <w:rsid w:val="009964D3"/>
    <w:rsid w:val="009968A7"/>
    <w:rsid w:val="00996D79"/>
    <w:rsid w:val="009A0991"/>
    <w:rsid w:val="009A0F2B"/>
    <w:rsid w:val="009A1F41"/>
    <w:rsid w:val="009A26A6"/>
    <w:rsid w:val="009A38BF"/>
    <w:rsid w:val="009A4C4F"/>
    <w:rsid w:val="009A56F6"/>
    <w:rsid w:val="009A5864"/>
    <w:rsid w:val="009A66C7"/>
    <w:rsid w:val="009A7E0A"/>
    <w:rsid w:val="009B153C"/>
    <w:rsid w:val="009B169D"/>
    <w:rsid w:val="009B1F42"/>
    <w:rsid w:val="009B2726"/>
    <w:rsid w:val="009B2D64"/>
    <w:rsid w:val="009B382B"/>
    <w:rsid w:val="009B4A9D"/>
    <w:rsid w:val="009B53F0"/>
    <w:rsid w:val="009B70C6"/>
    <w:rsid w:val="009B75F7"/>
    <w:rsid w:val="009C03D0"/>
    <w:rsid w:val="009C119E"/>
    <w:rsid w:val="009C2263"/>
    <w:rsid w:val="009C24FA"/>
    <w:rsid w:val="009C270E"/>
    <w:rsid w:val="009C411F"/>
    <w:rsid w:val="009C4824"/>
    <w:rsid w:val="009C4F94"/>
    <w:rsid w:val="009C5603"/>
    <w:rsid w:val="009C6C85"/>
    <w:rsid w:val="009C7A5C"/>
    <w:rsid w:val="009D0F7D"/>
    <w:rsid w:val="009D102B"/>
    <w:rsid w:val="009D1809"/>
    <w:rsid w:val="009D27D9"/>
    <w:rsid w:val="009D28ED"/>
    <w:rsid w:val="009D2990"/>
    <w:rsid w:val="009D2CDE"/>
    <w:rsid w:val="009D393B"/>
    <w:rsid w:val="009D4454"/>
    <w:rsid w:val="009D5C52"/>
    <w:rsid w:val="009D6850"/>
    <w:rsid w:val="009D6A15"/>
    <w:rsid w:val="009D7432"/>
    <w:rsid w:val="009E0CFF"/>
    <w:rsid w:val="009E0F82"/>
    <w:rsid w:val="009E24F4"/>
    <w:rsid w:val="009E2DEA"/>
    <w:rsid w:val="009E360F"/>
    <w:rsid w:val="009E38B1"/>
    <w:rsid w:val="009E3C94"/>
    <w:rsid w:val="009E3CEF"/>
    <w:rsid w:val="009E54F7"/>
    <w:rsid w:val="009E5A8A"/>
    <w:rsid w:val="009E5F6D"/>
    <w:rsid w:val="009E6530"/>
    <w:rsid w:val="009E6888"/>
    <w:rsid w:val="009E6A76"/>
    <w:rsid w:val="009E6EE2"/>
    <w:rsid w:val="009E70F0"/>
    <w:rsid w:val="009E72D8"/>
    <w:rsid w:val="009F0A24"/>
    <w:rsid w:val="009F0CA6"/>
    <w:rsid w:val="009F170B"/>
    <w:rsid w:val="009F259E"/>
    <w:rsid w:val="009F29FE"/>
    <w:rsid w:val="009F4DF1"/>
    <w:rsid w:val="009F4F94"/>
    <w:rsid w:val="009F52AD"/>
    <w:rsid w:val="009F562D"/>
    <w:rsid w:val="009F639A"/>
    <w:rsid w:val="009F666C"/>
    <w:rsid w:val="009F7129"/>
    <w:rsid w:val="009F7F7E"/>
    <w:rsid w:val="00A00783"/>
    <w:rsid w:val="00A01092"/>
    <w:rsid w:val="00A018D1"/>
    <w:rsid w:val="00A028ED"/>
    <w:rsid w:val="00A02E08"/>
    <w:rsid w:val="00A034D6"/>
    <w:rsid w:val="00A03E6A"/>
    <w:rsid w:val="00A042FB"/>
    <w:rsid w:val="00A04573"/>
    <w:rsid w:val="00A04586"/>
    <w:rsid w:val="00A04F0B"/>
    <w:rsid w:val="00A05058"/>
    <w:rsid w:val="00A055B0"/>
    <w:rsid w:val="00A061AA"/>
    <w:rsid w:val="00A069C8"/>
    <w:rsid w:val="00A06FD8"/>
    <w:rsid w:val="00A10BE6"/>
    <w:rsid w:val="00A10C58"/>
    <w:rsid w:val="00A12F89"/>
    <w:rsid w:val="00A130ED"/>
    <w:rsid w:val="00A14A63"/>
    <w:rsid w:val="00A165AB"/>
    <w:rsid w:val="00A175DD"/>
    <w:rsid w:val="00A17B0F"/>
    <w:rsid w:val="00A200C5"/>
    <w:rsid w:val="00A205C5"/>
    <w:rsid w:val="00A20F60"/>
    <w:rsid w:val="00A219A4"/>
    <w:rsid w:val="00A21F1E"/>
    <w:rsid w:val="00A23115"/>
    <w:rsid w:val="00A23EFA"/>
    <w:rsid w:val="00A25AEC"/>
    <w:rsid w:val="00A268F8"/>
    <w:rsid w:val="00A26A3F"/>
    <w:rsid w:val="00A273DE"/>
    <w:rsid w:val="00A27F98"/>
    <w:rsid w:val="00A30F92"/>
    <w:rsid w:val="00A310A8"/>
    <w:rsid w:val="00A322A5"/>
    <w:rsid w:val="00A322E5"/>
    <w:rsid w:val="00A3260E"/>
    <w:rsid w:val="00A32E85"/>
    <w:rsid w:val="00A34D18"/>
    <w:rsid w:val="00A35B8B"/>
    <w:rsid w:val="00A360FC"/>
    <w:rsid w:val="00A36325"/>
    <w:rsid w:val="00A36F9A"/>
    <w:rsid w:val="00A37554"/>
    <w:rsid w:val="00A377CA"/>
    <w:rsid w:val="00A37993"/>
    <w:rsid w:val="00A40741"/>
    <w:rsid w:val="00A4094E"/>
    <w:rsid w:val="00A40CFD"/>
    <w:rsid w:val="00A42D14"/>
    <w:rsid w:val="00A43542"/>
    <w:rsid w:val="00A44848"/>
    <w:rsid w:val="00A448A5"/>
    <w:rsid w:val="00A455F7"/>
    <w:rsid w:val="00A456B2"/>
    <w:rsid w:val="00A46A30"/>
    <w:rsid w:val="00A50CB3"/>
    <w:rsid w:val="00A50F6F"/>
    <w:rsid w:val="00A515F3"/>
    <w:rsid w:val="00A51939"/>
    <w:rsid w:val="00A53E0F"/>
    <w:rsid w:val="00A54016"/>
    <w:rsid w:val="00A547FE"/>
    <w:rsid w:val="00A54C85"/>
    <w:rsid w:val="00A552C0"/>
    <w:rsid w:val="00A556B5"/>
    <w:rsid w:val="00A565DD"/>
    <w:rsid w:val="00A5716F"/>
    <w:rsid w:val="00A6142C"/>
    <w:rsid w:val="00A62E25"/>
    <w:rsid w:val="00A641A6"/>
    <w:rsid w:val="00A647C7"/>
    <w:rsid w:val="00A65169"/>
    <w:rsid w:val="00A65464"/>
    <w:rsid w:val="00A654BE"/>
    <w:rsid w:val="00A65F14"/>
    <w:rsid w:val="00A660D5"/>
    <w:rsid w:val="00A6644F"/>
    <w:rsid w:val="00A66735"/>
    <w:rsid w:val="00A67A65"/>
    <w:rsid w:val="00A67D96"/>
    <w:rsid w:val="00A705C2"/>
    <w:rsid w:val="00A72A99"/>
    <w:rsid w:val="00A7348B"/>
    <w:rsid w:val="00A736C0"/>
    <w:rsid w:val="00A73D27"/>
    <w:rsid w:val="00A81D09"/>
    <w:rsid w:val="00A81E02"/>
    <w:rsid w:val="00A81F05"/>
    <w:rsid w:val="00A83357"/>
    <w:rsid w:val="00A84444"/>
    <w:rsid w:val="00A846CB"/>
    <w:rsid w:val="00A85E13"/>
    <w:rsid w:val="00A8658D"/>
    <w:rsid w:val="00A867C4"/>
    <w:rsid w:val="00A86EC8"/>
    <w:rsid w:val="00A908A8"/>
    <w:rsid w:val="00A90ED9"/>
    <w:rsid w:val="00A91B91"/>
    <w:rsid w:val="00A9202F"/>
    <w:rsid w:val="00A94918"/>
    <w:rsid w:val="00A9528A"/>
    <w:rsid w:val="00A9577F"/>
    <w:rsid w:val="00A97244"/>
    <w:rsid w:val="00A97492"/>
    <w:rsid w:val="00AA025D"/>
    <w:rsid w:val="00AA07D7"/>
    <w:rsid w:val="00AA088C"/>
    <w:rsid w:val="00AA0EFB"/>
    <w:rsid w:val="00AA2579"/>
    <w:rsid w:val="00AA2694"/>
    <w:rsid w:val="00AA2BE6"/>
    <w:rsid w:val="00AA31C2"/>
    <w:rsid w:val="00AA761C"/>
    <w:rsid w:val="00AA7D3D"/>
    <w:rsid w:val="00AB035F"/>
    <w:rsid w:val="00AB27A0"/>
    <w:rsid w:val="00AB3AB0"/>
    <w:rsid w:val="00AB3CF4"/>
    <w:rsid w:val="00AB49F6"/>
    <w:rsid w:val="00AB4B32"/>
    <w:rsid w:val="00AB4F0A"/>
    <w:rsid w:val="00AB510F"/>
    <w:rsid w:val="00AB5233"/>
    <w:rsid w:val="00AB64A9"/>
    <w:rsid w:val="00AB6EA4"/>
    <w:rsid w:val="00AB77DC"/>
    <w:rsid w:val="00AB7A3C"/>
    <w:rsid w:val="00AB7E2C"/>
    <w:rsid w:val="00AC00B7"/>
    <w:rsid w:val="00AC2689"/>
    <w:rsid w:val="00AC2E2F"/>
    <w:rsid w:val="00AC2EAD"/>
    <w:rsid w:val="00AC4688"/>
    <w:rsid w:val="00AC56A8"/>
    <w:rsid w:val="00AC6B1D"/>
    <w:rsid w:val="00AC6FB1"/>
    <w:rsid w:val="00AC78CB"/>
    <w:rsid w:val="00AD13CA"/>
    <w:rsid w:val="00AD17AE"/>
    <w:rsid w:val="00AD26A2"/>
    <w:rsid w:val="00AD3339"/>
    <w:rsid w:val="00AD4087"/>
    <w:rsid w:val="00AD52BE"/>
    <w:rsid w:val="00AD5B17"/>
    <w:rsid w:val="00AD687A"/>
    <w:rsid w:val="00AD6A25"/>
    <w:rsid w:val="00AE116E"/>
    <w:rsid w:val="00AE2564"/>
    <w:rsid w:val="00AE30C8"/>
    <w:rsid w:val="00AE36ED"/>
    <w:rsid w:val="00AE6EFD"/>
    <w:rsid w:val="00AE7C12"/>
    <w:rsid w:val="00AF08D1"/>
    <w:rsid w:val="00AF0A55"/>
    <w:rsid w:val="00AF3011"/>
    <w:rsid w:val="00AF6741"/>
    <w:rsid w:val="00B0035F"/>
    <w:rsid w:val="00B00A88"/>
    <w:rsid w:val="00B02070"/>
    <w:rsid w:val="00B02481"/>
    <w:rsid w:val="00B037B4"/>
    <w:rsid w:val="00B039D3"/>
    <w:rsid w:val="00B05024"/>
    <w:rsid w:val="00B0531F"/>
    <w:rsid w:val="00B05546"/>
    <w:rsid w:val="00B05C5F"/>
    <w:rsid w:val="00B060A9"/>
    <w:rsid w:val="00B062A2"/>
    <w:rsid w:val="00B070FC"/>
    <w:rsid w:val="00B112B2"/>
    <w:rsid w:val="00B12D87"/>
    <w:rsid w:val="00B14154"/>
    <w:rsid w:val="00B15361"/>
    <w:rsid w:val="00B16858"/>
    <w:rsid w:val="00B21E02"/>
    <w:rsid w:val="00B22196"/>
    <w:rsid w:val="00B225DE"/>
    <w:rsid w:val="00B235BB"/>
    <w:rsid w:val="00B23CE3"/>
    <w:rsid w:val="00B25111"/>
    <w:rsid w:val="00B26750"/>
    <w:rsid w:val="00B26D59"/>
    <w:rsid w:val="00B27AAE"/>
    <w:rsid w:val="00B30475"/>
    <w:rsid w:val="00B3151C"/>
    <w:rsid w:val="00B3152B"/>
    <w:rsid w:val="00B31E8D"/>
    <w:rsid w:val="00B32427"/>
    <w:rsid w:val="00B3246F"/>
    <w:rsid w:val="00B34036"/>
    <w:rsid w:val="00B3464F"/>
    <w:rsid w:val="00B34AC4"/>
    <w:rsid w:val="00B35EAA"/>
    <w:rsid w:val="00B37595"/>
    <w:rsid w:val="00B37BFF"/>
    <w:rsid w:val="00B40C62"/>
    <w:rsid w:val="00B416C4"/>
    <w:rsid w:val="00B41C84"/>
    <w:rsid w:val="00B42C5A"/>
    <w:rsid w:val="00B43686"/>
    <w:rsid w:val="00B43BF7"/>
    <w:rsid w:val="00B44143"/>
    <w:rsid w:val="00B44836"/>
    <w:rsid w:val="00B44EC8"/>
    <w:rsid w:val="00B456F6"/>
    <w:rsid w:val="00B45EB4"/>
    <w:rsid w:val="00B46AC8"/>
    <w:rsid w:val="00B46B75"/>
    <w:rsid w:val="00B47051"/>
    <w:rsid w:val="00B4718F"/>
    <w:rsid w:val="00B50B1A"/>
    <w:rsid w:val="00B52519"/>
    <w:rsid w:val="00B5415A"/>
    <w:rsid w:val="00B54894"/>
    <w:rsid w:val="00B56F17"/>
    <w:rsid w:val="00B56F2C"/>
    <w:rsid w:val="00B57084"/>
    <w:rsid w:val="00B570C7"/>
    <w:rsid w:val="00B57431"/>
    <w:rsid w:val="00B60357"/>
    <w:rsid w:val="00B60529"/>
    <w:rsid w:val="00B608A5"/>
    <w:rsid w:val="00B60E92"/>
    <w:rsid w:val="00B61898"/>
    <w:rsid w:val="00B61AA3"/>
    <w:rsid w:val="00B61F7C"/>
    <w:rsid w:val="00B62834"/>
    <w:rsid w:val="00B62935"/>
    <w:rsid w:val="00B633C4"/>
    <w:rsid w:val="00B63669"/>
    <w:rsid w:val="00B640A4"/>
    <w:rsid w:val="00B64BEA"/>
    <w:rsid w:val="00B64E91"/>
    <w:rsid w:val="00B66F9D"/>
    <w:rsid w:val="00B67001"/>
    <w:rsid w:val="00B67E90"/>
    <w:rsid w:val="00B712FD"/>
    <w:rsid w:val="00B71439"/>
    <w:rsid w:val="00B72360"/>
    <w:rsid w:val="00B72FD7"/>
    <w:rsid w:val="00B73B0B"/>
    <w:rsid w:val="00B749B7"/>
    <w:rsid w:val="00B752C3"/>
    <w:rsid w:val="00B75C6A"/>
    <w:rsid w:val="00B762D5"/>
    <w:rsid w:val="00B76F7B"/>
    <w:rsid w:val="00B7738B"/>
    <w:rsid w:val="00B77D24"/>
    <w:rsid w:val="00B80920"/>
    <w:rsid w:val="00B81776"/>
    <w:rsid w:val="00B8261C"/>
    <w:rsid w:val="00B82947"/>
    <w:rsid w:val="00B82D19"/>
    <w:rsid w:val="00B84798"/>
    <w:rsid w:val="00B866BD"/>
    <w:rsid w:val="00B87E74"/>
    <w:rsid w:val="00B87FF8"/>
    <w:rsid w:val="00B90233"/>
    <w:rsid w:val="00B9038D"/>
    <w:rsid w:val="00B91167"/>
    <w:rsid w:val="00B912E3"/>
    <w:rsid w:val="00B91453"/>
    <w:rsid w:val="00B914C9"/>
    <w:rsid w:val="00B9217F"/>
    <w:rsid w:val="00B92378"/>
    <w:rsid w:val="00B942AC"/>
    <w:rsid w:val="00B94F94"/>
    <w:rsid w:val="00B95727"/>
    <w:rsid w:val="00B96DAE"/>
    <w:rsid w:val="00B970C1"/>
    <w:rsid w:val="00B9771C"/>
    <w:rsid w:val="00BA0992"/>
    <w:rsid w:val="00BA0B46"/>
    <w:rsid w:val="00BA0F43"/>
    <w:rsid w:val="00BA10DD"/>
    <w:rsid w:val="00BA3CD5"/>
    <w:rsid w:val="00BA4F19"/>
    <w:rsid w:val="00BA6499"/>
    <w:rsid w:val="00BA6809"/>
    <w:rsid w:val="00BA754A"/>
    <w:rsid w:val="00BA76E1"/>
    <w:rsid w:val="00BB13C1"/>
    <w:rsid w:val="00BB22A6"/>
    <w:rsid w:val="00BB2E41"/>
    <w:rsid w:val="00BB2E77"/>
    <w:rsid w:val="00BB4AAA"/>
    <w:rsid w:val="00BB4C82"/>
    <w:rsid w:val="00BB609C"/>
    <w:rsid w:val="00BB6C01"/>
    <w:rsid w:val="00BB719E"/>
    <w:rsid w:val="00BB7DBD"/>
    <w:rsid w:val="00BC07FD"/>
    <w:rsid w:val="00BC0881"/>
    <w:rsid w:val="00BC0B0B"/>
    <w:rsid w:val="00BC0FFE"/>
    <w:rsid w:val="00BC2765"/>
    <w:rsid w:val="00BC3348"/>
    <w:rsid w:val="00BC371D"/>
    <w:rsid w:val="00BC3C00"/>
    <w:rsid w:val="00BC4704"/>
    <w:rsid w:val="00BC4A92"/>
    <w:rsid w:val="00BC56F0"/>
    <w:rsid w:val="00BC5852"/>
    <w:rsid w:val="00BC647C"/>
    <w:rsid w:val="00BC727E"/>
    <w:rsid w:val="00BC782B"/>
    <w:rsid w:val="00BD071C"/>
    <w:rsid w:val="00BD2CC8"/>
    <w:rsid w:val="00BD324A"/>
    <w:rsid w:val="00BD52CB"/>
    <w:rsid w:val="00BD5302"/>
    <w:rsid w:val="00BD766A"/>
    <w:rsid w:val="00BE025F"/>
    <w:rsid w:val="00BE202E"/>
    <w:rsid w:val="00BE376A"/>
    <w:rsid w:val="00BE462A"/>
    <w:rsid w:val="00BE4C72"/>
    <w:rsid w:val="00BE54DF"/>
    <w:rsid w:val="00BE6091"/>
    <w:rsid w:val="00BE6ACA"/>
    <w:rsid w:val="00BF180A"/>
    <w:rsid w:val="00BF1C66"/>
    <w:rsid w:val="00BF1D87"/>
    <w:rsid w:val="00BF267F"/>
    <w:rsid w:val="00BF4C17"/>
    <w:rsid w:val="00BF50C6"/>
    <w:rsid w:val="00BF5345"/>
    <w:rsid w:val="00BF59BA"/>
    <w:rsid w:val="00BF72F1"/>
    <w:rsid w:val="00BF7E2A"/>
    <w:rsid w:val="00C0049C"/>
    <w:rsid w:val="00C00B38"/>
    <w:rsid w:val="00C01C01"/>
    <w:rsid w:val="00C047DC"/>
    <w:rsid w:val="00C05502"/>
    <w:rsid w:val="00C0555A"/>
    <w:rsid w:val="00C0729E"/>
    <w:rsid w:val="00C07605"/>
    <w:rsid w:val="00C1045B"/>
    <w:rsid w:val="00C10E4F"/>
    <w:rsid w:val="00C117C8"/>
    <w:rsid w:val="00C117DA"/>
    <w:rsid w:val="00C11B18"/>
    <w:rsid w:val="00C126A3"/>
    <w:rsid w:val="00C12E25"/>
    <w:rsid w:val="00C13AF5"/>
    <w:rsid w:val="00C1458D"/>
    <w:rsid w:val="00C1754A"/>
    <w:rsid w:val="00C200C5"/>
    <w:rsid w:val="00C20C0E"/>
    <w:rsid w:val="00C20CF1"/>
    <w:rsid w:val="00C20D2E"/>
    <w:rsid w:val="00C21CF1"/>
    <w:rsid w:val="00C2210A"/>
    <w:rsid w:val="00C22961"/>
    <w:rsid w:val="00C24D2E"/>
    <w:rsid w:val="00C25513"/>
    <w:rsid w:val="00C25B36"/>
    <w:rsid w:val="00C3011F"/>
    <w:rsid w:val="00C32616"/>
    <w:rsid w:val="00C32978"/>
    <w:rsid w:val="00C32AF2"/>
    <w:rsid w:val="00C3410B"/>
    <w:rsid w:val="00C3438F"/>
    <w:rsid w:val="00C36412"/>
    <w:rsid w:val="00C40B8F"/>
    <w:rsid w:val="00C411D8"/>
    <w:rsid w:val="00C411DD"/>
    <w:rsid w:val="00C41865"/>
    <w:rsid w:val="00C41C3E"/>
    <w:rsid w:val="00C42772"/>
    <w:rsid w:val="00C448A6"/>
    <w:rsid w:val="00C4669B"/>
    <w:rsid w:val="00C46B88"/>
    <w:rsid w:val="00C475D0"/>
    <w:rsid w:val="00C47EB4"/>
    <w:rsid w:val="00C50170"/>
    <w:rsid w:val="00C50A45"/>
    <w:rsid w:val="00C50CA5"/>
    <w:rsid w:val="00C531F7"/>
    <w:rsid w:val="00C54357"/>
    <w:rsid w:val="00C54DC1"/>
    <w:rsid w:val="00C55377"/>
    <w:rsid w:val="00C56264"/>
    <w:rsid w:val="00C571DE"/>
    <w:rsid w:val="00C63B44"/>
    <w:rsid w:val="00C63D64"/>
    <w:rsid w:val="00C643F6"/>
    <w:rsid w:val="00C64C0B"/>
    <w:rsid w:val="00C64FAE"/>
    <w:rsid w:val="00C64FE5"/>
    <w:rsid w:val="00C65221"/>
    <w:rsid w:val="00C65EA2"/>
    <w:rsid w:val="00C668B6"/>
    <w:rsid w:val="00C66B46"/>
    <w:rsid w:val="00C701C2"/>
    <w:rsid w:val="00C704ED"/>
    <w:rsid w:val="00C707B0"/>
    <w:rsid w:val="00C715B1"/>
    <w:rsid w:val="00C728DB"/>
    <w:rsid w:val="00C72D51"/>
    <w:rsid w:val="00C744AE"/>
    <w:rsid w:val="00C74A3D"/>
    <w:rsid w:val="00C760C3"/>
    <w:rsid w:val="00C763FC"/>
    <w:rsid w:val="00C7677A"/>
    <w:rsid w:val="00C801BD"/>
    <w:rsid w:val="00C80C14"/>
    <w:rsid w:val="00C820A6"/>
    <w:rsid w:val="00C82157"/>
    <w:rsid w:val="00C83159"/>
    <w:rsid w:val="00C83585"/>
    <w:rsid w:val="00C83F4D"/>
    <w:rsid w:val="00C84126"/>
    <w:rsid w:val="00C84F33"/>
    <w:rsid w:val="00C87757"/>
    <w:rsid w:val="00C90985"/>
    <w:rsid w:val="00C92E96"/>
    <w:rsid w:val="00C93EF7"/>
    <w:rsid w:val="00C93FA1"/>
    <w:rsid w:val="00C9534E"/>
    <w:rsid w:val="00C9572F"/>
    <w:rsid w:val="00C95FA8"/>
    <w:rsid w:val="00C96969"/>
    <w:rsid w:val="00C96BB2"/>
    <w:rsid w:val="00C97323"/>
    <w:rsid w:val="00CA0064"/>
    <w:rsid w:val="00CA03DC"/>
    <w:rsid w:val="00CA1962"/>
    <w:rsid w:val="00CA1EEC"/>
    <w:rsid w:val="00CA35BD"/>
    <w:rsid w:val="00CA4632"/>
    <w:rsid w:val="00CA4BFA"/>
    <w:rsid w:val="00CA4C29"/>
    <w:rsid w:val="00CA6E37"/>
    <w:rsid w:val="00CB06E7"/>
    <w:rsid w:val="00CB0F02"/>
    <w:rsid w:val="00CB2D5B"/>
    <w:rsid w:val="00CB2F7C"/>
    <w:rsid w:val="00CB3882"/>
    <w:rsid w:val="00CB3965"/>
    <w:rsid w:val="00CB47EE"/>
    <w:rsid w:val="00CB48CD"/>
    <w:rsid w:val="00CB592A"/>
    <w:rsid w:val="00CB7ADD"/>
    <w:rsid w:val="00CC07D0"/>
    <w:rsid w:val="00CC12ED"/>
    <w:rsid w:val="00CC25F0"/>
    <w:rsid w:val="00CC2B0C"/>
    <w:rsid w:val="00CC4B2B"/>
    <w:rsid w:val="00CC621B"/>
    <w:rsid w:val="00CC72B5"/>
    <w:rsid w:val="00CC751A"/>
    <w:rsid w:val="00CC7766"/>
    <w:rsid w:val="00CD0273"/>
    <w:rsid w:val="00CD234B"/>
    <w:rsid w:val="00CD27BD"/>
    <w:rsid w:val="00CD2981"/>
    <w:rsid w:val="00CD2B74"/>
    <w:rsid w:val="00CD2C88"/>
    <w:rsid w:val="00CD3E51"/>
    <w:rsid w:val="00CD6839"/>
    <w:rsid w:val="00CD70A4"/>
    <w:rsid w:val="00CD7192"/>
    <w:rsid w:val="00CD77D5"/>
    <w:rsid w:val="00CD7D19"/>
    <w:rsid w:val="00CE0384"/>
    <w:rsid w:val="00CE194F"/>
    <w:rsid w:val="00CE1F0F"/>
    <w:rsid w:val="00CE39D1"/>
    <w:rsid w:val="00CE6426"/>
    <w:rsid w:val="00CE653F"/>
    <w:rsid w:val="00CE71FB"/>
    <w:rsid w:val="00CF27C2"/>
    <w:rsid w:val="00CF28B7"/>
    <w:rsid w:val="00CF3029"/>
    <w:rsid w:val="00CF4965"/>
    <w:rsid w:val="00CF70A2"/>
    <w:rsid w:val="00D006F1"/>
    <w:rsid w:val="00D017FE"/>
    <w:rsid w:val="00D0207E"/>
    <w:rsid w:val="00D03FA3"/>
    <w:rsid w:val="00D047DD"/>
    <w:rsid w:val="00D06330"/>
    <w:rsid w:val="00D06629"/>
    <w:rsid w:val="00D0677C"/>
    <w:rsid w:val="00D103D6"/>
    <w:rsid w:val="00D10D05"/>
    <w:rsid w:val="00D1182E"/>
    <w:rsid w:val="00D11ED0"/>
    <w:rsid w:val="00D12B46"/>
    <w:rsid w:val="00D13CDA"/>
    <w:rsid w:val="00D14390"/>
    <w:rsid w:val="00D157CC"/>
    <w:rsid w:val="00D1640D"/>
    <w:rsid w:val="00D1654E"/>
    <w:rsid w:val="00D16B73"/>
    <w:rsid w:val="00D22326"/>
    <w:rsid w:val="00D2263D"/>
    <w:rsid w:val="00D2345B"/>
    <w:rsid w:val="00D23A11"/>
    <w:rsid w:val="00D24C98"/>
    <w:rsid w:val="00D24E78"/>
    <w:rsid w:val="00D256DC"/>
    <w:rsid w:val="00D2601D"/>
    <w:rsid w:val="00D266E3"/>
    <w:rsid w:val="00D2727F"/>
    <w:rsid w:val="00D3109B"/>
    <w:rsid w:val="00D3139A"/>
    <w:rsid w:val="00D31BBA"/>
    <w:rsid w:val="00D371A1"/>
    <w:rsid w:val="00D377C6"/>
    <w:rsid w:val="00D4086A"/>
    <w:rsid w:val="00D41301"/>
    <w:rsid w:val="00D41318"/>
    <w:rsid w:val="00D41452"/>
    <w:rsid w:val="00D415DC"/>
    <w:rsid w:val="00D41A28"/>
    <w:rsid w:val="00D4258F"/>
    <w:rsid w:val="00D43802"/>
    <w:rsid w:val="00D442A1"/>
    <w:rsid w:val="00D44951"/>
    <w:rsid w:val="00D451C6"/>
    <w:rsid w:val="00D47C79"/>
    <w:rsid w:val="00D47F38"/>
    <w:rsid w:val="00D501F5"/>
    <w:rsid w:val="00D50CD0"/>
    <w:rsid w:val="00D52D28"/>
    <w:rsid w:val="00D52DDC"/>
    <w:rsid w:val="00D55820"/>
    <w:rsid w:val="00D5598D"/>
    <w:rsid w:val="00D564A3"/>
    <w:rsid w:val="00D5668B"/>
    <w:rsid w:val="00D56764"/>
    <w:rsid w:val="00D575C2"/>
    <w:rsid w:val="00D60384"/>
    <w:rsid w:val="00D60650"/>
    <w:rsid w:val="00D60EC8"/>
    <w:rsid w:val="00D63488"/>
    <w:rsid w:val="00D63CB3"/>
    <w:rsid w:val="00D64F07"/>
    <w:rsid w:val="00D6592D"/>
    <w:rsid w:val="00D65FBC"/>
    <w:rsid w:val="00D66EBD"/>
    <w:rsid w:val="00D6742C"/>
    <w:rsid w:val="00D6788D"/>
    <w:rsid w:val="00D701C4"/>
    <w:rsid w:val="00D70D0A"/>
    <w:rsid w:val="00D724FB"/>
    <w:rsid w:val="00D730C9"/>
    <w:rsid w:val="00D73639"/>
    <w:rsid w:val="00D742BD"/>
    <w:rsid w:val="00D749A8"/>
    <w:rsid w:val="00D75FFF"/>
    <w:rsid w:val="00D76AD0"/>
    <w:rsid w:val="00D76E8E"/>
    <w:rsid w:val="00D77C3B"/>
    <w:rsid w:val="00D820F6"/>
    <w:rsid w:val="00D82327"/>
    <w:rsid w:val="00D828DD"/>
    <w:rsid w:val="00D840B3"/>
    <w:rsid w:val="00D84478"/>
    <w:rsid w:val="00D84EDF"/>
    <w:rsid w:val="00D8510C"/>
    <w:rsid w:val="00D856BD"/>
    <w:rsid w:val="00D8637F"/>
    <w:rsid w:val="00D86876"/>
    <w:rsid w:val="00D86A2C"/>
    <w:rsid w:val="00D874BC"/>
    <w:rsid w:val="00D87521"/>
    <w:rsid w:val="00D87564"/>
    <w:rsid w:val="00D879DA"/>
    <w:rsid w:val="00D87C4A"/>
    <w:rsid w:val="00D90568"/>
    <w:rsid w:val="00D90EB6"/>
    <w:rsid w:val="00D9118E"/>
    <w:rsid w:val="00D91F07"/>
    <w:rsid w:val="00D93198"/>
    <w:rsid w:val="00D93497"/>
    <w:rsid w:val="00D93BAD"/>
    <w:rsid w:val="00D970C3"/>
    <w:rsid w:val="00DA04E9"/>
    <w:rsid w:val="00DA0A63"/>
    <w:rsid w:val="00DA12E3"/>
    <w:rsid w:val="00DA1E94"/>
    <w:rsid w:val="00DA327C"/>
    <w:rsid w:val="00DA39AB"/>
    <w:rsid w:val="00DA4684"/>
    <w:rsid w:val="00DA5118"/>
    <w:rsid w:val="00DA564E"/>
    <w:rsid w:val="00DA6660"/>
    <w:rsid w:val="00DA6694"/>
    <w:rsid w:val="00DA7107"/>
    <w:rsid w:val="00DA7217"/>
    <w:rsid w:val="00DB0DFD"/>
    <w:rsid w:val="00DB1BBF"/>
    <w:rsid w:val="00DB2AF6"/>
    <w:rsid w:val="00DB3686"/>
    <w:rsid w:val="00DB3B9D"/>
    <w:rsid w:val="00DB5448"/>
    <w:rsid w:val="00DB6170"/>
    <w:rsid w:val="00DB6AAA"/>
    <w:rsid w:val="00DB6C21"/>
    <w:rsid w:val="00DB6E56"/>
    <w:rsid w:val="00DC04FE"/>
    <w:rsid w:val="00DC2E24"/>
    <w:rsid w:val="00DC3972"/>
    <w:rsid w:val="00DC43F0"/>
    <w:rsid w:val="00DC4C8C"/>
    <w:rsid w:val="00DC4E87"/>
    <w:rsid w:val="00DC5EFB"/>
    <w:rsid w:val="00DC617B"/>
    <w:rsid w:val="00DC6282"/>
    <w:rsid w:val="00DC6B9F"/>
    <w:rsid w:val="00DC74F8"/>
    <w:rsid w:val="00DC78A1"/>
    <w:rsid w:val="00DD023C"/>
    <w:rsid w:val="00DD0B7C"/>
    <w:rsid w:val="00DD194A"/>
    <w:rsid w:val="00DD2B9D"/>
    <w:rsid w:val="00DD5278"/>
    <w:rsid w:val="00DD5D27"/>
    <w:rsid w:val="00DD7AFA"/>
    <w:rsid w:val="00DD7B5C"/>
    <w:rsid w:val="00DE0DC4"/>
    <w:rsid w:val="00DE12E8"/>
    <w:rsid w:val="00DE1CDF"/>
    <w:rsid w:val="00DE1E72"/>
    <w:rsid w:val="00DE22FA"/>
    <w:rsid w:val="00DE4BE7"/>
    <w:rsid w:val="00DE5C49"/>
    <w:rsid w:val="00DE5F00"/>
    <w:rsid w:val="00DE6AE9"/>
    <w:rsid w:val="00DE6FB6"/>
    <w:rsid w:val="00DF074E"/>
    <w:rsid w:val="00DF08C5"/>
    <w:rsid w:val="00DF184A"/>
    <w:rsid w:val="00DF1F1B"/>
    <w:rsid w:val="00DF1F88"/>
    <w:rsid w:val="00DF2098"/>
    <w:rsid w:val="00DF2635"/>
    <w:rsid w:val="00DF27F0"/>
    <w:rsid w:val="00DF2C3C"/>
    <w:rsid w:val="00DF5DF2"/>
    <w:rsid w:val="00DF6A2D"/>
    <w:rsid w:val="00DF794D"/>
    <w:rsid w:val="00E00086"/>
    <w:rsid w:val="00E00E88"/>
    <w:rsid w:val="00E010CC"/>
    <w:rsid w:val="00E019D9"/>
    <w:rsid w:val="00E01B3F"/>
    <w:rsid w:val="00E024A2"/>
    <w:rsid w:val="00E02FCE"/>
    <w:rsid w:val="00E0441C"/>
    <w:rsid w:val="00E0460B"/>
    <w:rsid w:val="00E05C2D"/>
    <w:rsid w:val="00E063FD"/>
    <w:rsid w:val="00E078DB"/>
    <w:rsid w:val="00E07D34"/>
    <w:rsid w:val="00E07DEA"/>
    <w:rsid w:val="00E1047D"/>
    <w:rsid w:val="00E110E1"/>
    <w:rsid w:val="00E11437"/>
    <w:rsid w:val="00E114A5"/>
    <w:rsid w:val="00E127B9"/>
    <w:rsid w:val="00E136BC"/>
    <w:rsid w:val="00E13A71"/>
    <w:rsid w:val="00E13CC6"/>
    <w:rsid w:val="00E14686"/>
    <w:rsid w:val="00E14C17"/>
    <w:rsid w:val="00E159B7"/>
    <w:rsid w:val="00E15B9C"/>
    <w:rsid w:val="00E15F1A"/>
    <w:rsid w:val="00E16B80"/>
    <w:rsid w:val="00E200D9"/>
    <w:rsid w:val="00E2056B"/>
    <w:rsid w:val="00E2061A"/>
    <w:rsid w:val="00E20752"/>
    <w:rsid w:val="00E20A2B"/>
    <w:rsid w:val="00E212E1"/>
    <w:rsid w:val="00E22071"/>
    <w:rsid w:val="00E22CB7"/>
    <w:rsid w:val="00E22EE0"/>
    <w:rsid w:val="00E241F5"/>
    <w:rsid w:val="00E24783"/>
    <w:rsid w:val="00E24A33"/>
    <w:rsid w:val="00E25047"/>
    <w:rsid w:val="00E255A3"/>
    <w:rsid w:val="00E262D2"/>
    <w:rsid w:val="00E266D3"/>
    <w:rsid w:val="00E270D7"/>
    <w:rsid w:val="00E2754E"/>
    <w:rsid w:val="00E27E14"/>
    <w:rsid w:val="00E32473"/>
    <w:rsid w:val="00E330C0"/>
    <w:rsid w:val="00E33124"/>
    <w:rsid w:val="00E33B11"/>
    <w:rsid w:val="00E33EE2"/>
    <w:rsid w:val="00E3554F"/>
    <w:rsid w:val="00E358FC"/>
    <w:rsid w:val="00E35C91"/>
    <w:rsid w:val="00E3784F"/>
    <w:rsid w:val="00E37BD9"/>
    <w:rsid w:val="00E402CB"/>
    <w:rsid w:val="00E40BDA"/>
    <w:rsid w:val="00E4125D"/>
    <w:rsid w:val="00E41960"/>
    <w:rsid w:val="00E41B77"/>
    <w:rsid w:val="00E424C1"/>
    <w:rsid w:val="00E4394B"/>
    <w:rsid w:val="00E447C4"/>
    <w:rsid w:val="00E44D73"/>
    <w:rsid w:val="00E457FF"/>
    <w:rsid w:val="00E45812"/>
    <w:rsid w:val="00E466C7"/>
    <w:rsid w:val="00E46B1D"/>
    <w:rsid w:val="00E46EA6"/>
    <w:rsid w:val="00E47595"/>
    <w:rsid w:val="00E5144D"/>
    <w:rsid w:val="00E52407"/>
    <w:rsid w:val="00E527B7"/>
    <w:rsid w:val="00E53306"/>
    <w:rsid w:val="00E538DF"/>
    <w:rsid w:val="00E5445B"/>
    <w:rsid w:val="00E5589D"/>
    <w:rsid w:val="00E60819"/>
    <w:rsid w:val="00E60DD5"/>
    <w:rsid w:val="00E61B8D"/>
    <w:rsid w:val="00E62F4C"/>
    <w:rsid w:val="00E63236"/>
    <w:rsid w:val="00E63915"/>
    <w:rsid w:val="00E63DA5"/>
    <w:rsid w:val="00E64E77"/>
    <w:rsid w:val="00E655A3"/>
    <w:rsid w:val="00E66389"/>
    <w:rsid w:val="00E66826"/>
    <w:rsid w:val="00E672C6"/>
    <w:rsid w:val="00E70812"/>
    <w:rsid w:val="00E7201E"/>
    <w:rsid w:val="00E72F87"/>
    <w:rsid w:val="00E7319D"/>
    <w:rsid w:val="00E731B6"/>
    <w:rsid w:val="00E745B5"/>
    <w:rsid w:val="00E75FF6"/>
    <w:rsid w:val="00E76D32"/>
    <w:rsid w:val="00E817AA"/>
    <w:rsid w:val="00E81AA1"/>
    <w:rsid w:val="00E81FEA"/>
    <w:rsid w:val="00E8258D"/>
    <w:rsid w:val="00E82604"/>
    <w:rsid w:val="00E829FF"/>
    <w:rsid w:val="00E8370A"/>
    <w:rsid w:val="00E83D64"/>
    <w:rsid w:val="00E8429D"/>
    <w:rsid w:val="00E849D8"/>
    <w:rsid w:val="00E86815"/>
    <w:rsid w:val="00E871D1"/>
    <w:rsid w:val="00E90B7A"/>
    <w:rsid w:val="00E90C59"/>
    <w:rsid w:val="00E9189F"/>
    <w:rsid w:val="00E91924"/>
    <w:rsid w:val="00E92403"/>
    <w:rsid w:val="00E9403C"/>
    <w:rsid w:val="00E943C9"/>
    <w:rsid w:val="00E94D5E"/>
    <w:rsid w:val="00E9556C"/>
    <w:rsid w:val="00E9557A"/>
    <w:rsid w:val="00E95DB4"/>
    <w:rsid w:val="00E9613B"/>
    <w:rsid w:val="00E96525"/>
    <w:rsid w:val="00E9652C"/>
    <w:rsid w:val="00E966D5"/>
    <w:rsid w:val="00E96890"/>
    <w:rsid w:val="00E97AAF"/>
    <w:rsid w:val="00E97C1E"/>
    <w:rsid w:val="00EA08C9"/>
    <w:rsid w:val="00EA1F94"/>
    <w:rsid w:val="00EA20D9"/>
    <w:rsid w:val="00EA2DD4"/>
    <w:rsid w:val="00EA3B5D"/>
    <w:rsid w:val="00EA419A"/>
    <w:rsid w:val="00EA440D"/>
    <w:rsid w:val="00EA4467"/>
    <w:rsid w:val="00EA5A41"/>
    <w:rsid w:val="00EA66C8"/>
    <w:rsid w:val="00EA713A"/>
    <w:rsid w:val="00EB22C3"/>
    <w:rsid w:val="00EB2CA7"/>
    <w:rsid w:val="00EB327F"/>
    <w:rsid w:val="00EB535D"/>
    <w:rsid w:val="00EB5E40"/>
    <w:rsid w:val="00EB5E66"/>
    <w:rsid w:val="00EB688F"/>
    <w:rsid w:val="00EB6BB2"/>
    <w:rsid w:val="00EB720B"/>
    <w:rsid w:val="00EB7AF4"/>
    <w:rsid w:val="00EC0174"/>
    <w:rsid w:val="00EC0561"/>
    <w:rsid w:val="00EC1927"/>
    <w:rsid w:val="00EC1DA3"/>
    <w:rsid w:val="00EC2CB7"/>
    <w:rsid w:val="00EC38E6"/>
    <w:rsid w:val="00EC520F"/>
    <w:rsid w:val="00EC5391"/>
    <w:rsid w:val="00EC70D1"/>
    <w:rsid w:val="00ED21A0"/>
    <w:rsid w:val="00ED22CB"/>
    <w:rsid w:val="00ED2CF5"/>
    <w:rsid w:val="00ED35D5"/>
    <w:rsid w:val="00ED3C65"/>
    <w:rsid w:val="00ED3F85"/>
    <w:rsid w:val="00ED4A07"/>
    <w:rsid w:val="00ED5C2E"/>
    <w:rsid w:val="00ED60FF"/>
    <w:rsid w:val="00ED6F7C"/>
    <w:rsid w:val="00ED705D"/>
    <w:rsid w:val="00ED773D"/>
    <w:rsid w:val="00ED7C22"/>
    <w:rsid w:val="00EE0196"/>
    <w:rsid w:val="00EE029B"/>
    <w:rsid w:val="00EE2A37"/>
    <w:rsid w:val="00EE44FB"/>
    <w:rsid w:val="00EE7868"/>
    <w:rsid w:val="00EE7A2C"/>
    <w:rsid w:val="00EF0A47"/>
    <w:rsid w:val="00EF0C5E"/>
    <w:rsid w:val="00EF1BFF"/>
    <w:rsid w:val="00EF248C"/>
    <w:rsid w:val="00EF3BE8"/>
    <w:rsid w:val="00EF5B8F"/>
    <w:rsid w:val="00EF7AFE"/>
    <w:rsid w:val="00EF7CE3"/>
    <w:rsid w:val="00EF7F4D"/>
    <w:rsid w:val="00F00C3C"/>
    <w:rsid w:val="00F017BB"/>
    <w:rsid w:val="00F028B7"/>
    <w:rsid w:val="00F0403C"/>
    <w:rsid w:val="00F048BA"/>
    <w:rsid w:val="00F05557"/>
    <w:rsid w:val="00F05749"/>
    <w:rsid w:val="00F05C26"/>
    <w:rsid w:val="00F0684C"/>
    <w:rsid w:val="00F07F7E"/>
    <w:rsid w:val="00F1013D"/>
    <w:rsid w:val="00F12500"/>
    <w:rsid w:val="00F1296D"/>
    <w:rsid w:val="00F153DC"/>
    <w:rsid w:val="00F15497"/>
    <w:rsid w:val="00F16CBE"/>
    <w:rsid w:val="00F2041C"/>
    <w:rsid w:val="00F205D7"/>
    <w:rsid w:val="00F20E16"/>
    <w:rsid w:val="00F21EB8"/>
    <w:rsid w:val="00F222E1"/>
    <w:rsid w:val="00F23326"/>
    <w:rsid w:val="00F242C2"/>
    <w:rsid w:val="00F2438E"/>
    <w:rsid w:val="00F300C5"/>
    <w:rsid w:val="00F309CE"/>
    <w:rsid w:val="00F316F9"/>
    <w:rsid w:val="00F31799"/>
    <w:rsid w:val="00F31E48"/>
    <w:rsid w:val="00F32160"/>
    <w:rsid w:val="00F34067"/>
    <w:rsid w:val="00F343E2"/>
    <w:rsid w:val="00F345C3"/>
    <w:rsid w:val="00F3530F"/>
    <w:rsid w:val="00F353B2"/>
    <w:rsid w:val="00F35889"/>
    <w:rsid w:val="00F36DBB"/>
    <w:rsid w:val="00F37697"/>
    <w:rsid w:val="00F37A74"/>
    <w:rsid w:val="00F37DAB"/>
    <w:rsid w:val="00F444F8"/>
    <w:rsid w:val="00F44EAA"/>
    <w:rsid w:val="00F4542E"/>
    <w:rsid w:val="00F4580C"/>
    <w:rsid w:val="00F46376"/>
    <w:rsid w:val="00F47478"/>
    <w:rsid w:val="00F500AC"/>
    <w:rsid w:val="00F521CF"/>
    <w:rsid w:val="00F5243A"/>
    <w:rsid w:val="00F528FC"/>
    <w:rsid w:val="00F5328B"/>
    <w:rsid w:val="00F539B9"/>
    <w:rsid w:val="00F53CED"/>
    <w:rsid w:val="00F53EE9"/>
    <w:rsid w:val="00F54A83"/>
    <w:rsid w:val="00F55330"/>
    <w:rsid w:val="00F558F2"/>
    <w:rsid w:val="00F55B04"/>
    <w:rsid w:val="00F57E6D"/>
    <w:rsid w:val="00F60860"/>
    <w:rsid w:val="00F6098C"/>
    <w:rsid w:val="00F60FE1"/>
    <w:rsid w:val="00F612ED"/>
    <w:rsid w:val="00F62C14"/>
    <w:rsid w:val="00F6390F"/>
    <w:rsid w:val="00F63EF1"/>
    <w:rsid w:val="00F660E3"/>
    <w:rsid w:val="00F66A48"/>
    <w:rsid w:val="00F67CFF"/>
    <w:rsid w:val="00F706EE"/>
    <w:rsid w:val="00F7073E"/>
    <w:rsid w:val="00F70AB6"/>
    <w:rsid w:val="00F72A4F"/>
    <w:rsid w:val="00F73BD7"/>
    <w:rsid w:val="00F75237"/>
    <w:rsid w:val="00F7578A"/>
    <w:rsid w:val="00F768EA"/>
    <w:rsid w:val="00F7690A"/>
    <w:rsid w:val="00F76F83"/>
    <w:rsid w:val="00F7711A"/>
    <w:rsid w:val="00F77197"/>
    <w:rsid w:val="00F8008F"/>
    <w:rsid w:val="00F80855"/>
    <w:rsid w:val="00F81BD2"/>
    <w:rsid w:val="00F826E2"/>
    <w:rsid w:val="00F82B9D"/>
    <w:rsid w:val="00F8313B"/>
    <w:rsid w:val="00F835BE"/>
    <w:rsid w:val="00F83948"/>
    <w:rsid w:val="00F843EF"/>
    <w:rsid w:val="00F84DE6"/>
    <w:rsid w:val="00F8697E"/>
    <w:rsid w:val="00F87D7B"/>
    <w:rsid w:val="00F915F6"/>
    <w:rsid w:val="00F91760"/>
    <w:rsid w:val="00F929B3"/>
    <w:rsid w:val="00F92A45"/>
    <w:rsid w:val="00F92EED"/>
    <w:rsid w:val="00F94FF0"/>
    <w:rsid w:val="00F956D1"/>
    <w:rsid w:val="00F961A8"/>
    <w:rsid w:val="00F968A4"/>
    <w:rsid w:val="00F968A7"/>
    <w:rsid w:val="00FA0AF5"/>
    <w:rsid w:val="00FA0E10"/>
    <w:rsid w:val="00FA20D6"/>
    <w:rsid w:val="00FA2C51"/>
    <w:rsid w:val="00FA3F19"/>
    <w:rsid w:val="00FA4A3F"/>
    <w:rsid w:val="00FA4E3D"/>
    <w:rsid w:val="00FA52F4"/>
    <w:rsid w:val="00FA5481"/>
    <w:rsid w:val="00FA5C18"/>
    <w:rsid w:val="00FB0067"/>
    <w:rsid w:val="00FB0281"/>
    <w:rsid w:val="00FB05AF"/>
    <w:rsid w:val="00FB0ADF"/>
    <w:rsid w:val="00FB0D25"/>
    <w:rsid w:val="00FB0D79"/>
    <w:rsid w:val="00FB1BC9"/>
    <w:rsid w:val="00FB2418"/>
    <w:rsid w:val="00FB29DE"/>
    <w:rsid w:val="00FB2ADB"/>
    <w:rsid w:val="00FB44D7"/>
    <w:rsid w:val="00FB4FD5"/>
    <w:rsid w:val="00FB62F2"/>
    <w:rsid w:val="00FB779C"/>
    <w:rsid w:val="00FB78F7"/>
    <w:rsid w:val="00FC06A0"/>
    <w:rsid w:val="00FC0BC1"/>
    <w:rsid w:val="00FC4CE2"/>
    <w:rsid w:val="00FC4E2F"/>
    <w:rsid w:val="00FC58CF"/>
    <w:rsid w:val="00FC6256"/>
    <w:rsid w:val="00FC69EA"/>
    <w:rsid w:val="00FC7E8D"/>
    <w:rsid w:val="00FD009B"/>
    <w:rsid w:val="00FD06D8"/>
    <w:rsid w:val="00FD0BF2"/>
    <w:rsid w:val="00FD1AC4"/>
    <w:rsid w:val="00FD3340"/>
    <w:rsid w:val="00FD5944"/>
    <w:rsid w:val="00FD5D19"/>
    <w:rsid w:val="00FD6E84"/>
    <w:rsid w:val="00FD7218"/>
    <w:rsid w:val="00FE0C15"/>
    <w:rsid w:val="00FE1832"/>
    <w:rsid w:val="00FE3839"/>
    <w:rsid w:val="00FE3B60"/>
    <w:rsid w:val="00FE4000"/>
    <w:rsid w:val="00FE4A31"/>
    <w:rsid w:val="00FE5444"/>
    <w:rsid w:val="00FE6EB9"/>
    <w:rsid w:val="00FF1869"/>
    <w:rsid w:val="00FF1E06"/>
    <w:rsid w:val="00FF226D"/>
    <w:rsid w:val="00FF476E"/>
    <w:rsid w:val="00FF4890"/>
    <w:rsid w:val="00FF5C24"/>
    <w:rsid w:val="00FF6F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F55AF"/>
  <w15:docId w15:val="{FC438A3C-E378-4A4B-85DA-0039092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57"/>
    <w:pPr>
      <w:spacing w:after="0" w:line="240" w:lineRule="auto"/>
    </w:pPr>
    <w:rPr>
      <w:rFonts w:ascii="Calibri" w:eastAsia="Times New Roman" w:hAnsi="Calibri" w:cs="Times New Roman"/>
      <w:sz w:val="24"/>
      <w:szCs w:val="24"/>
      <w:lang w:val="fr-FR" w:eastAsia="fr-FR"/>
    </w:rPr>
  </w:style>
  <w:style w:type="paragraph" w:styleId="Titre1">
    <w:name w:val="heading 1"/>
    <w:basedOn w:val="Normal"/>
    <w:next w:val="Normal"/>
    <w:link w:val="Titre1Car"/>
    <w:qFormat/>
    <w:rsid w:val="00F44EAA"/>
    <w:pPr>
      <w:keepNext/>
      <w:numPr>
        <w:numId w:val="1"/>
      </w:numPr>
      <w:jc w:val="both"/>
      <w:outlineLvl w:val="0"/>
    </w:pPr>
    <w:rPr>
      <w:b/>
      <w:caps/>
      <w:u w:val="single"/>
    </w:rPr>
  </w:style>
  <w:style w:type="paragraph" w:styleId="Titre2">
    <w:name w:val="heading 2"/>
    <w:basedOn w:val="Normal"/>
    <w:next w:val="Normal"/>
    <w:link w:val="Titre2Car"/>
    <w:qFormat/>
    <w:rsid w:val="004A2669"/>
    <w:pPr>
      <w:keepNext/>
      <w:keepLines/>
      <w:spacing w:before="200" w:line="264" w:lineRule="auto"/>
      <w:outlineLvl w:val="1"/>
    </w:pPr>
    <w:rPr>
      <w:rFonts w:ascii="Cambria" w:hAnsi="Cambria"/>
      <w:b/>
      <w:color w:val="FF0000"/>
      <w:sz w:val="26"/>
      <w:szCs w:val="20"/>
      <w:lang w:eastAsia="zh-CN"/>
    </w:rPr>
  </w:style>
  <w:style w:type="paragraph" w:styleId="Titre3">
    <w:name w:val="heading 3"/>
    <w:basedOn w:val="Normal"/>
    <w:next w:val="Normal"/>
    <w:link w:val="Titre3Car"/>
    <w:qFormat/>
    <w:rsid w:val="004A2669"/>
    <w:pPr>
      <w:keepNext/>
      <w:spacing w:before="240" w:after="60" w:line="276" w:lineRule="auto"/>
      <w:outlineLvl w:val="2"/>
    </w:pPr>
    <w:rPr>
      <w:rFonts w:ascii="Cambria" w:hAnsi="Cambria"/>
      <w:b/>
      <w:sz w:val="26"/>
      <w:szCs w:val="20"/>
      <w:lang w:eastAsia="zh-CN"/>
    </w:rPr>
  </w:style>
  <w:style w:type="paragraph" w:styleId="Titre4">
    <w:name w:val="heading 4"/>
    <w:basedOn w:val="Normal"/>
    <w:next w:val="Normal"/>
    <w:link w:val="Titre4Car"/>
    <w:uiPriority w:val="9"/>
    <w:qFormat/>
    <w:rsid w:val="00313BC0"/>
    <w:pPr>
      <w:keepNext/>
      <w:spacing w:before="240" w:after="60"/>
      <w:outlineLvl w:val="3"/>
    </w:pPr>
    <w:rPr>
      <w:b/>
      <w:bCs/>
      <w:sz w:val="28"/>
      <w:szCs w:val="28"/>
    </w:rPr>
  </w:style>
  <w:style w:type="paragraph" w:styleId="Titre5">
    <w:name w:val="heading 5"/>
    <w:basedOn w:val="Normal"/>
    <w:next w:val="Normal"/>
    <w:link w:val="Titre5Car"/>
    <w:uiPriority w:val="9"/>
    <w:qFormat/>
    <w:rsid w:val="00313BC0"/>
    <w:pPr>
      <w:spacing w:before="240" w:after="60"/>
      <w:outlineLvl w:val="4"/>
    </w:pPr>
    <w:rPr>
      <w:b/>
      <w:bCs/>
      <w:i/>
      <w:iCs/>
      <w:sz w:val="26"/>
      <w:szCs w:val="26"/>
    </w:rPr>
  </w:style>
  <w:style w:type="paragraph" w:styleId="Titre6">
    <w:name w:val="heading 6"/>
    <w:basedOn w:val="Normal"/>
    <w:next w:val="Normal"/>
    <w:link w:val="Titre6Car"/>
    <w:qFormat/>
    <w:rsid w:val="004A2669"/>
    <w:pPr>
      <w:widowControl w:val="0"/>
      <w:suppressAutoHyphens/>
      <w:spacing w:before="240" w:after="60"/>
      <w:outlineLvl w:val="5"/>
    </w:pPr>
    <w:rPr>
      <w:b/>
      <w:bCs/>
      <w:kern w:val="1"/>
      <w:sz w:val="20"/>
      <w:szCs w:val="20"/>
      <w:lang w:val="fr-BE" w:eastAsia="zh-CN"/>
    </w:rPr>
  </w:style>
  <w:style w:type="paragraph" w:styleId="Titre9">
    <w:name w:val="heading 9"/>
    <w:basedOn w:val="Normal"/>
    <w:next w:val="Normal"/>
    <w:link w:val="Titre9Car"/>
    <w:qFormat/>
    <w:rsid w:val="004A2669"/>
    <w:pPr>
      <w:widowControl w:val="0"/>
      <w:suppressAutoHyphens/>
      <w:spacing w:before="240" w:after="60"/>
      <w:outlineLvl w:val="8"/>
    </w:pPr>
    <w:rPr>
      <w:rFonts w:ascii="Cambria" w:hAnsi="Cambria"/>
      <w:kern w:val="1"/>
      <w:sz w:val="20"/>
      <w:szCs w:val="20"/>
      <w:lang w:val="fr-B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44EAA"/>
    <w:rPr>
      <w:rFonts w:ascii="Times New Roman" w:eastAsia="Times New Roman" w:hAnsi="Times New Roman" w:cs="Times New Roman"/>
      <w:b/>
      <w:caps/>
      <w:sz w:val="24"/>
      <w:szCs w:val="24"/>
      <w:u w:val="single"/>
      <w:lang w:val="fr-FR" w:eastAsia="fr-FR"/>
    </w:rPr>
  </w:style>
  <w:style w:type="character" w:customStyle="1" w:styleId="Titre4Car">
    <w:name w:val="Titre 4 Car"/>
    <w:basedOn w:val="Policepardfaut"/>
    <w:link w:val="Titre4"/>
    <w:rsid w:val="00313BC0"/>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uiPriority w:val="9"/>
    <w:rsid w:val="00313BC0"/>
    <w:rPr>
      <w:rFonts w:ascii="Times New Roman" w:eastAsia="Times New Roman" w:hAnsi="Times New Roman" w:cs="Times New Roman"/>
      <w:b/>
      <w:bCs/>
      <w:i/>
      <w:iCs/>
      <w:sz w:val="26"/>
      <w:szCs w:val="26"/>
      <w:lang w:val="fr-FR" w:eastAsia="fr-FR"/>
    </w:rPr>
  </w:style>
  <w:style w:type="paragraph" w:styleId="Retraitcorpsdetexte2">
    <w:name w:val="Body Text Indent 2"/>
    <w:basedOn w:val="Normal"/>
    <w:link w:val="Retraitcorpsdetexte2Car"/>
    <w:rsid w:val="00313BC0"/>
    <w:pPr>
      <w:spacing w:after="120" w:line="480" w:lineRule="auto"/>
      <w:ind w:left="283"/>
    </w:pPr>
  </w:style>
  <w:style w:type="character" w:customStyle="1" w:styleId="Retraitcorpsdetexte2Car">
    <w:name w:val="Retrait corps de texte 2 Car"/>
    <w:basedOn w:val="Policepardfaut"/>
    <w:link w:val="Retraitcorpsdetexte2"/>
    <w:rsid w:val="00313BC0"/>
    <w:rPr>
      <w:rFonts w:ascii="Times New Roman" w:eastAsia="Times New Roman" w:hAnsi="Times New Roman" w:cs="Times New Roman"/>
      <w:sz w:val="24"/>
      <w:szCs w:val="24"/>
      <w:lang w:val="fr-FR" w:eastAsia="fr-FR"/>
    </w:rPr>
  </w:style>
  <w:style w:type="paragraph" w:styleId="Paragraphedeliste">
    <w:name w:val="List Paragraph"/>
    <w:aliases w:val="Paragraphe + puce,Lettre d'introduction,liste à numéros,Puce tiret"/>
    <w:basedOn w:val="Normal"/>
    <w:link w:val="ParagraphedelisteCar"/>
    <w:uiPriority w:val="34"/>
    <w:qFormat/>
    <w:rsid w:val="00313BC0"/>
    <w:pPr>
      <w:ind w:left="708"/>
    </w:pPr>
  </w:style>
  <w:style w:type="paragraph" w:styleId="En-tte">
    <w:name w:val="header"/>
    <w:basedOn w:val="Normal"/>
    <w:link w:val="En-tteCar"/>
    <w:rsid w:val="00313BC0"/>
    <w:pPr>
      <w:tabs>
        <w:tab w:val="center" w:pos="4536"/>
        <w:tab w:val="right" w:pos="9072"/>
      </w:tabs>
    </w:pPr>
  </w:style>
  <w:style w:type="character" w:customStyle="1" w:styleId="En-tteCar">
    <w:name w:val="En-tête Car"/>
    <w:basedOn w:val="Policepardfaut"/>
    <w:link w:val="En-tte"/>
    <w:rsid w:val="00313BC0"/>
    <w:rPr>
      <w:rFonts w:ascii="Times New Roman" w:eastAsia="Times New Roman" w:hAnsi="Times New Roman" w:cs="Times New Roman"/>
      <w:sz w:val="24"/>
      <w:szCs w:val="24"/>
    </w:rPr>
  </w:style>
  <w:style w:type="paragraph" w:styleId="Pieddepage">
    <w:name w:val="footer"/>
    <w:basedOn w:val="Normal"/>
    <w:link w:val="PieddepageCar"/>
    <w:uiPriority w:val="99"/>
    <w:rsid w:val="00313BC0"/>
    <w:pPr>
      <w:tabs>
        <w:tab w:val="center" w:pos="4536"/>
        <w:tab w:val="right" w:pos="9072"/>
      </w:tabs>
    </w:pPr>
  </w:style>
  <w:style w:type="character" w:customStyle="1" w:styleId="PieddepageCar">
    <w:name w:val="Pied de page Car"/>
    <w:basedOn w:val="Policepardfaut"/>
    <w:link w:val="Pieddepage"/>
    <w:uiPriority w:val="99"/>
    <w:rsid w:val="00313BC0"/>
    <w:rPr>
      <w:rFonts w:ascii="Times New Roman" w:eastAsia="Times New Roman" w:hAnsi="Times New Roman" w:cs="Times New Roman"/>
      <w:sz w:val="24"/>
      <w:szCs w:val="24"/>
    </w:rPr>
  </w:style>
  <w:style w:type="character" w:customStyle="1" w:styleId="ParagraphedelisteCar">
    <w:name w:val="Paragraphe de liste Car"/>
    <w:aliases w:val="Paragraphe + puce Car,Lettre d'introduction Car,liste à numéros Car,Puce tiret Car"/>
    <w:link w:val="Paragraphedeliste"/>
    <w:uiPriority w:val="34"/>
    <w:rsid w:val="00313BC0"/>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rsid w:val="00313BC0"/>
    <w:pPr>
      <w:spacing w:after="120"/>
      <w:ind w:left="283"/>
    </w:pPr>
    <w:rPr>
      <w:sz w:val="16"/>
      <w:szCs w:val="16"/>
    </w:rPr>
  </w:style>
  <w:style w:type="character" w:customStyle="1" w:styleId="Retraitcorpsdetexte3Car">
    <w:name w:val="Retrait corps de texte 3 Car"/>
    <w:basedOn w:val="Policepardfaut"/>
    <w:link w:val="Retraitcorpsdetexte3"/>
    <w:rsid w:val="00313BC0"/>
    <w:rPr>
      <w:rFonts w:ascii="Times New Roman" w:eastAsia="Times New Roman" w:hAnsi="Times New Roman" w:cs="Times New Roman"/>
      <w:sz w:val="16"/>
      <w:szCs w:val="16"/>
      <w:lang w:val="fr-FR" w:eastAsia="fr-FR"/>
    </w:rPr>
  </w:style>
  <w:style w:type="character" w:styleId="Lienhypertexte">
    <w:name w:val="Hyperlink"/>
    <w:uiPriority w:val="99"/>
    <w:rsid w:val="00313BC0"/>
    <w:rPr>
      <w:color w:val="0000FF"/>
      <w:u w:val="single"/>
    </w:rPr>
  </w:style>
  <w:style w:type="paragraph" w:styleId="Textedebulles">
    <w:name w:val="Balloon Text"/>
    <w:basedOn w:val="Normal"/>
    <w:link w:val="TextedebullesCar"/>
    <w:unhideWhenUsed/>
    <w:rsid w:val="00EA419A"/>
    <w:rPr>
      <w:rFonts w:ascii="Tahoma" w:hAnsi="Tahoma" w:cs="Tahoma"/>
      <w:sz w:val="16"/>
      <w:szCs w:val="16"/>
    </w:rPr>
  </w:style>
  <w:style w:type="character" w:customStyle="1" w:styleId="TextedebullesCar">
    <w:name w:val="Texte de bulles Car"/>
    <w:basedOn w:val="Policepardfaut"/>
    <w:link w:val="Textedebulles"/>
    <w:rsid w:val="00EA419A"/>
    <w:rPr>
      <w:rFonts w:ascii="Tahoma" w:eastAsia="Times New Roman" w:hAnsi="Tahoma" w:cs="Tahoma"/>
      <w:sz w:val="16"/>
      <w:szCs w:val="16"/>
      <w:lang w:val="fr-FR" w:eastAsia="fr-FR"/>
    </w:rPr>
  </w:style>
  <w:style w:type="paragraph" w:customStyle="1" w:styleId="Sam1">
    <w:name w:val="Sam 1"/>
    <w:basedOn w:val="Normal"/>
    <w:link w:val="Sam1Car"/>
    <w:qFormat/>
    <w:rsid w:val="001E1C45"/>
    <w:pPr>
      <w:numPr>
        <w:numId w:val="2"/>
      </w:numPr>
      <w:spacing w:before="240" w:after="240"/>
      <w:jc w:val="both"/>
    </w:pPr>
    <w:rPr>
      <w:b/>
      <w:i/>
      <w:sz w:val="26"/>
      <w:szCs w:val="26"/>
      <w:u w:val="single"/>
      <w:lang w:val="fr-BE"/>
    </w:rPr>
  </w:style>
  <w:style w:type="paragraph" w:customStyle="1" w:styleId="Sam2">
    <w:name w:val="Sam 2"/>
    <w:basedOn w:val="Sam1"/>
    <w:qFormat/>
    <w:rsid w:val="001E1353"/>
    <w:pPr>
      <w:numPr>
        <w:ilvl w:val="1"/>
      </w:numPr>
    </w:pPr>
    <w:rPr>
      <w:i w:val="0"/>
    </w:rPr>
  </w:style>
  <w:style w:type="paragraph" w:customStyle="1" w:styleId="Sam3">
    <w:name w:val="Sam 3"/>
    <w:basedOn w:val="Sam2"/>
    <w:autoRedefine/>
    <w:qFormat/>
    <w:rsid w:val="00256E9F"/>
    <w:pPr>
      <w:numPr>
        <w:ilvl w:val="0"/>
        <w:numId w:val="0"/>
      </w:numPr>
      <w:spacing w:before="0" w:after="0"/>
    </w:pPr>
    <w:rPr>
      <w:rFonts w:asciiTheme="minorHAnsi" w:eastAsia="PMingLiU" w:hAnsiTheme="minorHAnsi"/>
      <w:bCs/>
      <w:sz w:val="24"/>
      <w:szCs w:val="24"/>
      <w:u w:val="none"/>
    </w:rPr>
  </w:style>
  <w:style w:type="paragraph" w:customStyle="1" w:styleId="Sam5">
    <w:name w:val="Sam 5"/>
    <w:basedOn w:val="Sam3"/>
    <w:autoRedefine/>
    <w:qFormat/>
    <w:rsid w:val="00AC2EAD"/>
    <w:pPr>
      <w:numPr>
        <w:ilvl w:val="3"/>
      </w:numPr>
      <w:ind w:firstLine="709"/>
    </w:pPr>
    <w:rPr>
      <w:b w:val="0"/>
    </w:rPr>
  </w:style>
  <w:style w:type="paragraph" w:customStyle="1" w:styleId="Sam4">
    <w:name w:val="Sam 4"/>
    <w:basedOn w:val="Normal"/>
    <w:qFormat/>
    <w:rsid w:val="002F45FA"/>
    <w:pPr>
      <w:numPr>
        <w:ilvl w:val="4"/>
        <w:numId w:val="2"/>
      </w:numPr>
    </w:pPr>
    <w:rPr>
      <w:rFonts w:asciiTheme="minorHAnsi" w:hAnsiTheme="minorHAnsi"/>
      <w:b/>
      <w:i/>
      <w:u w:val="single"/>
      <w:lang w:val="fr-BE"/>
    </w:rPr>
  </w:style>
  <w:style w:type="table" w:styleId="Grilledutableau">
    <w:name w:val="Table Grid"/>
    <w:basedOn w:val="TableauNormal"/>
    <w:uiPriority w:val="59"/>
    <w:rsid w:val="009B75F7"/>
    <w:pPr>
      <w:spacing w:after="0" w:line="240" w:lineRule="auto"/>
    </w:pPr>
    <w:rPr>
      <w:rFonts w:eastAsiaTheme="minorEastAsia"/>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1Car">
    <w:name w:val="Sam 1 Car"/>
    <w:basedOn w:val="Policepardfaut"/>
    <w:link w:val="Sam1"/>
    <w:rsid w:val="001E1C45"/>
    <w:rPr>
      <w:rFonts w:ascii="Calibri" w:eastAsia="Times New Roman" w:hAnsi="Calibri" w:cs="Times New Roman"/>
      <w:b/>
      <w:i/>
      <w:sz w:val="26"/>
      <w:szCs w:val="26"/>
      <w:u w:val="single"/>
      <w:lang w:eastAsia="fr-FR"/>
    </w:rPr>
  </w:style>
  <w:style w:type="paragraph" w:customStyle="1" w:styleId="Style1">
    <w:name w:val="Style1"/>
    <w:basedOn w:val="Normal"/>
    <w:link w:val="Style1Car"/>
    <w:qFormat/>
    <w:rsid w:val="008B3B87"/>
    <w:pPr>
      <w:ind w:left="1080" w:hanging="720"/>
    </w:pPr>
    <w:rPr>
      <w:rFonts w:ascii="Arial" w:eastAsia="Calibri" w:hAnsi="Arial"/>
      <w:b/>
      <w:i/>
      <w:u w:val="single"/>
      <w:lang w:val="fr-BE"/>
    </w:rPr>
  </w:style>
  <w:style w:type="character" w:customStyle="1" w:styleId="Style1Car">
    <w:name w:val="Style1 Car"/>
    <w:basedOn w:val="Policepardfaut"/>
    <w:link w:val="Style1"/>
    <w:rsid w:val="008B3B87"/>
    <w:rPr>
      <w:rFonts w:ascii="Arial" w:eastAsia="Calibri" w:hAnsi="Arial" w:cs="Times New Roman"/>
      <w:b/>
      <w:i/>
      <w:sz w:val="24"/>
      <w:szCs w:val="24"/>
      <w:u w:val="single"/>
      <w:lang w:eastAsia="fr-FR"/>
    </w:rPr>
  </w:style>
  <w:style w:type="character" w:customStyle="1" w:styleId="Titre2Car">
    <w:name w:val="Titre 2 Car"/>
    <w:basedOn w:val="Policepardfaut"/>
    <w:link w:val="Titre2"/>
    <w:rsid w:val="004A2669"/>
    <w:rPr>
      <w:rFonts w:ascii="Cambria" w:eastAsia="Times New Roman" w:hAnsi="Cambria" w:cs="Times New Roman"/>
      <w:b/>
      <w:color w:val="FF0000"/>
      <w:sz w:val="26"/>
      <w:szCs w:val="20"/>
      <w:lang w:val="fr-FR" w:eastAsia="zh-CN"/>
    </w:rPr>
  </w:style>
  <w:style w:type="character" w:customStyle="1" w:styleId="Titre3Car">
    <w:name w:val="Titre 3 Car"/>
    <w:basedOn w:val="Policepardfaut"/>
    <w:link w:val="Titre3"/>
    <w:rsid w:val="004A2669"/>
    <w:rPr>
      <w:rFonts w:ascii="Cambria" w:eastAsia="Times New Roman" w:hAnsi="Cambria" w:cs="Times New Roman"/>
      <w:b/>
      <w:sz w:val="26"/>
      <w:szCs w:val="20"/>
      <w:lang w:val="fr-FR" w:eastAsia="zh-CN"/>
    </w:rPr>
  </w:style>
  <w:style w:type="character" w:customStyle="1" w:styleId="Titre6Car">
    <w:name w:val="Titre 6 Car"/>
    <w:basedOn w:val="Policepardfaut"/>
    <w:link w:val="Titre6"/>
    <w:rsid w:val="004A2669"/>
    <w:rPr>
      <w:rFonts w:ascii="Calibri" w:eastAsia="Times New Roman" w:hAnsi="Calibri" w:cs="Times New Roman"/>
      <w:b/>
      <w:bCs/>
      <w:kern w:val="1"/>
      <w:sz w:val="20"/>
      <w:szCs w:val="20"/>
      <w:lang w:eastAsia="zh-CN"/>
    </w:rPr>
  </w:style>
  <w:style w:type="character" w:customStyle="1" w:styleId="Titre9Car">
    <w:name w:val="Titre 9 Car"/>
    <w:basedOn w:val="Policepardfaut"/>
    <w:link w:val="Titre9"/>
    <w:rsid w:val="004A2669"/>
    <w:rPr>
      <w:rFonts w:ascii="Cambria" w:eastAsia="Times New Roman" w:hAnsi="Cambria" w:cs="Times New Roman"/>
      <w:kern w:val="1"/>
      <w:sz w:val="20"/>
      <w:szCs w:val="20"/>
      <w:lang w:eastAsia="zh-CN"/>
    </w:rPr>
  </w:style>
  <w:style w:type="paragraph" w:customStyle="1" w:styleId="WW-Standard">
    <w:name w:val="WW-Standard"/>
    <w:rsid w:val="004A2669"/>
    <w:pPr>
      <w:suppressAutoHyphens/>
      <w:spacing w:before="120" w:after="0" w:line="240" w:lineRule="auto"/>
      <w:jc w:val="both"/>
    </w:pPr>
    <w:rPr>
      <w:rFonts w:ascii="Times New Roman" w:eastAsia="Arial" w:hAnsi="Times New Roman" w:cs="Times New Roman"/>
      <w:kern w:val="1"/>
      <w:sz w:val="24"/>
      <w:szCs w:val="24"/>
      <w:lang w:val="fr-FR" w:eastAsia="zh-CN"/>
    </w:rPr>
  </w:style>
  <w:style w:type="paragraph" w:customStyle="1" w:styleId="Titre11">
    <w:name w:val="Titre 11"/>
    <w:basedOn w:val="WW-Standard"/>
    <w:next w:val="Normal"/>
    <w:rsid w:val="004A2669"/>
    <w:pPr>
      <w:keepNext/>
      <w:numPr>
        <w:numId w:val="10"/>
      </w:numPr>
      <w:spacing w:before="240" w:after="240"/>
      <w:jc w:val="center"/>
      <w:outlineLvl w:val="0"/>
    </w:pPr>
    <w:rPr>
      <w:b/>
      <w:caps/>
    </w:rPr>
  </w:style>
  <w:style w:type="paragraph" w:customStyle="1" w:styleId="Titre21">
    <w:name w:val="Titre 21"/>
    <w:next w:val="Normal"/>
    <w:rsid w:val="004A2669"/>
    <w:pPr>
      <w:widowControl w:val="0"/>
      <w:numPr>
        <w:ilvl w:val="1"/>
        <w:numId w:val="10"/>
      </w:numPr>
      <w:suppressAutoHyphens/>
      <w:spacing w:before="120" w:after="120" w:line="240" w:lineRule="auto"/>
      <w:jc w:val="both"/>
      <w:outlineLvl w:val="1"/>
    </w:pPr>
    <w:rPr>
      <w:rFonts w:ascii="Times New Roman" w:eastAsia="Arial" w:hAnsi="Times New Roman" w:cs="Times New Roman"/>
      <w:caps/>
      <w:kern w:val="1"/>
      <w:sz w:val="20"/>
      <w:szCs w:val="20"/>
      <w:u w:val="single"/>
      <w:lang w:eastAsia="zh-CN"/>
    </w:rPr>
  </w:style>
  <w:style w:type="paragraph" w:customStyle="1" w:styleId="Titre51">
    <w:name w:val="Titre 51"/>
    <w:basedOn w:val="WW-Standard"/>
    <w:next w:val="Normal"/>
    <w:rsid w:val="004A2669"/>
    <w:pPr>
      <w:numPr>
        <w:ilvl w:val="4"/>
        <w:numId w:val="10"/>
      </w:numPr>
      <w:spacing w:before="360"/>
      <w:outlineLvl w:val="4"/>
    </w:pPr>
    <w:rPr>
      <w:b/>
    </w:rPr>
  </w:style>
  <w:style w:type="paragraph" w:customStyle="1" w:styleId="Titre61">
    <w:name w:val="Titre 61"/>
    <w:basedOn w:val="WW-Standard"/>
    <w:next w:val="Normal"/>
    <w:rsid w:val="004A2669"/>
    <w:pPr>
      <w:keepNext/>
      <w:numPr>
        <w:ilvl w:val="5"/>
        <w:numId w:val="10"/>
      </w:numPr>
      <w:outlineLvl w:val="5"/>
    </w:pPr>
    <w:rPr>
      <w:rFonts w:ascii="Arial" w:hAnsi="Arial"/>
    </w:rPr>
  </w:style>
  <w:style w:type="paragraph" w:customStyle="1" w:styleId="Titre71">
    <w:name w:val="Titre 71"/>
    <w:basedOn w:val="WW-Standard"/>
    <w:next w:val="Normal"/>
    <w:rsid w:val="004A2669"/>
    <w:pPr>
      <w:keepNext/>
      <w:numPr>
        <w:ilvl w:val="6"/>
        <w:numId w:val="10"/>
      </w:numPr>
      <w:outlineLvl w:val="6"/>
    </w:pPr>
    <w:rPr>
      <w:rFonts w:ascii="Arial" w:hAnsi="Arial"/>
      <w:u w:val="single"/>
    </w:rPr>
  </w:style>
  <w:style w:type="paragraph" w:customStyle="1" w:styleId="Titre81">
    <w:name w:val="Titre 81"/>
    <w:basedOn w:val="WW-Standard"/>
    <w:next w:val="Normal"/>
    <w:rsid w:val="004A2669"/>
    <w:pPr>
      <w:keepNext/>
      <w:numPr>
        <w:ilvl w:val="7"/>
        <w:numId w:val="10"/>
      </w:numPr>
      <w:spacing w:before="240" w:after="120"/>
      <w:outlineLvl w:val="7"/>
    </w:pPr>
    <w:rPr>
      <w:rFonts w:ascii="Arial" w:hAnsi="Arial"/>
      <w:u w:val="single"/>
    </w:rPr>
  </w:style>
  <w:style w:type="paragraph" w:customStyle="1" w:styleId="Titre91">
    <w:name w:val="Titre 91"/>
    <w:basedOn w:val="WW-Standard"/>
    <w:next w:val="Normal"/>
    <w:rsid w:val="004A2669"/>
    <w:pPr>
      <w:keepNext/>
      <w:numPr>
        <w:ilvl w:val="8"/>
        <w:numId w:val="10"/>
      </w:numPr>
      <w:spacing w:after="120"/>
      <w:outlineLvl w:val="8"/>
    </w:pPr>
    <w:rPr>
      <w:rFonts w:ascii="Arial" w:hAnsi="Arial"/>
      <w:b/>
      <w:u w:val="single"/>
    </w:rPr>
  </w:style>
  <w:style w:type="paragraph" w:styleId="Notedebasdepage">
    <w:name w:val="footnote text"/>
    <w:basedOn w:val="Normal"/>
    <w:link w:val="NotedebasdepageCar"/>
    <w:uiPriority w:val="99"/>
    <w:unhideWhenUsed/>
    <w:rsid w:val="004A2669"/>
    <w:rPr>
      <w:rFonts w:eastAsia="PMingLiU"/>
      <w:sz w:val="20"/>
      <w:szCs w:val="20"/>
      <w:lang w:val="en-US" w:eastAsia="en-US"/>
    </w:rPr>
  </w:style>
  <w:style w:type="character" w:customStyle="1" w:styleId="NotedebasdepageCar">
    <w:name w:val="Note de bas de page Car"/>
    <w:basedOn w:val="Policepardfaut"/>
    <w:link w:val="Notedebasdepage"/>
    <w:uiPriority w:val="99"/>
    <w:rsid w:val="004A2669"/>
    <w:rPr>
      <w:rFonts w:ascii="Times New Roman" w:eastAsia="PMingLiU" w:hAnsi="Times New Roman" w:cs="Times New Roman"/>
      <w:sz w:val="20"/>
      <w:szCs w:val="20"/>
      <w:lang w:val="en-US"/>
    </w:rPr>
  </w:style>
  <w:style w:type="character" w:styleId="Appelnotedebasdep">
    <w:name w:val="footnote reference"/>
    <w:uiPriority w:val="99"/>
    <w:unhideWhenUsed/>
    <w:rsid w:val="004A2669"/>
    <w:rPr>
      <w:vertAlign w:val="superscript"/>
    </w:rPr>
  </w:style>
  <w:style w:type="paragraph" w:styleId="Notedefin">
    <w:name w:val="endnote text"/>
    <w:basedOn w:val="Normal"/>
    <w:link w:val="NotedefinCar"/>
    <w:uiPriority w:val="99"/>
    <w:semiHidden/>
    <w:unhideWhenUsed/>
    <w:rsid w:val="004A2669"/>
    <w:rPr>
      <w:rFonts w:eastAsia="PMingLiU"/>
      <w:sz w:val="20"/>
      <w:szCs w:val="20"/>
      <w:lang w:val="en-US" w:eastAsia="en-US"/>
    </w:rPr>
  </w:style>
  <w:style w:type="character" w:customStyle="1" w:styleId="NotedefinCar">
    <w:name w:val="Note de fin Car"/>
    <w:basedOn w:val="Policepardfaut"/>
    <w:link w:val="Notedefin"/>
    <w:uiPriority w:val="99"/>
    <w:semiHidden/>
    <w:rsid w:val="004A2669"/>
    <w:rPr>
      <w:rFonts w:ascii="Times New Roman" w:eastAsia="PMingLiU" w:hAnsi="Times New Roman" w:cs="Times New Roman"/>
      <w:sz w:val="20"/>
      <w:szCs w:val="20"/>
      <w:lang w:val="en-US"/>
    </w:rPr>
  </w:style>
  <w:style w:type="character" w:styleId="Appeldenotedefin">
    <w:name w:val="endnote reference"/>
    <w:uiPriority w:val="99"/>
    <w:semiHidden/>
    <w:unhideWhenUsed/>
    <w:rsid w:val="004A2669"/>
    <w:rPr>
      <w:vertAlign w:val="superscript"/>
    </w:rPr>
  </w:style>
  <w:style w:type="character" w:customStyle="1" w:styleId="WW8Num1z1">
    <w:name w:val="WW8Num1z1"/>
    <w:rsid w:val="004A2669"/>
    <w:rPr>
      <w:rFonts w:cs="Times New Roman"/>
    </w:rPr>
  </w:style>
  <w:style w:type="character" w:customStyle="1" w:styleId="WW8Num3z0">
    <w:name w:val="WW8Num3z0"/>
    <w:rsid w:val="004A2669"/>
    <w:rPr>
      <w:rFonts w:eastAsia="Times New Roman" w:cs="Times New Roman"/>
    </w:rPr>
  </w:style>
  <w:style w:type="character" w:customStyle="1" w:styleId="WW8Num3z1">
    <w:name w:val="WW8Num3z1"/>
    <w:rsid w:val="004A2669"/>
    <w:rPr>
      <w:rFonts w:cs="Times New Roman"/>
    </w:rPr>
  </w:style>
  <w:style w:type="character" w:customStyle="1" w:styleId="WW8Num4z1">
    <w:name w:val="WW8Num4z1"/>
    <w:rsid w:val="004A2669"/>
    <w:rPr>
      <w:rFonts w:cs="Times New Roman"/>
    </w:rPr>
  </w:style>
  <w:style w:type="character" w:customStyle="1" w:styleId="WW8Num5z0">
    <w:name w:val="WW8Num5z0"/>
    <w:rsid w:val="004A2669"/>
    <w:rPr>
      <w:rFonts w:cs="Times New Roman"/>
    </w:rPr>
  </w:style>
  <w:style w:type="character" w:customStyle="1" w:styleId="WW8Num7z1">
    <w:name w:val="WW8Num7z1"/>
    <w:rsid w:val="004A2669"/>
    <w:rPr>
      <w:rFonts w:cs="Times New Roman"/>
    </w:rPr>
  </w:style>
  <w:style w:type="character" w:customStyle="1" w:styleId="WW8Num9z1">
    <w:name w:val="WW8Num9z1"/>
    <w:rsid w:val="004A2669"/>
    <w:rPr>
      <w:rFonts w:cs="Times New Roman"/>
    </w:rPr>
  </w:style>
  <w:style w:type="character" w:customStyle="1" w:styleId="WW8Num11z1">
    <w:name w:val="WW8Num11z1"/>
    <w:rsid w:val="004A2669"/>
    <w:rPr>
      <w:rFonts w:cs="Times New Roman"/>
    </w:rPr>
  </w:style>
  <w:style w:type="character" w:customStyle="1" w:styleId="WW8Num12z0">
    <w:name w:val="WW8Num12z0"/>
    <w:rsid w:val="004A2669"/>
    <w:rPr>
      <w:rFonts w:cs="Times New Roman"/>
    </w:rPr>
  </w:style>
  <w:style w:type="character" w:customStyle="1" w:styleId="WW8Num14z0">
    <w:name w:val="WW8Num14z0"/>
    <w:rsid w:val="004A2669"/>
    <w:rPr>
      <w:rFonts w:cs="Times New Roman"/>
    </w:rPr>
  </w:style>
  <w:style w:type="character" w:customStyle="1" w:styleId="WW8Num14z1">
    <w:name w:val="WW8Num14z1"/>
    <w:rsid w:val="004A2669"/>
    <w:rPr>
      <w:rFonts w:eastAsia="Times New Roman" w:cs="Times New Roman"/>
    </w:rPr>
  </w:style>
  <w:style w:type="character" w:customStyle="1" w:styleId="WW8Num15z1">
    <w:name w:val="WW8Num15z1"/>
    <w:rsid w:val="004A2669"/>
    <w:rPr>
      <w:rFonts w:cs="Times New Roman"/>
    </w:rPr>
  </w:style>
  <w:style w:type="character" w:customStyle="1" w:styleId="WW8Num16z0">
    <w:name w:val="WW8Num16z0"/>
    <w:rsid w:val="004A2669"/>
    <w:rPr>
      <w:rFonts w:cs="Times New Roman"/>
    </w:rPr>
  </w:style>
  <w:style w:type="character" w:customStyle="1" w:styleId="WW8Num17z0">
    <w:name w:val="WW8Num17z0"/>
    <w:rsid w:val="004A2669"/>
    <w:rPr>
      <w:rFonts w:cs="Times New Roman"/>
    </w:rPr>
  </w:style>
  <w:style w:type="character" w:customStyle="1" w:styleId="WW8Num18z0">
    <w:name w:val="WW8Num18z0"/>
    <w:rsid w:val="004A2669"/>
    <w:rPr>
      <w:rFonts w:cs="Times New Roman"/>
    </w:rPr>
  </w:style>
  <w:style w:type="character" w:customStyle="1" w:styleId="WW8Num21z1">
    <w:name w:val="WW8Num21z1"/>
    <w:rsid w:val="004A2669"/>
    <w:rPr>
      <w:rFonts w:ascii="Courier New" w:hAnsi="Courier New" w:cs="Calibri"/>
    </w:rPr>
  </w:style>
  <w:style w:type="character" w:customStyle="1" w:styleId="WW8Num21z2">
    <w:name w:val="WW8Num21z2"/>
    <w:rsid w:val="004A2669"/>
    <w:rPr>
      <w:rFonts w:ascii="Wingdings" w:hAnsi="Wingdings"/>
    </w:rPr>
  </w:style>
  <w:style w:type="character" w:customStyle="1" w:styleId="WW8Num21z3">
    <w:name w:val="WW8Num21z3"/>
    <w:rsid w:val="004A2669"/>
    <w:rPr>
      <w:rFonts w:ascii="Symbol" w:hAnsi="Symbol"/>
    </w:rPr>
  </w:style>
  <w:style w:type="character" w:customStyle="1" w:styleId="WW8Num22z0">
    <w:name w:val="WW8Num22z0"/>
    <w:rsid w:val="004A2669"/>
    <w:rPr>
      <w:rFonts w:cs="Times New Roman"/>
    </w:rPr>
  </w:style>
  <w:style w:type="character" w:customStyle="1" w:styleId="WW8Num23z0">
    <w:name w:val="WW8Num23z0"/>
    <w:rsid w:val="004A2669"/>
    <w:rPr>
      <w:rFonts w:cs="Times New Roman"/>
    </w:rPr>
  </w:style>
  <w:style w:type="character" w:customStyle="1" w:styleId="WW8Num24z1">
    <w:name w:val="WW8Num24z1"/>
    <w:rsid w:val="004A2669"/>
    <w:rPr>
      <w:rFonts w:ascii="Courier New" w:hAnsi="Courier New" w:cs="Calibri"/>
    </w:rPr>
  </w:style>
  <w:style w:type="character" w:customStyle="1" w:styleId="WW8Num24z2">
    <w:name w:val="WW8Num24z2"/>
    <w:rsid w:val="004A2669"/>
    <w:rPr>
      <w:rFonts w:ascii="Wingdings" w:hAnsi="Wingdings"/>
    </w:rPr>
  </w:style>
  <w:style w:type="character" w:customStyle="1" w:styleId="WW8Num24z3">
    <w:name w:val="WW8Num24z3"/>
    <w:rsid w:val="004A2669"/>
    <w:rPr>
      <w:rFonts w:ascii="Symbol" w:hAnsi="Symbol"/>
    </w:rPr>
  </w:style>
  <w:style w:type="character" w:customStyle="1" w:styleId="WW8Num30z0">
    <w:name w:val="WW8Num30z0"/>
    <w:rsid w:val="004A2669"/>
    <w:rPr>
      <w:rFonts w:cs="Times New Roman"/>
    </w:rPr>
  </w:style>
  <w:style w:type="character" w:customStyle="1" w:styleId="WW8Num31z1">
    <w:name w:val="WW8Num31z1"/>
    <w:rsid w:val="004A2669"/>
    <w:rPr>
      <w:rFonts w:ascii="Courier New" w:hAnsi="Courier New" w:cs="Calibri"/>
    </w:rPr>
  </w:style>
  <w:style w:type="character" w:customStyle="1" w:styleId="WW8Num31z2">
    <w:name w:val="WW8Num31z2"/>
    <w:rsid w:val="004A2669"/>
    <w:rPr>
      <w:rFonts w:ascii="Wingdings" w:hAnsi="Wingdings"/>
    </w:rPr>
  </w:style>
  <w:style w:type="character" w:customStyle="1" w:styleId="WW8Num31z3">
    <w:name w:val="WW8Num31z3"/>
    <w:rsid w:val="004A2669"/>
    <w:rPr>
      <w:rFonts w:ascii="Symbol" w:hAnsi="Symbol"/>
    </w:rPr>
  </w:style>
  <w:style w:type="character" w:customStyle="1" w:styleId="WW8Num32z0">
    <w:name w:val="WW8Num32z0"/>
    <w:rsid w:val="004A2669"/>
    <w:rPr>
      <w:rFonts w:ascii="Symbol" w:hAnsi="Symbol"/>
    </w:rPr>
  </w:style>
  <w:style w:type="character" w:customStyle="1" w:styleId="Policepardfaut1">
    <w:name w:val="Police par défaut1"/>
    <w:rsid w:val="004A2669"/>
  </w:style>
  <w:style w:type="character" w:customStyle="1" w:styleId="Titre5Car1">
    <w:name w:val="Titre 5 Car1"/>
    <w:rsid w:val="004A2669"/>
    <w:rPr>
      <w:rFonts w:ascii="Calibri" w:hAnsi="Calibri" w:cs="Times New Roman"/>
      <w:b/>
      <w:bCs/>
      <w:i/>
      <w:noProof w:val="0"/>
      <w:sz w:val="26"/>
      <w:szCs w:val="26"/>
      <w:lang w:val="fr-FR"/>
    </w:rPr>
  </w:style>
  <w:style w:type="character" w:customStyle="1" w:styleId="Titre7Car">
    <w:name w:val="Titre 7 Car"/>
    <w:rsid w:val="004A2669"/>
    <w:rPr>
      <w:rFonts w:ascii="Calibri" w:hAnsi="Calibri" w:cs="Times New Roman"/>
      <w:noProof w:val="0"/>
      <w:sz w:val="24"/>
      <w:szCs w:val="24"/>
      <w:lang w:val="fr-FR"/>
    </w:rPr>
  </w:style>
  <w:style w:type="character" w:customStyle="1" w:styleId="Titre8Car">
    <w:name w:val="Titre 8 Car"/>
    <w:rsid w:val="004A2669"/>
    <w:rPr>
      <w:rFonts w:ascii="Calibri" w:hAnsi="Calibri" w:cs="Times New Roman"/>
      <w:i/>
      <w:noProof w:val="0"/>
      <w:sz w:val="24"/>
      <w:szCs w:val="24"/>
      <w:lang w:val="fr-FR"/>
    </w:rPr>
  </w:style>
  <w:style w:type="character" w:customStyle="1" w:styleId="Corpsdetexte3Car">
    <w:name w:val="Corps de texte 3 Car"/>
    <w:rsid w:val="004A2669"/>
    <w:rPr>
      <w:rFonts w:cs="Times New Roman"/>
      <w:noProof w:val="0"/>
      <w:sz w:val="16"/>
      <w:szCs w:val="16"/>
      <w:lang w:val="fr-FR"/>
    </w:rPr>
  </w:style>
  <w:style w:type="character" w:customStyle="1" w:styleId="CorpsdetexteCar">
    <w:name w:val="Corps de texte Car"/>
    <w:rsid w:val="004A2669"/>
    <w:rPr>
      <w:rFonts w:cs="Times New Roman"/>
      <w:noProof w:val="0"/>
      <w:sz w:val="24"/>
      <w:szCs w:val="24"/>
      <w:lang w:val="fr-FR"/>
    </w:rPr>
  </w:style>
  <w:style w:type="character" w:customStyle="1" w:styleId="Corpsdetexte2Car">
    <w:name w:val="Corps de texte 2 Car"/>
    <w:rsid w:val="004A2669"/>
    <w:rPr>
      <w:rFonts w:cs="Times New Roman"/>
      <w:noProof w:val="0"/>
      <w:sz w:val="24"/>
      <w:szCs w:val="24"/>
      <w:lang w:val="fr-FR"/>
    </w:rPr>
  </w:style>
  <w:style w:type="character" w:customStyle="1" w:styleId="Numrodepage1">
    <w:name w:val="Numéro de page1"/>
    <w:rsid w:val="004A2669"/>
    <w:rPr>
      <w:rFonts w:cs="Times New Roman"/>
    </w:rPr>
  </w:style>
  <w:style w:type="character" w:customStyle="1" w:styleId="ExplorateurdedocumentsCar">
    <w:name w:val="Explorateur de documents Car"/>
    <w:rsid w:val="004A2669"/>
    <w:rPr>
      <w:rFonts w:cs="Times New Roman"/>
      <w:noProof w:val="0"/>
      <w:sz w:val="2"/>
      <w:lang w:val="fr-FR"/>
    </w:rPr>
  </w:style>
  <w:style w:type="character" w:customStyle="1" w:styleId="Titre3CarCar">
    <w:name w:val="Titre 3 Car Car"/>
    <w:rsid w:val="004A2669"/>
    <w:rPr>
      <w:rFonts w:cs="Times New Roman"/>
      <w:b/>
      <w:i/>
      <w:noProof w:val="0"/>
      <w:sz w:val="24"/>
      <w:szCs w:val="24"/>
      <w:u w:val="single"/>
      <w:lang w:val="fr-FR" w:eastAsia="ar-SA" w:bidi="ar-SA"/>
    </w:rPr>
  </w:style>
  <w:style w:type="character" w:customStyle="1" w:styleId="Sous-titreCar">
    <w:name w:val="Sous-titre Car"/>
    <w:rsid w:val="004A2669"/>
    <w:rPr>
      <w:rFonts w:ascii="Cambria" w:hAnsi="Cambria" w:cs="Times New Roman"/>
      <w:noProof w:val="0"/>
      <w:sz w:val="24"/>
      <w:szCs w:val="24"/>
      <w:lang w:val="fr-FR"/>
    </w:rPr>
  </w:style>
  <w:style w:type="character" w:customStyle="1" w:styleId="Accentuation1">
    <w:name w:val="Accentuation1"/>
    <w:rsid w:val="004A2669"/>
    <w:rPr>
      <w:rFonts w:cs="Times New Roman"/>
      <w:i/>
    </w:rPr>
  </w:style>
  <w:style w:type="character" w:customStyle="1" w:styleId="Fort">
    <w:name w:val="Fort"/>
    <w:rsid w:val="004A2669"/>
    <w:rPr>
      <w:b/>
    </w:rPr>
  </w:style>
  <w:style w:type="character" w:customStyle="1" w:styleId="Emphasis1">
    <w:name w:val="Emphasis1"/>
    <w:rsid w:val="004A2669"/>
    <w:rPr>
      <w:rFonts w:cs="Times New Roman"/>
      <w:i/>
    </w:rPr>
  </w:style>
  <w:style w:type="character" w:customStyle="1" w:styleId="Lienhypertexte1">
    <w:name w:val="Lien hypertexte1"/>
    <w:rsid w:val="004A2669"/>
    <w:rPr>
      <w:rFonts w:cs="Times New Roman"/>
      <w:color w:val="0000FF"/>
      <w:u w:val="single"/>
    </w:rPr>
  </w:style>
  <w:style w:type="character" w:customStyle="1" w:styleId="Internetlink">
    <w:name w:val="Internet link"/>
    <w:rsid w:val="004A2669"/>
    <w:rPr>
      <w:rFonts w:cs="Times New Roman"/>
      <w:color w:val="0000FF"/>
      <w:u w:val="single"/>
    </w:rPr>
  </w:style>
  <w:style w:type="character" w:customStyle="1" w:styleId="Titre4CarCar">
    <w:name w:val="Titre 4 Car Car"/>
    <w:rsid w:val="004A2669"/>
    <w:rPr>
      <w:rFonts w:cs="Times New Roman"/>
      <w:i/>
      <w:noProof w:val="0"/>
      <w:sz w:val="24"/>
      <w:szCs w:val="24"/>
      <w:u w:val="single"/>
      <w:lang w:val="fr-FR" w:eastAsia="ar-SA" w:bidi="ar-SA"/>
    </w:rPr>
  </w:style>
  <w:style w:type="character" w:customStyle="1" w:styleId="RetraitcorpsdetexteCar">
    <w:name w:val="Retrait corps de texte Car"/>
    <w:rsid w:val="004A2669"/>
    <w:rPr>
      <w:rFonts w:cs="Times New Roman"/>
      <w:noProof w:val="0"/>
      <w:sz w:val="24"/>
      <w:szCs w:val="24"/>
      <w:lang w:val="fr-FR"/>
    </w:rPr>
  </w:style>
  <w:style w:type="character" w:styleId="Lienhypertextesuivivisit">
    <w:name w:val="FollowedHyperlink"/>
    <w:semiHidden/>
    <w:rsid w:val="004A2669"/>
    <w:rPr>
      <w:color w:val="800080"/>
      <w:u w:val="single"/>
    </w:rPr>
  </w:style>
  <w:style w:type="character" w:customStyle="1" w:styleId="StrongEmphasis">
    <w:name w:val="Strong Emphasis"/>
    <w:rsid w:val="004A2669"/>
    <w:rPr>
      <w:rFonts w:cs="Times New Roman"/>
      <w:b/>
      <w:bCs/>
    </w:rPr>
  </w:style>
  <w:style w:type="character" w:styleId="Accentuation">
    <w:name w:val="Emphasis"/>
    <w:uiPriority w:val="20"/>
    <w:qFormat/>
    <w:rsid w:val="004A2669"/>
    <w:rPr>
      <w:rFonts w:cs="Times New Roman"/>
      <w:i/>
    </w:rPr>
  </w:style>
  <w:style w:type="character" w:customStyle="1" w:styleId="Appelnotedebasdep1">
    <w:name w:val="Appel note de bas de p.1"/>
    <w:rsid w:val="004A2669"/>
    <w:rPr>
      <w:rFonts w:cs="Times New Roman"/>
      <w:vertAlign w:val="superscript"/>
    </w:rPr>
  </w:style>
  <w:style w:type="character" w:customStyle="1" w:styleId="titrep">
    <w:name w:val="titrep"/>
    <w:rsid w:val="004A2669"/>
    <w:rPr>
      <w:rFonts w:cs="Times New Roman"/>
    </w:rPr>
  </w:style>
  <w:style w:type="character" w:customStyle="1" w:styleId="fluo">
    <w:name w:val="fluo"/>
    <w:rsid w:val="004A2669"/>
    <w:rPr>
      <w:rFonts w:cs="Times New Roman"/>
    </w:rPr>
  </w:style>
  <w:style w:type="character" w:customStyle="1" w:styleId="SignaturelectroniqueCar">
    <w:name w:val="Signature électronique Car"/>
    <w:rsid w:val="004A2669"/>
    <w:rPr>
      <w:rFonts w:cs="Times New Roman"/>
      <w:noProof w:val="0"/>
      <w:sz w:val="24"/>
      <w:szCs w:val="24"/>
      <w:lang w:val="fr-FR"/>
    </w:rPr>
  </w:style>
  <w:style w:type="character" w:customStyle="1" w:styleId="TextebrutCar">
    <w:name w:val="Texte brut Car"/>
    <w:rsid w:val="004A2669"/>
    <w:rPr>
      <w:rFonts w:ascii="Verdana" w:hAnsi="Verdana" w:cs="Times New Roman"/>
      <w:noProof w:val="0"/>
      <w:sz w:val="21"/>
      <w:szCs w:val="21"/>
      <w:lang w:val="fr-BE"/>
    </w:rPr>
  </w:style>
  <w:style w:type="character" w:customStyle="1" w:styleId="ListLabel1">
    <w:name w:val="ListLabel 1"/>
    <w:rsid w:val="004A2669"/>
    <w:rPr>
      <w:rFonts w:cs="Times New Roman"/>
    </w:rPr>
  </w:style>
  <w:style w:type="character" w:customStyle="1" w:styleId="ListLabel2">
    <w:name w:val="ListLabel 2"/>
    <w:rsid w:val="004A2669"/>
    <w:rPr>
      <w:rFonts w:eastAsia="Times New Roman"/>
    </w:rPr>
  </w:style>
  <w:style w:type="character" w:customStyle="1" w:styleId="ListLabel3">
    <w:name w:val="ListLabel 3"/>
    <w:rsid w:val="004A2669"/>
    <w:rPr>
      <w:rFonts w:eastAsia="Times New Roman" w:cs="Times New Roman"/>
    </w:rPr>
  </w:style>
  <w:style w:type="character" w:customStyle="1" w:styleId="ListLabel4">
    <w:name w:val="ListLabel 4"/>
    <w:rsid w:val="004A2669"/>
    <w:rPr>
      <w:i/>
    </w:rPr>
  </w:style>
  <w:style w:type="character" w:customStyle="1" w:styleId="ListLabel5">
    <w:name w:val="ListLabel 5"/>
    <w:rsid w:val="004A2669"/>
    <w:rPr>
      <w:spacing w:val="4"/>
      <w:sz w:val="22"/>
    </w:rPr>
  </w:style>
  <w:style w:type="character" w:customStyle="1" w:styleId="notereference">
    <w:name w:val="note reference"/>
    <w:rsid w:val="004A2669"/>
  </w:style>
  <w:style w:type="character" w:customStyle="1" w:styleId="notereference1">
    <w:name w:val="note reference_1"/>
    <w:rsid w:val="004A2669"/>
  </w:style>
  <w:style w:type="character" w:styleId="Marquedecommentaire">
    <w:name w:val="annotation reference"/>
    <w:uiPriority w:val="99"/>
    <w:rsid w:val="004A2669"/>
    <w:rPr>
      <w:sz w:val="16"/>
      <w:szCs w:val="16"/>
    </w:rPr>
  </w:style>
  <w:style w:type="character" w:customStyle="1" w:styleId="CommentaireCar">
    <w:name w:val="Commentaire Car"/>
    <w:basedOn w:val="Policepardfaut"/>
    <w:uiPriority w:val="99"/>
    <w:rsid w:val="004A2669"/>
  </w:style>
  <w:style w:type="character" w:customStyle="1" w:styleId="ObjetducommentaireCar">
    <w:name w:val="Objet du commentaire Car"/>
    <w:rsid w:val="004A2669"/>
    <w:rPr>
      <w:b/>
      <w:bCs/>
    </w:rPr>
  </w:style>
  <w:style w:type="character" w:customStyle="1" w:styleId="TextedebullesCar1">
    <w:name w:val="Texte de bulles Car1"/>
    <w:rsid w:val="004A2669"/>
    <w:rPr>
      <w:rFonts w:ascii="Tahoma" w:hAnsi="Tahoma" w:cs="Tahoma"/>
      <w:sz w:val="16"/>
      <w:szCs w:val="16"/>
    </w:rPr>
  </w:style>
  <w:style w:type="character" w:customStyle="1" w:styleId="Caractresdenumrotation">
    <w:name w:val="Caractères de numérotation"/>
    <w:rsid w:val="004A2669"/>
  </w:style>
  <w:style w:type="character" w:customStyle="1" w:styleId="Puces">
    <w:name w:val="Puces"/>
    <w:rsid w:val="004A2669"/>
    <w:rPr>
      <w:rFonts w:ascii="OpenSymbol" w:eastAsia="OpenSymbol" w:hAnsi="OpenSymbol" w:cs="OpenSymbol"/>
    </w:rPr>
  </w:style>
  <w:style w:type="paragraph" w:styleId="Titre">
    <w:name w:val="Title"/>
    <w:basedOn w:val="Normal"/>
    <w:next w:val="Corpsdetexte"/>
    <w:link w:val="TitreCar"/>
    <w:qFormat/>
    <w:rsid w:val="004A2669"/>
    <w:pPr>
      <w:keepNext/>
      <w:widowControl w:val="0"/>
      <w:suppressAutoHyphens/>
      <w:spacing w:before="240" w:after="120"/>
    </w:pPr>
    <w:rPr>
      <w:rFonts w:ascii="Arial" w:eastAsia="SimSun" w:hAnsi="Arial"/>
      <w:kern w:val="1"/>
      <w:sz w:val="28"/>
      <w:szCs w:val="28"/>
      <w:lang w:val="fr-BE" w:eastAsia="zh-CN"/>
    </w:rPr>
  </w:style>
  <w:style w:type="character" w:customStyle="1" w:styleId="TitreCar">
    <w:name w:val="Titre Car"/>
    <w:basedOn w:val="Policepardfaut"/>
    <w:link w:val="Titre"/>
    <w:rsid w:val="004A2669"/>
    <w:rPr>
      <w:rFonts w:ascii="Arial" w:eastAsia="SimSun" w:hAnsi="Arial" w:cs="Times New Roman"/>
      <w:kern w:val="1"/>
      <w:sz w:val="28"/>
      <w:szCs w:val="28"/>
      <w:lang w:eastAsia="zh-CN"/>
    </w:rPr>
  </w:style>
  <w:style w:type="paragraph" w:styleId="Corpsdetexte">
    <w:name w:val="Body Text"/>
    <w:basedOn w:val="Normal"/>
    <w:link w:val="CorpsdetexteCar1"/>
    <w:semiHidden/>
    <w:rsid w:val="004A2669"/>
    <w:pPr>
      <w:widowControl w:val="0"/>
      <w:suppressAutoHyphens/>
      <w:spacing w:after="120"/>
    </w:pPr>
    <w:rPr>
      <w:kern w:val="1"/>
      <w:sz w:val="20"/>
      <w:szCs w:val="20"/>
      <w:lang w:val="fr-BE" w:eastAsia="zh-CN"/>
    </w:rPr>
  </w:style>
  <w:style w:type="character" w:customStyle="1" w:styleId="CorpsdetexteCar1">
    <w:name w:val="Corps de texte Car1"/>
    <w:basedOn w:val="Policepardfaut"/>
    <w:link w:val="Corpsdetexte"/>
    <w:semiHidden/>
    <w:rsid w:val="004A2669"/>
    <w:rPr>
      <w:rFonts w:ascii="Times New Roman" w:eastAsia="Times New Roman" w:hAnsi="Times New Roman" w:cs="Times New Roman"/>
      <w:kern w:val="1"/>
      <w:sz w:val="20"/>
      <w:szCs w:val="20"/>
      <w:lang w:eastAsia="zh-CN"/>
    </w:rPr>
  </w:style>
  <w:style w:type="paragraph" w:styleId="Liste">
    <w:name w:val="List"/>
    <w:basedOn w:val="Textbody"/>
    <w:semiHidden/>
    <w:rsid w:val="004A2669"/>
    <w:rPr>
      <w:rFonts w:cs="Tahoma"/>
    </w:rPr>
  </w:style>
  <w:style w:type="paragraph" w:styleId="Lgende">
    <w:name w:val="caption"/>
    <w:basedOn w:val="Normal"/>
    <w:qFormat/>
    <w:rsid w:val="004A2669"/>
    <w:pPr>
      <w:widowControl w:val="0"/>
      <w:suppressLineNumbers/>
      <w:suppressAutoHyphens/>
      <w:spacing w:before="120" w:after="120"/>
    </w:pPr>
    <w:rPr>
      <w:rFonts w:cs="Tw Cen MT"/>
      <w:i/>
      <w:iCs/>
      <w:kern w:val="1"/>
      <w:lang w:val="fr-BE" w:eastAsia="zh-CN"/>
    </w:rPr>
  </w:style>
  <w:style w:type="paragraph" w:customStyle="1" w:styleId="Index">
    <w:name w:val="Index"/>
    <w:basedOn w:val="WW-Standard"/>
    <w:rsid w:val="004A2669"/>
    <w:pPr>
      <w:widowControl w:val="0"/>
    </w:pPr>
    <w:rPr>
      <w:rFonts w:cs="Tahoma"/>
    </w:rPr>
  </w:style>
  <w:style w:type="paragraph" w:customStyle="1" w:styleId="Heading">
    <w:name w:val="Heading"/>
    <w:basedOn w:val="WW-Standard"/>
    <w:next w:val="Textbody"/>
    <w:rsid w:val="004A2669"/>
    <w:pPr>
      <w:keepNext/>
      <w:widowControl w:val="0"/>
      <w:spacing w:before="240" w:after="120"/>
    </w:pPr>
    <w:rPr>
      <w:rFonts w:ascii="Arial" w:eastAsia="Lucida Sans Unicode" w:hAnsi="Arial" w:cs="Tahoma"/>
      <w:sz w:val="28"/>
      <w:szCs w:val="28"/>
    </w:rPr>
  </w:style>
  <w:style w:type="paragraph" w:customStyle="1" w:styleId="Textbody">
    <w:name w:val="Text body"/>
    <w:basedOn w:val="WW-Standard"/>
    <w:rsid w:val="004A2669"/>
    <w:pPr>
      <w:spacing w:after="120"/>
    </w:pPr>
    <w:rPr>
      <w:rFonts w:ascii="Arial" w:hAnsi="Arial"/>
    </w:rPr>
  </w:style>
  <w:style w:type="paragraph" w:customStyle="1" w:styleId="Lgende1">
    <w:name w:val="Légende1"/>
    <w:basedOn w:val="WW-Standard"/>
    <w:rsid w:val="004A2669"/>
    <w:pPr>
      <w:widowControl w:val="0"/>
      <w:spacing w:after="120"/>
    </w:pPr>
    <w:rPr>
      <w:rFonts w:cs="Tahoma"/>
      <w:i/>
    </w:rPr>
  </w:style>
  <w:style w:type="paragraph" w:customStyle="1" w:styleId="Titre31">
    <w:name w:val="Titre 31"/>
    <w:basedOn w:val="WW-Standard"/>
    <w:next w:val="Textbody"/>
    <w:rsid w:val="004A2669"/>
    <w:pPr>
      <w:keepNext/>
      <w:spacing w:after="120"/>
    </w:pPr>
    <w:rPr>
      <w:b/>
      <w:i/>
      <w:u w:val="single"/>
    </w:rPr>
  </w:style>
  <w:style w:type="paragraph" w:customStyle="1" w:styleId="Titre41">
    <w:name w:val="Titre 41"/>
    <w:basedOn w:val="WW-Standard"/>
    <w:next w:val="Textbody"/>
    <w:rsid w:val="004A2669"/>
    <w:pPr>
      <w:keepNext/>
      <w:spacing w:after="120"/>
      <w:outlineLvl w:val="3"/>
    </w:pPr>
    <w:rPr>
      <w:i/>
      <w:u w:val="single"/>
    </w:rPr>
  </w:style>
  <w:style w:type="paragraph" w:customStyle="1" w:styleId="Corpsdetexte21">
    <w:name w:val="Corps de texte 21"/>
    <w:basedOn w:val="WW-Standard"/>
    <w:rsid w:val="004A2669"/>
    <w:pPr>
      <w:widowControl w:val="0"/>
      <w:spacing w:after="120"/>
    </w:pPr>
    <w:rPr>
      <w:rFonts w:ascii="Arial" w:hAnsi="Arial"/>
      <w:color w:val="FF0000"/>
    </w:rPr>
  </w:style>
  <w:style w:type="paragraph" w:customStyle="1" w:styleId="BodyText21">
    <w:name w:val="Body Text 21"/>
    <w:basedOn w:val="WW-Standard"/>
    <w:rsid w:val="004A2669"/>
    <w:pPr>
      <w:ind w:firstLine="709"/>
    </w:pPr>
    <w:rPr>
      <w:rFonts w:ascii="Arial" w:hAnsi="Arial"/>
    </w:rPr>
  </w:style>
  <w:style w:type="paragraph" w:customStyle="1" w:styleId="corps">
    <w:name w:val="corps"/>
    <w:basedOn w:val="WW-Standard"/>
    <w:rsid w:val="004A2669"/>
    <w:pPr>
      <w:spacing w:after="120"/>
      <w:ind w:firstLine="567"/>
    </w:pPr>
    <w:rPr>
      <w:rFonts w:ascii="Arial" w:hAnsi="Arial"/>
    </w:rPr>
  </w:style>
  <w:style w:type="paragraph" w:customStyle="1" w:styleId="Corpsdetexte31">
    <w:name w:val="Corps de texte 31"/>
    <w:basedOn w:val="WW-Standard"/>
    <w:rsid w:val="004A2669"/>
    <w:rPr>
      <w:rFonts w:ascii="Arial" w:hAnsi="Arial"/>
      <w:sz w:val="22"/>
    </w:rPr>
  </w:style>
  <w:style w:type="paragraph" w:customStyle="1" w:styleId="Retraitcorpsdetexte31">
    <w:name w:val="Retrait corps de texte 31"/>
    <w:basedOn w:val="WW-Standard"/>
    <w:rsid w:val="004A2669"/>
    <w:pPr>
      <w:ind w:firstLine="851"/>
    </w:pPr>
    <w:rPr>
      <w:rFonts w:ascii="Arial" w:hAnsi="Arial"/>
      <w:i/>
    </w:rPr>
  </w:style>
  <w:style w:type="paragraph" w:customStyle="1" w:styleId="Corpsdetexte32">
    <w:name w:val="Corps de texte 32"/>
    <w:basedOn w:val="WW-Standard"/>
    <w:rsid w:val="004A2669"/>
  </w:style>
  <w:style w:type="paragraph" w:customStyle="1" w:styleId="Corpsdetexte22">
    <w:name w:val="Corps de texte 22"/>
    <w:basedOn w:val="WW-Standard"/>
    <w:rsid w:val="004A2669"/>
    <w:pPr>
      <w:spacing w:after="120"/>
    </w:pPr>
    <w:rPr>
      <w:rFonts w:ascii="Arial" w:hAnsi="Arial"/>
      <w:color w:val="FF00FF"/>
    </w:rPr>
  </w:style>
  <w:style w:type="paragraph" w:customStyle="1" w:styleId="Mentionbaspage">
    <w:name w:val="Mention bas page"/>
    <w:basedOn w:val="WW-Standard"/>
    <w:rsid w:val="004A2669"/>
    <w:pPr>
      <w:spacing w:before="600"/>
    </w:pPr>
    <w:rPr>
      <w:rFonts w:ascii="Arial" w:hAnsi="Arial"/>
      <w:i/>
      <w:sz w:val="22"/>
    </w:rPr>
  </w:style>
  <w:style w:type="paragraph" w:customStyle="1" w:styleId="BodyText22">
    <w:name w:val="Body Text 22"/>
    <w:basedOn w:val="WW-Standard"/>
    <w:rsid w:val="004A2669"/>
    <w:rPr>
      <w:rFonts w:ascii="Arial" w:hAnsi="Arial"/>
      <w:i/>
    </w:rPr>
  </w:style>
  <w:style w:type="paragraph" w:customStyle="1" w:styleId="Retraitcorpsdetexte21">
    <w:name w:val="Retrait corps de texte 21"/>
    <w:basedOn w:val="WW-Standard"/>
    <w:rsid w:val="004A2669"/>
    <w:pPr>
      <w:ind w:firstLine="851"/>
    </w:pPr>
    <w:rPr>
      <w:rFonts w:ascii="Arial" w:hAnsi="Arial"/>
    </w:rPr>
  </w:style>
  <w:style w:type="paragraph" w:customStyle="1" w:styleId="En-tte1">
    <w:name w:val="En-tête1"/>
    <w:basedOn w:val="WW-Standard"/>
    <w:rsid w:val="004A2669"/>
    <w:pPr>
      <w:widowControl w:val="0"/>
    </w:pPr>
  </w:style>
  <w:style w:type="paragraph" w:customStyle="1" w:styleId="Explorateurdedocuments1">
    <w:name w:val="Explorateur de documents1"/>
    <w:basedOn w:val="WW-Standard"/>
    <w:rsid w:val="004A2669"/>
    <w:pPr>
      <w:widowControl w:val="0"/>
      <w:shd w:val="clear" w:color="auto" w:fill="000080"/>
    </w:pPr>
    <w:rPr>
      <w:rFonts w:ascii="Tahoma" w:hAnsi="Tahoma" w:cs="Courier New"/>
      <w:sz w:val="20"/>
      <w:szCs w:val="20"/>
    </w:rPr>
  </w:style>
  <w:style w:type="paragraph" w:customStyle="1" w:styleId="Adressedest">
    <w:name w:val="Adresse dest."/>
    <w:rsid w:val="004A2669"/>
    <w:pPr>
      <w:widowControl w:val="0"/>
      <w:suppressAutoHyphens/>
      <w:spacing w:after="0" w:line="240" w:lineRule="auto"/>
      <w:ind w:left="4536" w:right="-1"/>
    </w:pPr>
    <w:rPr>
      <w:rFonts w:ascii="Times New Roman" w:eastAsia="Arial" w:hAnsi="Times New Roman" w:cs="Times New Roman"/>
      <w:kern w:val="1"/>
      <w:sz w:val="20"/>
      <w:szCs w:val="20"/>
      <w:lang w:eastAsia="zh-CN"/>
    </w:rPr>
  </w:style>
  <w:style w:type="paragraph" w:styleId="Sous-titre">
    <w:name w:val="Subtitle"/>
    <w:basedOn w:val="WW-Standard"/>
    <w:next w:val="Textbody"/>
    <w:link w:val="Sous-titreCar1"/>
    <w:qFormat/>
    <w:rsid w:val="004A2669"/>
    <w:pPr>
      <w:jc w:val="center"/>
    </w:pPr>
    <w:rPr>
      <w:rFonts w:ascii="Arial" w:hAnsi="Arial"/>
      <w:b/>
      <w:i/>
      <w:caps/>
      <w:sz w:val="28"/>
      <w:szCs w:val="28"/>
      <w:u w:val="single"/>
    </w:rPr>
  </w:style>
  <w:style w:type="character" w:customStyle="1" w:styleId="Sous-titreCar1">
    <w:name w:val="Sous-titre Car1"/>
    <w:basedOn w:val="Policepardfaut"/>
    <w:link w:val="Sous-titre"/>
    <w:rsid w:val="004A2669"/>
    <w:rPr>
      <w:rFonts w:ascii="Arial" w:eastAsia="Arial" w:hAnsi="Arial" w:cs="Times New Roman"/>
      <w:b/>
      <w:i/>
      <w:caps/>
      <w:kern w:val="1"/>
      <w:sz w:val="28"/>
      <w:szCs w:val="28"/>
      <w:u w:val="single"/>
      <w:lang w:val="fr-FR" w:eastAsia="zh-CN"/>
    </w:rPr>
  </w:style>
  <w:style w:type="paragraph" w:customStyle="1" w:styleId="H3">
    <w:name w:val="H3"/>
    <w:basedOn w:val="WW-Standard"/>
    <w:rsid w:val="004A2669"/>
    <w:pPr>
      <w:keepNext/>
      <w:spacing w:before="100" w:after="100"/>
    </w:pPr>
    <w:rPr>
      <w:rFonts w:ascii="Arial" w:hAnsi="Arial"/>
      <w:b/>
      <w:sz w:val="28"/>
      <w:lang w:val="fr-BE"/>
    </w:rPr>
  </w:style>
  <w:style w:type="paragraph" w:customStyle="1" w:styleId="OmniPage9">
    <w:name w:val="OmniPage #9"/>
    <w:basedOn w:val="WW-Standard"/>
    <w:rsid w:val="004A2669"/>
    <w:pPr>
      <w:spacing w:line="369" w:lineRule="auto"/>
      <w:ind w:left="764" w:right="61"/>
    </w:pPr>
    <w:rPr>
      <w:rFonts w:ascii="Arial" w:hAnsi="Arial"/>
    </w:rPr>
  </w:style>
  <w:style w:type="paragraph" w:customStyle="1" w:styleId="OmniPage10">
    <w:name w:val="OmniPage #10"/>
    <w:basedOn w:val="WW-Standard"/>
    <w:rsid w:val="004A2669"/>
    <w:pPr>
      <w:spacing w:line="352" w:lineRule="auto"/>
      <w:ind w:left="50" w:right="55" w:firstLine="715"/>
    </w:pPr>
    <w:rPr>
      <w:rFonts w:ascii="Arial" w:hAnsi="Arial"/>
    </w:rPr>
  </w:style>
  <w:style w:type="paragraph" w:customStyle="1" w:styleId="OmniPage11">
    <w:name w:val="OmniPage #11"/>
    <w:basedOn w:val="WW-Standard"/>
    <w:rsid w:val="004A2669"/>
    <w:pPr>
      <w:spacing w:line="352" w:lineRule="auto"/>
      <w:ind w:left="55" w:right="50" w:firstLine="715"/>
    </w:pPr>
    <w:rPr>
      <w:rFonts w:ascii="Arial" w:hAnsi="Arial"/>
    </w:rPr>
  </w:style>
  <w:style w:type="paragraph" w:customStyle="1" w:styleId="OmniPage12">
    <w:name w:val="OmniPage #12"/>
    <w:basedOn w:val="WW-Standard"/>
    <w:rsid w:val="004A2669"/>
    <w:pPr>
      <w:spacing w:line="348" w:lineRule="auto"/>
      <w:ind w:left="50" w:right="59" w:firstLine="715"/>
    </w:pPr>
    <w:rPr>
      <w:rFonts w:ascii="Arial" w:hAnsi="Arial"/>
    </w:rPr>
  </w:style>
  <w:style w:type="paragraph" w:customStyle="1" w:styleId="OmniPage13">
    <w:name w:val="OmniPage #13"/>
    <w:basedOn w:val="WW-Standard"/>
    <w:rsid w:val="004A2669"/>
    <w:pPr>
      <w:spacing w:line="352" w:lineRule="auto"/>
      <w:ind w:left="50" w:right="50" w:firstLine="715"/>
    </w:pPr>
    <w:rPr>
      <w:rFonts w:ascii="Arial" w:hAnsi="Arial"/>
    </w:rPr>
  </w:style>
  <w:style w:type="paragraph" w:customStyle="1" w:styleId="OmniPage14">
    <w:name w:val="OmniPage #14"/>
    <w:basedOn w:val="WW-Standard"/>
    <w:rsid w:val="004A2669"/>
    <w:pPr>
      <w:spacing w:line="348" w:lineRule="auto"/>
      <w:ind w:left="50" w:right="50" w:firstLine="715"/>
    </w:pPr>
    <w:rPr>
      <w:rFonts w:ascii="Arial" w:hAnsi="Arial"/>
    </w:rPr>
  </w:style>
  <w:style w:type="paragraph" w:customStyle="1" w:styleId="OmniPage15">
    <w:name w:val="OmniPage #15"/>
    <w:basedOn w:val="WW-Standard"/>
    <w:rsid w:val="004A2669"/>
    <w:pPr>
      <w:spacing w:line="352" w:lineRule="auto"/>
      <w:ind w:left="50" w:right="50" w:firstLine="715"/>
    </w:pPr>
    <w:rPr>
      <w:rFonts w:ascii="Arial" w:hAnsi="Arial"/>
    </w:rPr>
  </w:style>
  <w:style w:type="paragraph" w:customStyle="1" w:styleId="OmniPage16">
    <w:name w:val="OmniPage #16"/>
    <w:basedOn w:val="WW-Standard"/>
    <w:rsid w:val="004A2669"/>
    <w:pPr>
      <w:spacing w:line="369" w:lineRule="auto"/>
      <w:ind w:left="758" w:right="85"/>
    </w:pPr>
    <w:rPr>
      <w:rFonts w:ascii="Arial" w:hAnsi="Arial"/>
    </w:rPr>
  </w:style>
  <w:style w:type="paragraph" w:customStyle="1" w:styleId="OmniPage17">
    <w:name w:val="OmniPage #17"/>
    <w:basedOn w:val="WW-Standard"/>
    <w:rsid w:val="004A2669"/>
    <w:pPr>
      <w:spacing w:line="357" w:lineRule="auto"/>
      <w:ind w:left="50" w:right="50" w:firstLine="716"/>
    </w:pPr>
    <w:rPr>
      <w:rFonts w:ascii="Arial" w:hAnsi="Arial"/>
    </w:rPr>
  </w:style>
  <w:style w:type="paragraph" w:customStyle="1" w:styleId="txt">
    <w:name w:val="txt"/>
    <w:basedOn w:val="WW-Standard"/>
    <w:rsid w:val="004A2669"/>
    <w:pPr>
      <w:spacing w:before="240" w:line="372" w:lineRule="auto"/>
      <w:ind w:firstLine="709"/>
    </w:pPr>
    <w:rPr>
      <w:rFonts w:ascii="Arial" w:hAnsi="Arial"/>
      <w:color w:val="0000FF"/>
    </w:rPr>
  </w:style>
  <w:style w:type="paragraph" w:customStyle="1" w:styleId="BodyTextIndent21">
    <w:name w:val="Body Text Indent 21"/>
    <w:basedOn w:val="WW-Standard"/>
    <w:rsid w:val="004A2669"/>
    <w:pPr>
      <w:ind w:firstLine="851"/>
    </w:pPr>
    <w:rPr>
      <w:rFonts w:ascii="Arial" w:hAnsi="Arial"/>
    </w:rPr>
  </w:style>
  <w:style w:type="paragraph" w:customStyle="1" w:styleId="NormalWeb1">
    <w:name w:val="Normal (Web)1"/>
    <w:basedOn w:val="WW-Standard"/>
    <w:rsid w:val="004A2669"/>
    <w:pPr>
      <w:spacing w:before="100" w:after="100"/>
    </w:pPr>
    <w:rPr>
      <w:rFonts w:ascii="Arial" w:hAnsi="Arial"/>
      <w:color w:val="000000"/>
    </w:rPr>
  </w:style>
  <w:style w:type="paragraph" w:customStyle="1" w:styleId="Textedebulles1">
    <w:name w:val="Texte de bulles1"/>
    <w:basedOn w:val="WW-Standard"/>
    <w:rsid w:val="004A2669"/>
    <w:rPr>
      <w:rFonts w:ascii="Tahoma" w:hAnsi="Tahoma"/>
      <w:sz w:val="16"/>
    </w:rPr>
  </w:style>
  <w:style w:type="paragraph" w:customStyle="1" w:styleId="OmniPage1">
    <w:name w:val="OmniPage #1"/>
    <w:basedOn w:val="WW-Standard"/>
    <w:rsid w:val="004A2669"/>
    <w:pPr>
      <w:spacing w:line="372" w:lineRule="auto"/>
    </w:pPr>
    <w:rPr>
      <w:rFonts w:ascii="Arial" w:hAnsi="Arial"/>
      <w:lang w:val="en-US"/>
    </w:rPr>
  </w:style>
  <w:style w:type="paragraph" w:customStyle="1" w:styleId="Notedebasdepage1">
    <w:name w:val="Note de bas de page1"/>
    <w:basedOn w:val="WW-Standard"/>
    <w:rsid w:val="004A2669"/>
    <w:pPr>
      <w:widowControl w:val="0"/>
      <w:ind w:firstLine="709"/>
    </w:pPr>
    <w:rPr>
      <w:rFonts w:ascii="Arial" w:hAnsi="Arial"/>
    </w:rPr>
  </w:style>
  <w:style w:type="paragraph" w:customStyle="1" w:styleId="Contents1">
    <w:name w:val="Contents 1"/>
    <w:basedOn w:val="WW-Standard"/>
    <w:rsid w:val="004A2669"/>
    <w:rPr>
      <w:b/>
      <w:color w:val="0000FF"/>
    </w:rPr>
  </w:style>
  <w:style w:type="paragraph" w:customStyle="1" w:styleId="Pieddepage1">
    <w:name w:val="Pied de page1"/>
    <w:basedOn w:val="WW-Standard"/>
    <w:rsid w:val="004A2669"/>
    <w:pPr>
      <w:widowControl w:val="0"/>
    </w:pPr>
    <w:rPr>
      <w:rFonts w:ascii="Arial" w:hAnsi="Arial"/>
    </w:rPr>
  </w:style>
  <w:style w:type="paragraph" w:customStyle="1" w:styleId="Textbodyindent">
    <w:name w:val="Text body indent"/>
    <w:basedOn w:val="WW-Standard"/>
    <w:rsid w:val="004A2669"/>
    <w:pPr>
      <w:spacing w:after="120"/>
      <w:ind w:left="283"/>
    </w:pPr>
    <w:rPr>
      <w:rFonts w:ascii="Arial" w:hAnsi="Arial"/>
    </w:rPr>
  </w:style>
  <w:style w:type="paragraph" w:customStyle="1" w:styleId="Retraitcorpsdetexte22">
    <w:name w:val="Retrait corps de texte 22"/>
    <w:basedOn w:val="WW-Standard"/>
    <w:rsid w:val="004A2669"/>
    <w:pPr>
      <w:spacing w:after="120" w:line="480" w:lineRule="auto"/>
      <w:ind w:left="283"/>
    </w:pPr>
    <w:rPr>
      <w:rFonts w:ascii="Arial" w:hAnsi="Arial"/>
    </w:rPr>
  </w:style>
  <w:style w:type="paragraph" w:customStyle="1" w:styleId="Retraitcorpsdetexte32">
    <w:name w:val="Retrait corps de texte 32"/>
    <w:basedOn w:val="WW-Standard"/>
    <w:rsid w:val="004A2669"/>
    <w:pPr>
      <w:widowControl w:val="0"/>
      <w:ind w:firstLine="709"/>
    </w:pPr>
    <w:rPr>
      <w:rFonts w:ascii="Arial" w:hAnsi="Arial"/>
    </w:rPr>
  </w:style>
  <w:style w:type="paragraph" w:customStyle="1" w:styleId="Normalcentr1">
    <w:name w:val="Normal centré1"/>
    <w:basedOn w:val="WW-Standard"/>
    <w:rsid w:val="004A2669"/>
    <w:pPr>
      <w:widowControl w:val="0"/>
      <w:spacing w:before="240"/>
      <w:ind w:left="539" w:right="1151"/>
    </w:pPr>
    <w:rPr>
      <w:rFonts w:ascii="Arial" w:hAnsi="Arial"/>
      <w:i/>
      <w:sz w:val="22"/>
    </w:rPr>
  </w:style>
  <w:style w:type="paragraph" w:customStyle="1" w:styleId="Tab1">
    <w:name w:val="Tab 1"/>
    <w:basedOn w:val="WW-Standard"/>
    <w:rsid w:val="004A2669"/>
  </w:style>
  <w:style w:type="paragraph" w:customStyle="1" w:styleId="Contents2">
    <w:name w:val="Contents 2"/>
    <w:basedOn w:val="WW-Standard"/>
    <w:rsid w:val="004A2669"/>
    <w:pPr>
      <w:widowControl w:val="0"/>
      <w:ind w:left="240"/>
    </w:pPr>
    <w:rPr>
      <w:b/>
    </w:rPr>
  </w:style>
  <w:style w:type="paragraph" w:customStyle="1" w:styleId="Contents3">
    <w:name w:val="Contents 3"/>
    <w:basedOn w:val="WW-Standard"/>
    <w:rsid w:val="004A2669"/>
    <w:pPr>
      <w:widowControl w:val="0"/>
      <w:ind w:left="480"/>
    </w:pPr>
  </w:style>
  <w:style w:type="paragraph" w:customStyle="1" w:styleId="Contents4">
    <w:name w:val="Contents 4"/>
    <w:basedOn w:val="WW-Standard"/>
    <w:rsid w:val="004A2669"/>
    <w:pPr>
      <w:widowControl w:val="0"/>
      <w:spacing w:before="0"/>
      <w:ind w:left="720"/>
      <w:jc w:val="left"/>
    </w:pPr>
  </w:style>
  <w:style w:type="paragraph" w:customStyle="1" w:styleId="Contents5">
    <w:name w:val="Contents 5"/>
    <w:basedOn w:val="WW-Standard"/>
    <w:rsid w:val="004A2669"/>
    <w:pPr>
      <w:widowControl w:val="0"/>
      <w:spacing w:before="0"/>
      <w:ind w:left="960"/>
      <w:jc w:val="left"/>
    </w:pPr>
  </w:style>
  <w:style w:type="paragraph" w:customStyle="1" w:styleId="Contents6">
    <w:name w:val="Contents 6"/>
    <w:basedOn w:val="WW-Standard"/>
    <w:rsid w:val="004A2669"/>
    <w:pPr>
      <w:widowControl w:val="0"/>
      <w:spacing w:before="0"/>
      <w:ind w:left="1200"/>
      <w:jc w:val="left"/>
    </w:pPr>
  </w:style>
  <w:style w:type="paragraph" w:customStyle="1" w:styleId="Contents7">
    <w:name w:val="Contents 7"/>
    <w:basedOn w:val="WW-Standard"/>
    <w:rsid w:val="004A2669"/>
    <w:pPr>
      <w:widowControl w:val="0"/>
      <w:spacing w:before="0"/>
      <w:ind w:left="1440"/>
      <w:jc w:val="left"/>
    </w:pPr>
  </w:style>
  <w:style w:type="paragraph" w:customStyle="1" w:styleId="Contents8">
    <w:name w:val="Contents 8"/>
    <w:basedOn w:val="WW-Standard"/>
    <w:rsid w:val="004A2669"/>
    <w:pPr>
      <w:widowControl w:val="0"/>
      <w:spacing w:before="0"/>
      <w:ind w:left="1680"/>
      <w:jc w:val="left"/>
    </w:pPr>
  </w:style>
  <w:style w:type="paragraph" w:customStyle="1" w:styleId="Contents9">
    <w:name w:val="Contents 9"/>
    <w:basedOn w:val="WW-Standard"/>
    <w:rsid w:val="004A2669"/>
    <w:pPr>
      <w:widowControl w:val="0"/>
      <w:spacing w:before="0"/>
      <w:ind w:left="1920"/>
      <w:jc w:val="left"/>
    </w:pPr>
  </w:style>
  <w:style w:type="paragraph" w:customStyle="1" w:styleId="Paragraphedeliste1">
    <w:name w:val="Paragraphe de liste1"/>
    <w:basedOn w:val="WW-Standard"/>
    <w:rsid w:val="004A2669"/>
    <w:pPr>
      <w:widowControl w:val="0"/>
      <w:spacing w:before="0" w:after="200" w:line="276" w:lineRule="auto"/>
      <w:ind w:left="720"/>
      <w:jc w:val="left"/>
    </w:pPr>
    <w:rPr>
      <w:rFonts w:ascii="Calibri" w:hAnsi="Calibri"/>
      <w:sz w:val="22"/>
      <w:szCs w:val="22"/>
    </w:rPr>
  </w:style>
  <w:style w:type="paragraph" w:customStyle="1" w:styleId="Index11">
    <w:name w:val="Index 11"/>
    <w:basedOn w:val="WW-Standard"/>
    <w:rsid w:val="004A2669"/>
    <w:pPr>
      <w:widowControl w:val="0"/>
      <w:spacing w:before="0"/>
      <w:ind w:left="240" w:hanging="240"/>
      <w:jc w:val="left"/>
    </w:pPr>
    <w:rPr>
      <w:sz w:val="20"/>
      <w:szCs w:val="20"/>
    </w:rPr>
  </w:style>
  <w:style w:type="paragraph" w:customStyle="1" w:styleId="Index21">
    <w:name w:val="Index 21"/>
    <w:basedOn w:val="WW-Standard"/>
    <w:rsid w:val="004A2669"/>
    <w:pPr>
      <w:widowControl w:val="0"/>
      <w:spacing w:before="0"/>
      <w:ind w:left="480" w:hanging="240"/>
      <w:jc w:val="left"/>
    </w:pPr>
    <w:rPr>
      <w:sz w:val="20"/>
      <w:szCs w:val="20"/>
    </w:rPr>
  </w:style>
  <w:style w:type="paragraph" w:customStyle="1" w:styleId="Index31">
    <w:name w:val="Index 31"/>
    <w:basedOn w:val="WW-Standard"/>
    <w:rsid w:val="004A2669"/>
    <w:pPr>
      <w:widowControl w:val="0"/>
      <w:spacing w:before="0"/>
      <w:ind w:left="720" w:hanging="240"/>
      <w:jc w:val="left"/>
    </w:pPr>
    <w:rPr>
      <w:sz w:val="20"/>
      <w:szCs w:val="20"/>
    </w:rPr>
  </w:style>
  <w:style w:type="paragraph" w:customStyle="1" w:styleId="Index41">
    <w:name w:val="Index 41"/>
    <w:basedOn w:val="WW-Standard"/>
    <w:rsid w:val="004A2669"/>
    <w:pPr>
      <w:widowControl w:val="0"/>
      <w:spacing w:before="0"/>
      <w:ind w:left="960" w:hanging="240"/>
      <w:jc w:val="left"/>
    </w:pPr>
    <w:rPr>
      <w:sz w:val="20"/>
      <w:szCs w:val="20"/>
    </w:rPr>
  </w:style>
  <w:style w:type="paragraph" w:customStyle="1" w:styleId="Index51">
    <w:name w:val="Index 51"/>
    <w:basedOn w:val="WW-Standard"/>
    <w:rsid w:val="004A2669"/>
    <w:pPr>
      <w:widowControl w:val="0"/>
      <w:spacing w:before="0"/>
      <w:ind w:left="1200" w:hanging="240"/>
      <w:jc w:val="left"/>
    </w:pPr>
    <w:rPr>
      <w:sz w:val="20"/>
      <w:szCs w:val="20"/>
    </w:rPr>
  </w:style>
  <w:style w:type="paragraph" w:customStyle="1" w:styleId="Index61">
    <w:name w:val="Index 61"/>
    <w:basedOn w:val="WW-Standard"/>
    <w:rsid w:val="004A2669"/>
    <w:pPr>
      <w:widowControl w:val="0"/>
      <w:spacing w:before="0"/>
      <w:ind w:left="1440" w:hanging="240"/>
      <w:jc w:val="left"/>
    </w:pPr>
    <w:rPr>
      <w:sz w:val="20"/>
      <w:szCs w:val="20"/>
    </w:rPr>
  </w:style>
  <w:style w:type="paragraph" w:customStyle="1" w:styleId="Index71">
    <w:name w:val="Index 71"/>
    <w:basedOn w:val="WW-Standard"/>
    <w:rsid w:val="004A2669"/>
    <w:pPr>
      <w:widowControl w:val="0"/>
      <w:spacing w:before="0"/>
      <w:ind w:left="1680" w:hanging="240"/>
      <w:jc w:val="left"/>
    </w:pPr>
    <w:rPr>
      <w:sz w:val="20"/>
      <w:szCs w:val="20"/>
    </w:rPr>
  </w:style>
  <w:style w:type="paragraph" w:customStyle="1" w:styleId="Index81">
    <w:name w:val="Index 81"/>
    <w:basedOn w:val="WW-Standard"/>
    <w:rsid w:val="004A2669"/>
    <w:pPr>
      <w:widowControl w:val="0"/>
      <w:spacing w:before="0"/>
      <w:ind w:left="1920" w:hanging="240"/>
      <w:jc w:val="left"/>
    </w:pPr>
    <w:rPr>
      <w:sz w:val="20"/>
      <w:szCs w:val="20"/>
    </w:rPr>
  </w:style>
  <w:style w:type="paragraph" w:customStyle="1" w:styleId="Index91">
    <w:name w:val="Index 91"/>
    <w:basedOn w:val="WW-Standard"/>
    <w:rsid w:val="004A2669"/>
    <w:pPr>
      <w:widowControl w:val="0"/>
      <w:spacing w:before="0"/>
      <w:ind w:left="2160" w:hanging="240"/>
      <w:jc w:val="left"/>
    </w:pPr>
    <w:rPr>
      <w:sz w:val="20"/>
      <w:szCs w:val="20"/>
    </w:rPr>
  </w:style>
  <w:style w:type="paragraph" w:customStyle="1" w:styleId="Titreindex1">
    <w:name w:val="Titre index1"/>
    <w:basedOn w:val="WW-Standard"/>
    <w:rsid w:val="004A2669"/>
    <w:pPr>
      <w:widowControl w:val="0"/>
      <w:spacing w:after="120"/>
      <w:jc w:val="left"/>
    </w:pPr>
    <w:rPr>
      <w:b/>
      <w:bCs/>
      <w:i/>
      <w:sz w:val="20"/>
      <w:szCs w:val="20"/>
    </w:rPr>
  </w:style>
  <w:style w:type="paragraph" w:customStyle="1" w:styleId="Paragraphedeliste2">
    <w:name w:val="Paragraphe de liste2"/>
    <w:basedOn w:val="WW-Standard"/>
    <w:rsid w:val="004A2669"/>
    <w:pPr>
      <w:widowControl w:val="0"/>
      <w:spacing w:before="0"/>
      <w:ind w:left="720"/>
      <w:jc w:val="left"/>
    </w:pPr>
    <w:rPr>
      <w:rFonts w:ascii="Calibri" w:hAnsi="Calibri"/>
      <w:sz w:val="22"/>
      <w:szCs w:val="22"/>
      <w:lang w:val="fr-BE"/>
    </w:rPr>
  </w:style>
  <w:style w:type="paragraph" w:customStyle="1" w:styleId="Signaturelectronique1">
    <w:name w:val="Signature électronique1"/>
    <w:basedOn w:val="WW-Standard"/>
    <w:rsid w:val="004A2669"/>
    <w:pPr>
      <w:widowControl w:val="0"/>
      <w:spacing w:before="0"/>
      <w:jc w:val="left"/>
    </w:pPr>
    <w:rPr>
      <w:rFonts w:ascii="Calibri" w:hAnsi="Calibri"/>
      <w:sz w:val="22"/>
    </w:rPr>
  </w:style>
  <w:style w:type="paragraph" w:customStyle="1" w:styleId="Listepuces1">
    <w:name w:val="Liste à puces1"/>
    <w:basedOn w:val="WW-Standard"/>
    <w:rsid w:val="004A2669"/>
    <w:pPr>
      <w:widowControl w:val="0"/>
      <w:spacing w:before="0" w:after="180" w:line="264" w:lineRule="auto"/>
      <w:jc w:val="left"/>
    </w:pPr>
    <w:rPr>
      <w:rFonts w:ascii="Tw Cen MT" w:hAnsi="Tw Cen MT"/>
    </w:rPr>
  </w:style>
  <w:style w:type="paragraph" w:customStyle="1" w:styleId="Textebrut1">
    <w:name w:val="Texte brut1"/>
    <w:basedOn w:val="WW-Standard"/>
    <w:rsid w:val="004A2669"/>
    <w:pPr>
      <w:widowControl w:val="0"/>
      <w:spacing w:before="0"/>
      <w:jc w:val="left"/>
    </w:pPr>
    <w:rPr>
      <w:rFonts w:ascii="Verdana" w:hAnsi="Verdana"/>
      <w:sz w:val="20"/>
      <w:szCs w:val="21"/>
      <w:lang w:val="fr-BE"/>
    </w:rPr>
  </w:style>
  <w:style w:type="paragraph" w:customStyle="1" w:styleId="WW-Corpsdetexte22">
    <w:name w:val="WW-Corps de texte 22"/>
    <w:basedOn w:val="WW-Standard"/>
    <w:rsid w:val="004A2669"/>
    <w:pPr>
      <w:widowControl w:val="0"/>
      <w:spacing w:after="120"/>
    </w:pPr>
  </w:style>
  <w:style w:type="paragraph" w:customStyle="1" w:styleId="Framecontents">
    <w:name w:val="Frame contents"/>
    <w:basedOn w:val="Textbody"/>
    <w:rsid w:val="004A2669"/>
  </w:style>
  <w:style w:type="paragraph" w:customStyle="1" w:styleId="TableContents">
    <w:name w:val="Table Contents"/>
    <w:basedOn w:val="WW-Standard"/>
    <w:rsid w:val="004A2669"/>
    <w:pPr>
      <w:widowControl w:val="0"/>
    </w:pPr>
  </w:style>
  <w:style w:type="paragraph" w:customStyle="1" w:styleId="heading31">
    <w:name w:val="heading 3_1"/>
    <w:basedOn w:val="WW-Standard"/>
    <w:next w:val="Textbody"/>
    <w:rsid w:val="004A2669"/>
    <w:pPr>
      <w:keepNext/>
      <w:widowControl w:val="0"/>
      <w:tabs>
        <w:tab w:val="left" w:pos="720"/>
      </w:tabs>
      <w:spacing w:after="120"/>
    </w:pPr>
    <w:rPr>
      <w:b/>
      <w:bCs/>
      <w:i/>
      <w:u w:val="single"/>
    </w:rPr>
  </w:style>
  <w:style w:type="paragraph" w:customStyle="1" w:styleId="Heading10">
    <w:name w:val="Heading 10"/>
    <w:basedOn w:val="Heading"/>
    <w:next w:val="Textbody"/>
    <w:rsid w:val="004A2669"/>
    <w:pPr>
      <w:tabs>
        <w:tab w:val="left" w:pos="360"/>
      </w:tabs>
    </w:pPr>
    <w:rPr>
      <w:b/>
      <w:bCs/>
      <w:sz w:val="21"/>
      <w:szCs w:val="21"/>
    </w:rPr>
  </w:style>
  <w:style w:type="paragraph" w:customStyle="1" w:styleId="Frame">
    <w:name w:val="Frame"/>
    <w:rsid w:val="004A2669"/>
    <w:pPr>
      <w:widowControl w:val="0"/>
      <w:suppressAutoHyphens/>
      <w:spacing w:after="0" w:line="240" w:lineRule="auto"/>
    </w:pPr>
    <w:rPr>
      <w:rFonts w:ascii="Times New Roman" w:eastAsia="Arial" w:hAnsi="Times New Roman" w:cs="Times New Roman"/>
      <w:kern w:val="1"/>
      <w:sz w:val="20"/>
      <w:szCs w:val="20"/>
      <w:lang w:eastAsia="zh-CN"/>
    </w:rPr>
  </w:style>
  <w:style w:type="paragraph" w:customStyle="1" w:styleId="notetext">
    <w:name w:val="note text"/>
    <w:rsid w:val="004A2669"/>
    <w:pPr>
      <w:widowControl w:val="0"/>
      <w:suppressAutoHyphens/>
      <w:spacing w:after="0" w:line="240" w:lineRule="auto"/>
    </w:pPr>
    <w:rPr>
      <w:rFonts w:ascii="Times New Roman" w:eastAsia="Arial" w:hAnsi="Times New Roman" w:cs="Times New Roman"/>
      <w:kern w:val="1"/>
      <w:sz w:val="20"/>
      <w:szCs w:val="20"/>
      <w:lang w:eastAsia="zh-CN"/>
    </w:rPr>
  </w:style>
  <w:style w:type="paragraph" w:customStyle="1" w:styleId="notetext1">
    <w:name w:val="note text_1"/>
    <w:rsid w:val="004A2669"/>
    <w:pPr>
      <w:widowControl w:val="0"/>
      <w:suppressAutoHyphens/>
      <w:spacing w:after="0" w:line="240" w:lineRule="auto"/>
    </w:pPr>
    <w:rPr>
      <w:rFonts w:ascii="Times New Roman" w:eastAsia="Arial" w:hAnsi="Times New Roman" w:cs="Times New Roman"/>
      <w:kern w:val="1"/>
      <w:sz w:val="20"/>
      <w:szCs w:val="20"/>
      <w:lang w:eastAsia="zh-CN"/>
    </w:rPr>
  </w:style>
  <w:style w:type="paragraph" w:styleId="Commentaire">
    <w:name w:val="annotation text"/>
    <w:basedOn w:val="Normal"/>
    <w:link w:val="CommentaireCar1"/>
    <w:uiPriority w:val="99"/>
    <w:rsid w:val="004A2669"/>
    <w:pPr>
      <w:widowControl w:val="0"/>
      <w:suppressAutoHyphens/>
    </w:pPr>
    <w:rPr>
      <w:kern w:val="1"/>
      <w:sz w:val="20"/>
      <w:szCs w:val="20"/>
      <w:lang w:val="fr-BE" w:eastAsia="zh-CN"/>
    </w:rPr>
  </w:style>
  <w:style w:type="character" w:customStyle="1" w:styleId="CommentaireCar1">
    <w:name w:val="Commentaire Car1"/>
    <w:basedOn w:val="Policepardfaut"/>
    <w:link w:val="Commentaire"/>
    <w:uiPriority w:val="99"/>
    <w:rsid w:val="004A2669"/>
    <w:rPr>
      <w:rFonts w:ascii="Times New Roman" w:eastAsia="Times New Roman" w:hAnsi="Times New Roman" w:cs="Times New Roman"/>
      <w:kern w:val="1"/>
      <w:sz w:val="20"/>
      <w:szCs w:val="20"/>
      <w:lang w:eastAsia="zh-CN"/>
    </w:rPr>
  </w:style>
  <w:style w:type="paragraph" w:styleId="Objetducommentaire">
    <w:name w:val="annotation subject"/>
    <w:basedOn w:val="Commentaire"/>
    <w:next w:val="Commentaire"/>
    <w:link w:val="ObjetducommentaireCar1"/>
    <w:rsid w:val="004A2669"/>
    <w:rPr>
      <w:b/>
      <w:bCs/>
    </w:rPr>
  </w:style>
  <w:style w:type="character" w:customStyle="1" w:styleId="ObjetducommentaireCar1">
    <w:name w:val="Objet du commentaire Car1"/>
    <w:basedOn w:val="CommentaireCar1"/>
    <w:link w:val="Objetducommentaire"/>
    <w:rsid w:val="004A2669"/>
    <w:rPr>
      <w:rFonts w:ascii="Times New Roman" w:eastAsia="Times New Roman" w:hAnsi="Times New Roman" w:cs="Times New Roman"/>
      <w:b/>
      <w:bCs/>
      <w:kern w:val="1"/>
      <w:sz w:val="20"/>
      <w:szCs w:val="20"/>
      <w:lang w:eastAsia="zh-CN"/>
    </w:rPr>
  </w:style>
  <w:style w:type="paragraph" w:customStyle="1" w:styleId="Contenudetableau">
    <w:name w:val="Contenu de tableau"/>
    <w:basedOn w:val="Normal"/>
    <w:rsid w:val="004A2669"/>
    <w:pPr>
      <w:widowControl w:val="0"/>
      <w:suppressLineNumbers/>
      <w:suppressAutoHyphens/>
    </w:pPr>
    <w:rPr>
      <w:kern w:val="1"/>
      <w:sz w:val="20"/>
      <w:szCs w:val="20"/>
      <w:lang w:val="fr-BE" w:eastAsia="zh-CN"/>
    </w:rPr>
  </w:style>
  <w:style w:type="paragraph" w:customStyle="1" w:styleId="Titredetableau">
    <w:name w:val="Titre de tableau"/>
    <w:basedOn w:val="Contenudetableau"/>
    <w:rsid w:val="004A2669"/>
    <w:pPr>
      <w:jc w:val="center"/>
    </w:pPr>
    <w:rPr>
      <w:b/>
      <w:bCs/>
    </w:rPr>
  </w:style>
  <w:style w:type="paragraph" w:customStyle="1" w:styleId="Contenuducadre">
    <w:name w:val="Contenu du cadre"/>
    <w:basedOn w:val="Corpsdetexte"/>
    <w:rsid w:val="004A2669"/>
  </w:style>
  <w:style w:type="paragraph" w:styleId="Corpsdetexte2">
    <w:name w:val="Body Text 2"/>
    <w:basedOn w:val="Normal"/>
    <w:link w:val="Corpsdetexte2Car1"/>
    <w:semiHidden/>
    <w:rsid w:val="004A2669"/>
    <w:pPr>
      <w:widowControl w:val="0"/>
      <w:suppressAutoHyphens/>
      <w:spacing w:before="240"/>
      <w:ind w:right="567"/>
      <w:jc w:val="both"/>
    </w:pPr>
    <w:rPr>
      <w:kern w:val="1"/>
      <w:sz w:val="20"/>
      <w:szCs w:val="20"/>
      <w:lang w:val="fr-BE" w:eastAsia="zh-CN"/>
    </w:rPr>
  </w:style>
  <w:style w:type="character" w:customStyle="1" w:styleId="Corpsdetexte2Car1">
    <w:name w:val="Corps de texte 2 Car1"/>
    <w:basedOn w:val="Policepardfaut"/>
    <w:link w:val="Corpsdetexte2"/>
    <w:semiHidden/>
    <w:rsid w:val="004A2669"/>
    <w:rPr>
      <w:rFonts w:ascii="Times New Roman" w:eastAsia="Times New Roman" w:hAnsi="Times New Roman" w:cs="Times New Roman"/>
      <w:kern w:val="1"/>
      <w:sz w:val="20"/>
      <w:szCs w:val="20"/>
      <w:lang w:eastAsia="zh-CN"/>
    </w:rPr>
  </w:style>
  <w:style w:type="character" w:customStyle="1" w:styleId="Retraitcorpsdetexte3Car1">
    <w:name w:val="Retrait corps de texte 3 Car1"/>
    <w:semiHidden/>
    <w:rsid w:val="004A2669"/>
    <w:rPr>
      <w:rFonts w:ascii="Arial" w:eastAsia="Times New Roman" w:hAnsi="Arial"/>
      <w:color w:val="0000FF"/>
      <w:szCs w:val="20"/>
      <w:lang w:val="fr-BE" w:eastAsia="zh-CN"/>
    </w:rPr>
  </w:style>
  <w:style w:type="paragraph" w:styleId="Corpsdetexte3">
    <w:name w:val="Body Text 3"/>
    <w:basedOn w:val="Normal"/>
    <w:link w:val="Corpsdetexte3Car1"/>
    <w:semiHidden/>
    <w:rsid w:val="004A2669"/>
    <w:pPr>
      <w:widowControl w:val="0"/>
      <w:suppressAutoHyphens/>
      <w:spacing w:before="240"/>
      <w:jc w:val="both"/>
    </w:pPr>
    <w:rPr>
      <w:color w:val="FF00FF"/>
      <w:kern w:val="1"/>
      <w:szCs w:val="20"/>
      <w:u w:val="single"/>
      <w:lang w:val="fr-BE" w:eastAsia="zh-CN"/>
    </w:rPr>
  </w:style>
  <w:style w:type="character" w:customStyle="1" w:styleId="Corpsdetexte3Car1">
    <w:name w:val="Corps de texte 3 Car1"/>
    <w:basedOn w:val="Policepardfaut"/>
    <w:link w:val="Corpsdetexte3"/>
    <w:semiHidden/>
    <w:rsid w:val="004A2669"/>
    <w:rPr>
      <w:rFonts w:ascii="Times New Roman" w:eastAsia="Times New Roman" w:hAnsi="Times New Roman" w:cs="Times New Roman"/>
      <w:color w:val="FF00FF"/>
      <w:kern w:val="1"/>
      <w:sz w:val="24"/>
      <w:szCs w:val="20"/>
      <w:u w:val="single"/>
      <w:lang w:eastAsia="zh-CN"/>
    </w:rPr>
  </w:style>
  <w:style w:type="paragraph" w:styleId="TM1">
    <w:name w:val="toc 1"/>
    <w:basedOn w:val="Normal"/>
    <w:next w:val="Normal"/>
    <w:autoRedefine/>
    <w:uiPriority w:val="39"/>
    <w:rsid w:val="009F562D"/>
    <w:pPr>
      <w:tabs>
        <w:tab w:val="left" w:pos="1418"/>
        <w:tab w:val="right" w:leader="underscore" w:pos="9062"/>
      </w:tabs>
      <w:spacing w:before="120"/>
    </w:pPr>
    <w:rPr>
      <w:rFonts w:asciiTheme="minorHAnsi" w:hAnsiTheme="minorHAnsi"/>
      <w:b/>
      <w:bCs/>
    </w:rPr>
  </w:style>
  <w:style w:type="paragraph" w:styleId="TM2">
    <w:name w:val="toc 2"/>
    <w:basedOn w:val="Normal"/>
    <w:next w:val="Normal"/>
    <w:autoRedefine/>
    <w:uiPriority w:val="39"/>
    <w:rsid w:val="004A2669"/>
    <w:pPr>
      <w:ind w:left="240"/>
    </w:pPr>
    <w:rPr>
      <w:rFonts w:asciiTheme="minorHAnsi" w:hAnsiTheme="minorHAnsi"/>
      <w:b/>
      <w:bCs/>
      <w:sz w:val="22"/>
      <w:szCs w:val="22"/>
    </w:rPr>
  </w:style>
  <w:style w:type="paragraph" w:styleId="TM3">
    <w:name w:val="toc 3"/>
    <w:basedOn w:val="Normal"/>
    <w:next w:val="Normal"/>
    <w:autoRedefine/>
    <w:uiPriority w:val="39"/>
    <w:rsid w:val="00CD6839"/>
    <w:pPr>
      <w:tabs>
        <w:tab w:val="left" w:pos="1843"/>
        <w:tab w:val="right" w:leader="underscore" w:pos="9062"/>
      </w:tabs>
      <w:ind w:left="1701" w:hanging="1243"/>
    </w:pPr>
    <w:rPr>
      <w:rFonts w:asciiTheme="minorHAnsi" w:hAnsiTheme="minorHAnsi"/>
      <w:sz w:val="22"/>
      <w:szCs w:val="22"/>
    </w:rPr>
  </w:style>
  <w:style w:type="paragraph" w:styleId="TM4">
    <w:name w:val="toc 4"/>
    <w:basedOn w:val="Normal"/>
    <w:next w:val="Normal"/>
    <w:autoRedefine/>
    <w:uiPriority w:val="39"/>
    <w:rsid w:val="008D7EB7"/>
    <w:pPr>
      <w:tabs>
        <w:tab w:val="left" w:pos="1418"/>
        <w:tab w:val="right" w:leader="underscore" w:pos="9062"/>
      </w:tabs>
      <w:ind w:left="1418" w:hanging="698"/>
    </w:pPr>
    <w:rPr>
      <w:rFonts w:asciiTheme="minorHAnsi" w:hAnsiTheme="minorHAnsi"/>
      <w:sz w:val="20"/>
      <w:szCs w:val="20"/>
    </w:rPr>
  </w:style>
  <w:style w:type="paragraph" w:styleId="TM5">
    <w:name w:val="toc 5"/>
    <w:basedOn w:val="Normal"/>
    <w:next w:val="Normal"/>
    <w:autoRedefine/>
    <w:uiPriority w:val="39"/>
    <w:rsid w:val="008D7EB7"/>
    <w:pPr>
      <w:tabs>
        <w:tab w:val="right" w:leader="underscore" w:pos="9062"/>
      </w:tabs>
      <w:ind w:left="1134" w:hanging="174"/>
    </w:pPr>
    <w:rPr>
      <w:rFonts w:asciiTheme="minorHAnsi" w:hAnsiTheme="minorHAnsi"/>
      <w:sz w:val="20"/>
      <w:szCs w:val="20"/>
    </w:rPr>
  </w:style>
  <w:style w:type="paragraph" w:styleId="TM6">
    <w:name w:val="toc 6"/>
    <w:basedOn w:val="Normal"/>
    <w:next w:val="Normal"/>
    <w:autoRedefine/>
    <w:uiPriority w:val="39"/>
    <w:rsid w:val="004A2669"/>
    <w:pPr>
      <w:ind w:left="1200"/>
    </w:pPr>
    <w:rPr>
      <w:rFonts w:asciiTheme="minorHAnsi" w:hAnsiTheme="minorHAnsi"/>
      <w:sz w:val="20"/>
      <w:szCs w:val="20"/>
    </w:rPr>
  </w:style>
  <w:style w:type="paragraph" w:styleId="TM7">
    <w:name w:val="toc 7"/>
    <w:basedOn w:val="Normal"/>
    <w:next w:val="Normal"/>
    <w:autoRedefine/>
    <w:uiPriority w:val="39"/>
    <w:rsid w:val="004A2669"/>
    <w:pPr>
      <w:ind w:left="1440"/>
    </w:pPr>
    <w:rPr>
      <w:rFonts w:asciiTheme="minorHAnsi" w:hAnsiTheme="minorHAnsi"/>
      <w:sz w:val="20"/>
      <w:szCs w:val="20"/>
    </w:rPr>
  </w:style>
  <w:style w:type="paragraph" w:styleId="TM8">
    <w:name w:val="toc 8"/>
    <w:basedOn w:val="Normal"/>
    <w:next w:val="Normal"/>
    <w:autoRedefine/>
    <w:uiPriority w:val="39"/>
    <w:rsid w:val="004A2669"/>
    <w:pPr>
      <w:ind w:left="1680"/>
    </w:pPr>
    <w:rPr>
      <w:rFonts w:asciiTheme="minorHAnsi" w:hAnsiTheme="minorHAnsi"/>
      <w:sz w:val="20"/>
      <w:szCs w:val="20"/>
    </w:rPr>
  </w:style>
  <w:style w:type="paragraph" w:styleId="TM9">
    <w:name w:val="toc 9"/>
    <w:basedOn w:val="Normal"/>
    <w:next w:val="Normal"/>
    <w:autoRedefine/>
    <w:uiPriority w:val="39"/>
    <w:rsid w:val="004A2669"/>
    <w:pPr>
      <w:ind w:left="1920"/>
    </w:pPr>
    <w:rPr>
      <w:rFonts w:asciiTheme="minorHAnsi" w:hAnsiTheme="minorHAnsi"/>
      <w:sz w:val="20"/>
      <w:szCs w:val="20"/>
    </w:rPr>
  </w:style>
  <w:style w:type="character" w:customStyle="1" w:styleId="NotedebasdepageCar1">
    <w:name w:val="Note de bas de page Car1"/>
    <w:semiHidden/>
    <w:rsid w:val="004A2669"/>
    <w:rPr>
      <w:noProof w:val="0"/>
      <w:kern w:val="1"/>
      <w:lang w:eastAsia="zh-CN"/>
    </w:rPr>
  </w:style>
  <w:style w:type="character" w:customStyle="1" w:styleId="Titre6Car1">
    <w:name w:val="Titre 6 Car1"/>
    <w:semiHidden/>
    <w:rsid w:val="004A2669"/>
    <w:rPr>
      <w:rFonts w:ascii="Calibri" w:hAnsi="Calibri"/>
      <w:b/>
      <w:bCs/>
      <w:noProof w:val="0"/>
      <w:kern w:val="1"/>
      <w:sz w:val="22"/>
      <w:szCs w:val="22"/>
      <w:lang w:eastAsia="zh-CN"/>
    </w:rPr>
  </w:style>
  <w:style w:type="character" w:customStyle="1" w:styleId="Titre9Car1">
    <w:name w:val="Titre 9 Car1"/>
    <w:rsid w:val="004A2669"/>
    <w:rPr>
      <w:rFonts w:ascii="Cambria" w:hAnsi="Cambria"/>
      <w:noProof w:val="0"/>
      <w:kern w:val="1"/>
      <w:sz w:val="22"/>
      <w:szCs w:val="22"/>
      <w:lang w:eastAsia="zh-CN"/>
    </w:rPr>
  </w:style>
  <w:style w:type="paragraph" w:styleId="Retraitcorpsdetexte">
    <w:name w:val="Body Text Indent"/>
    <w:basedOn w:val="Normal"/>
    <w:link w:val="RetraitcorpsdetexteCar1"/>
    <w:uiPriority w:val="99"/>
    <w:semiHidden/>
    <w:unhideWhenUsed/>
    <w:rsid w:val="004A2669"/>
    <w:pPr>
      <w:widowControl w:val="0"/>
      <w:suppressAutoHyphens/>
      <w:spacing w:after="120"/>
      <w:ind w:left="283"/>
    </w:pPr>
    <w:rPr>
      <w:kern w:val="1"/>
      <w:sz w:val="20"/>
      <w:szCs w:val="20"/>
      <w:lang w:val="fr-BE" w:eastAsia="zh-CN"/>
    </w:rPr>
  </w:style>
  <w:style w:type="character" w:customStyle="1" w:styleId="RetraitcorpsdetexteCar1">
    <w:name w:val="Retrait corps de texte Car1"/>
    <w:basedOn w:val="Policepardfaut"/>
    <w:link w:val="Retraitcorpsdetexte"/>
    <w:uiPriority w:val="99"/>
    <w:semiHidden/>
    <w:rsid w:val="004A2669"/>
    <w:rPr>
      <w:rFonts w:ascii="Times New Roman" w:eastAsia="Times New Roman" w:hAnsi="Times New Roman" w:cs="Times New Roman"/>
      <w:kern w:val="1"/>
      <w:sz w:val="20"/>
      <w:szCs w:val="20"/>
      <w:lang w:eastAsia="zh-CN"/>
    </w:rPr>
  </w:style>
  <w:style w:type="paragraph" w:styleId="NormalWeb">
    <w:name w:val="Normal (Web)"/>
    <w:basedOn w:val="Normal"/>
    <w:uiPriority w:val="99"/>
    <w:unhideWhenUsed/>
    <w:rsid w:val="004A2669"/>
    <w:pPr>
      <w:spacing w:before="100" w:beforeAutospacing="1" w:after="100" w:afterAutospacing="1"/>
    </w:pPr>
    <w:rPr>
      <w:lang w:val="fr-BE" w:eastAsia="fr-BE"/>
    </w:rPr>
  </w:style>
  <w:style w:type="character" w:styleId="Accentuationlgre">
    <w:name w:val="Subtle Emphasis"/>
    <w:uiPriority w:val="19"/>
    <w:qFormat/>
    <w:rsid w:val="004A2669"/>
    <w:rPr>
      <w:i/>
      <w:iCs/>
      <w:color w:val="808080"/>
    </w:rPr>
  </w:style>
  <w:style w:type="character" w:styleId="lev">
    <w:name w:val="Strong"/>
    <w:uiPriority w:val="22"/>
    <w:qFormat/>
    <w:rsid w:val="004A2669"/>
    <w:rPr>
      <w:b/>
      <w:bCs/>
    </w:rPr>
  </w:style>
  <w:style w:type="paragraph" w:styleId="Sansinterligne">
    <w:name w:val="No Spacing"/>
    <w:link w:val="SansinterligneCar"/>
    <w:uiPriority w:val="1"/>
    <w:qFormat/>
    <w:rsid w:val="004A2669"/>
    <w:pPr>
      <w:widowControl w:val="0"/>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ww-standard0">
    <w:name w:val="ww-standard"/>
    <w:basedOn w:val="Normal"/>
    <w:rsid w:val="004A2669"/>
    <w:rPr>
      <w:lang w:val="fr-BE" w:eastAsia="fr-BE"/>
    </w:rPr>
  </w:style>
  <w:style w:type="paragraph" w:customStyle="1" w:styleId="titre410">
    <w:name w:val="titre41"/>
    <w:basedOn w:val="Normal"/>
    <w:rsid w:val="004A2669"/>
    <w:rPr>
      <w:lang w:val="fr-BE" w:eastAsia="fr-BE"/>
    </w:rPr>
  </w:style>
  <w:style w:type="paragraph" w:customStyle="1" w:styleId="CM1">
    <w:name w:val="CM1"/>
    <w:basedOn w:val="Normal"/>
    <w:next w:val="Normal"/>
    <w:uiPriority w:val="99"/>
    <w:rsid w:val="004A2669"/>
    <w:pPr>
      <w:autoSpaceDE w:val="0"/>
      <w:autoSpaceDN w:val="0"/>
      <w:adjustRightInd w:val="0"/>
    </w:pPr>
    <w:rPr>
      <w:rFonts w:ascii="EUAlbertina" w:hAnsi="EUAlbertina"/>
      <w:lang w:val="fr-BE"/>
    </w:rPr>
  </w:style>
  <w:style w:type="paragraph" w:customStyle="1" w:styleId="CM3">
    <w:name w:val="CM3"/>
    <w:basedOn w:val="Normal"/>
    <w:next w:val="Normal"/>
    <w:uiPriority w:val="99"/>
    <w:rsid w:val="004A2669"/>
    <w:pPr>
      <w:autoSpaceDE w:val="0"/>
      <w:autoSpaceDN w:val="0"/>
      <w:adjustRightInd w:val="0"/>
    </w:pPr>
    <w:rPr>
      <w:rFonts w:ascii="EUAlbertina" w:hAnsi="EUAlbertina"/>
      <w:lang w:val="fr-BE"/>
    </w:rPr>
  </w:style>
  <w:style w:type="paragraph" w:customStyle="1" w:styleId="Body1">
    <w:name w:val="Body 1"/>
    <w:rsid w:val="004A2669"/>
    <w:pPr>
      <w:widowControl w:val="0"/>
      <w:suppressAutoHyphens/>
      <w:spacing w:after="0" w:line="240" w:lineRule="auto"/>
      <w:outlineLvl w:val="0"/>
    </w:pPr>
    <w:rPr>
      <w:rFonts w:ascii="Times New Roman" w:eastAsia="Arial Unicode MS" w:hAnsi="Times New Roman" w:cs="Times New Roman"/>
      <w:color w:val="000000"/>
      <w:kern w:val="2"/>
      <w:sz w:val="20"/>
      <w:szCs w:val="20"/>
      <w:u w:color="000000"/>
      <w:lang w:eastAsia="fr-BE"/>
    </w:rPr>
  </w:style>
  <w:style w:type="paragraph" w:customStyle="1" w:styleId="doubleretrait-pol10">
    <w:name w:val="double retrait-pol 10"/>
    <w:basedOn w:val="Normal"/>
    <w:rsid w:val="004A2669"/>
    <w:pPr>
      <w:ind w:left="840" w:right="718"/>
      <w:jc w:val="both"/>
    </w:pPr>
    <w:rPr>
      <w:rFonts w:ascii="Palatino" w:hAnsi="Palatino"/>
      <w:sz w:val="20"/>
    </w:rPr>
  </w:style>
  <w:style w:type="character" w:customStyle="1" w:styleId="thumbhidden">
    <w:name w:val="thumb_hidden"/>
    <w:basedOn w:val="Policepardfaut"/>
    <w:rsid w:val="004A2669"/>
  </w:style>
  <w:style w:type="paragraph" w:customStyle="1" w:styleId="Default">
    <w:name w:val="Default"/>
    <w:rsid w:val="004A2669"/>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1">
    <w:name w:val="st1"/>
    <w:basedOn w:val="Policepardfaut"/>
    <w:rsid w:val="004A2669"/>
  </w:style>
  <w:style w:type="paragraph" w:customStyle="1" w:styleId="para-artnum11">
    <w:name w:val="para-artnum11"/>
    <w:basedOn w:val="Normal"/>
    <w:rsid w:val="004A2669"/>
    <w:pPr>
      <w:spacing w:before="77" w:after="61" w:line="360" w:lineRule="atLeast"/>
      <w:jc w:val="both"/>
    </w:pPr>
    <w:rPr>
      <w:lang w:val="fr-BE" w:eastAsia="fr-BE"/>
    </w:rPr>
  </w:style>
  <w:style w:type="paragraph" w:customStyle="1" w:styleId="para1">
    <w:name w:val="para1"/>
    <w:basedOn w:val="Normal"/>
    <w:rsid w:val="004A2669"/>
    <w:pPr>
      <w:spacing w:before="77" w:after="61" w:line="360" w:lineRule="atLeast"/>
      <w:jc w:val="both"/>
    </w:pPr>
    <w:rPr>
      <w:lang w:val="fr-BE" w:eastAsia="fr-BE"/>
    </w:rPr>
  </w:style>
  <w:style w:type="paragraph" w:styleId="En-ttedetabledesmatires">
    <w:name w:val="TOC Heading"/>
    <w:basedOn w:val="Titre1"/>
    <w:next w:val="Normal"/>
    <w:uiPriority w:val="39"/>
    <w:unhideWhenUsed/>
    <w:qFormat/>
    <w:rsid w:val="004A2669"/>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sz w:val="28"/>
      <w:szCs w:val="28"/>
      <w:u w:val="none"/>
    </w:rPr>
  </w:style>
  <w:style w:type="character" w:styleId="Numrodepage">
    <w:name w:val="page number"/>
    <w:basedOn w:val="Policepardfaut"/>
    <w:uiPriority w:val="99"/>
    <w:semiHidden/>
    <w:unhideWhenUsed/>
    <w:rsid w:val="000B2C5D"/>
  </w:style>
  <w:style w:type="paragraph" w:styleId="Rvision">
    <w:name w:val="Revision"/>
    <w:hidden/>
    <w:uiPriority w:val="99"/>
    <w:semiHidden/>
    <w:rsid w:val="00930462"/>
    <w:pPr>
      <w:spacing w:after="0" w:line="240" w:lineRule="auto"/>
    </w:pPr>
    <w:rPr>
      <w:rFonts w:ascii="Times New Roman" w:eastAsia="Times New Roman" w:hAnsi="Times New Roman" w:cs="Times New Roman"/>
      <w:sz w:val="24"/>
      <w:szCs w:val="24"/>
      <w:lang w:val="fr-FR" w:eastAsia="fr-FR"/>
    </w:rPr>
  </w:style>
  <w:style w:type="character" w:customStyle="1" w:styleId="SansinterligneCar">
    <w:name w:val="Sans interligne Car"/>
    <w:basedOn w:val="Policepardfaut"/>
    <w:link w:val="Sansinterligne"/>
    <w:uiPriority w:val="1"/>
    <w:rsid w:val="00231604"/>
    <w:rPr>
      <w:rFonts w:ascii="Times New Roman" w:eastAsia="Times New Roman" w:hAnsi="Times New Roman" w:cs="Times New Roman"/>
      <w:kern w:val="1"/>
      <w:sz w:val="20"/>
      <w:szCs w:val="20"/>
      <w:lang w:eastAsia="zh-CN"/>
    </w:rPr>
  </w:style>
  <w:style w:type="character" w:customStyle="1" w:styleId="Titre4Car1">
    <w:name w:val="Titre 4 Car1"/>
    <w:basedOn w:val="Policepardfaut"/>
    <w:uiPriority w:val="9"/>
    <w:rsid w:val="009B153C"/>
    <w:rPr>
      <w:rFonts w:asciiTheme="majorHAnsi" w:eastAsiaTheme="majorEastAsia" w:hAnsiTheme="majorHAnsi" w:cstheme="majorBidi"/>
      <w:b/>
      <w:bCs/>
      <w:i/>
      <w:iCs/>
      <w:color w:val="4F81BD" w:themeColor="accent1"/>
      <w:lang w:val="en-US"/>
    </w:rPr>
  </w:style>
  <w:style w:type="character" w:customStyle="1" w:styleId="Titre5Car2">
    <w:name w:val="Titre 5 Car2"/>
    <w:basedOn w:val="Policepardfaut"/>
    <w:uiPriority w:val="9"/>
    <w:rsid w:val="009B153C"/>
    <w:rPr>
      <w:rFonts w:asciiTheme="majorHAnsi" w:eastAsiaTheme="majorEastAsia" w:hAnsiTheme="majorHAnsi" w:cstheme="majorBidi"/>
      <w:color w:val="243F60" w:themeColor="accent1" w:themeShade="7F"/>
      <w:lang w:val="en-US"/>
    </w:rPr>
  </w:style>
  <w:style w:type="character" w:styleId="Mentionnonrsolue">
    <w:name w:val="Unresolved Mention"/>
    <w:basedOn w:val="Policepardfaut"/>
    <w:uiPriority w:val="99"/>
    <w:semiHidden/>
    <w:unhideWhenUsed/>
    <w:rsid w:val="0042207C"/>
    <w:rPr>
      <w:color w:val="605E5C"/>
      <w:shd w:val="clear" w:color="auto" w:fill="E1DFDD"/>
    </w:rPr>
  </w:style>
  <w:style w:type="character" w:customStyle="1" w:styleId="breadcrumb-separator">
    <w:name w:val="breadcrumb-separator"/>
    <w:basedOn w:val="Policepardfaut"/>
    <w:rsid w:val="00C820A6"/>
  </w:style>
  <w:style w:type="character" w:customStyle="1" w:styleId="link">
    <w:name w:val="link"/>
    <w:basedOn w:val="Policepardfaut"/>
    <w:rsid w:val="001A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60">
      <w:bodyDiv w:val="1"/>
      <w:marLeft w:val="0"/>
      <w:marRight w:val="0"/>
      <w:marTop w:val="0"/>
      <w:marBottom w:val="0"/>
      <w:divBdr>
        <w:top w:val="none" w:sz="0" w:space="0" w:color="auto"/>
        <w:left w:val="none" w:sz="0" w:space="0" w:color="auto"/>
        <w:bottom w:val="none" w:sz="0" w:space="0" w:color="auto"/>
        <w:right w:val="none" w:sz="0" w:space="0" w:color="auto"/>
      </w:divBdr>
    </w:div>
    <w:div w:id="5644148">
      <w:bodyDiv w:val="1"/>
      <w:marLeft w:val="0"/>
      <w:marRight w:val="0"/>
      <w:marTop w:val="0"/>
      <w:marBottom w:val="0"/>
      <w:divBdr>
        <w:top w:val="none" w:sz="0" w:space="0" w:color="auto"/>
        <w:left w:val="none" w:sz="0" w:space="0" w:color="auto"/>
        <w:bottom w:val="none" w:sz="0" w:space="0" w:color="auto"/>
        <w:right w:val="none" w:sz="0" w:space="0" w:color="auto"/>
      </w:divBdr>
    </w:div>
    <w:div w:id="7030229">
      <w:bodyDiv w:val="1"/>
      <w:marLeft w:val="0"/>
      <w:marRight w:val="0"/>
      <w:marTop w:val="0"/>
      <w:marBottom w:val="0"/>
      <w:divBdr>
        <w:top w:val="none" w:sz="0" w:space="0" w:color="auto"/>
        <w:left w:val="none" w:sz="0" w:space="0" w:color="auto"/>
        <w:bottom w:val="none" w:sz="0" w:space="0" w:color="auto"/>
        <w:right w:val="none" w:sz="0" w:space="0" w:color="auto"/>
      </w:divBdr>
    </w:div>
    <w:div w:id="53630395">
      <w:bodyDiv w:val="1"/>
      <w:marLeft w:val="0"/>
      <w:marRight w:val="0"/>
      <w:marTop w:val="0"/>
      <w:marBottom w:val="0"/>
      <w:divBdr>
        <w:top w:val="none" w:sz="0" w:space="0" w:color="auto"/>
        <w:left w:val="none" w:sz="0" w:space="0" w:color="auto"/>
        <w:bottom w:val="none" w:sz="0" w:space="0" w:color="auto"/>
        <w:right w:val="none" w:sz="0" w:space="0" w:color="auto"/>
      </w:divBdr>
    </w:div>
    <w:div w:id="55319122">
      <w:bodyDiv w:val="1"/>
      <w:marLeft w:val="0"/>
      <w:marRight w:val="0"/>
      <w:marTop w:val="0"/>
      <w:marBottom w:val="0"/>
      <w:divBdr>
        <w:top w:val="none" w:sz="0" w:space="0" w:color="auto"/>
        <w:left w:val="none" w:sz="0" w:space="0" w:color="auto"/>
        <w:bottom w:val="none" w:sz="0" w:space="0" w:color="auto"/>
        <w:right w:val="none" w:sz="0" w:space="0" w:color="auto"/>
      </w:divBdr>
    </w:div>
    <w:div w:id="68119945">
      <w:bodyDiv w:val="1"/>
      <w:marLeft w:val="0"/>
      <w:marRight w:val="0"/>
      <w:marTop w:val="0"/>
      <w:marBottom w:val="0"/>
      <w:divBdr>
        <w:top w:val="none" w:sz="0" w:space="0" w:color="auto"/>
        <w:left w:val="none" w:sz="0" w:space="0" w:color="auto"/>
        <w:bottom w:val="none" w:sz="0" w:space="0" w:color="auto"/>
        <w:right w:val="none" w:sz="0" w:space="0" w:color="auto"/>
      </w:divBdr>
    </w:div>
    <w:div w:id="73864331">
      <w:bodyDiv w:val="1"/>
      <w:marLeft w:val="0"/>
      <w:marRight w:val="0"/>
      <w:marTop w:val="0"/>
      <w:marBottom w:val="0"/>
      <w:divBdr>
        <w:top w:val="none" w:sz="0" w:space="0" w:color="auto"/>
        <w:left w:val="none" w:sz="0" w:space="0" w:color="auto"/>
        <w:bottom w:val="none" w:sz="0" w:space="0" w:color="auto"/>
        <w:right w:val="none" w:sz="0" w:space="0" w:color="auto"/>
      </w:divBdr>
    </w:div>
    <w:div w:id="88698979">
      <w:bodyDiv w:val="1"/>
      <w:marLeft w:val="0"/>
      <w:marRight w:val="0"/>
      <w:marTop w:val="0"/>
      <w:marBottom w:val="0"/>
      <w:divBdr>
        <w:top w:val="none" w:sz="0" w:space="0" w:color="auto"/>
        <w:left w:val="none" w:sz="0" w:space="0" w:color="auto"/>
        <w:bottom w:val="none" w:sz="0" w:space="0" w:color="auto"/>
        <w:right w:val="none" w:sz="0" w:space="0" w:color="auto"/>
      </w:divBdr>
    </w:div>
    <w:div w:id="101460832">
      <w:bodyDiv w:val="1"/>
      <w:marLeft w:val="0"/>
      <w:marRight w:val="0"/>
      <w:marTop w:val="0"/>
      <w:marBottom w:val="0"/>
      <w:divBdr>
        <w:top w:val="none" w:sz="0" w:space="0" w:color="auto"/>
        <w:left w:val="none" w:sz="0" w:space="0" w:color="auto"/>
        <w:bottom w:val="none" w:sz="0" w:space="0" w:color="auto"/>
        <w:right w:val="none" w:sz="0" w:space="0" w:color="auto"/>
      </w:divBdr>
    </w:div>
    <w:div w:id="128206111">
      <w:bodyDiv w:val="1"/>
      <w:marLeft w:val="0"/>
      <w:marRight w:val="0"/>
      <w:marTop w:val="0"/>
      <w:marBottom w:val="0"/>
      <w:divBdr>
        <w:top w:val="none" w:sz="0" w:space="0" w:color="auto"/>
        <w:left w:val="none" w:sz="0" w:space="0" w:color="auto"/>
        <w:bottom w:val="none" w:sz="0" w:space="0" w:color="auto"/>
        <w:right w:val="none" w:sz="0" w:space="0" w:color="auto"/>
      </w:divBdr>
    </w:div>
    <w:div w:id="143549827">
      <w:bodyDiv w:val="1"/>
      <w:marLeft w:val="0"/>
      <w:marRight w:val="0"/>
      <w:marTop w:val="0"/>
      <w:marBottom w:val="0"/>
      <w:divBdr>
        <w:top w:val="none" w:sz="0" w:space="0" w:color="auto"/>
        <w:left w:val="none" w:sz="0" w:space="0" w:color="auto"/>
        <w:bottom w:val="none" w:sz="0" w:space="0" w:color="auto"/>
        <w:right w:val="none" w:sz="0" w:space="0" w:color="auto"/>
      </w:divBdr>
    </w:div>
    <w:div w:id="193544676">
      <w:bodyDiv w:val="1"/>
      <w:marLeft w:val="0"/>
      <w:marRight w:val="0"/>
      <w:marTop w:val="0"/>
      <w:marBottom w:val="0"/>
      <w:divBdr>
        <w:top w:val="none" w:sz="0" w:space="0" w:color="auto"/>
        <w:left w:val="none" w:sz="0" w:space="0" w:color="auto"/>
        <w:bottom w:val="none" w:sz="0" w:space="0" w:color="auto"/>
        <w:right w:val="none" w:sz="0" w:space="0" w:color="auto"/>
      </w:divBdr>
    </w:div>
    <w:div w:id="194539680">
      <w:bodyDiv w:val="1"/>
      <w:marLeft w:val="0"/>
      <w:marRight w:val="0"/>
      <w:marTop w:val="0"/>
      <w:marBottom w:val="0"/>
      <w:divBdr>
        <w:top w:val="none" w:sz="0" w:space="0" w:color="auto"/>
        <w:left w:val="none" w:sz="0" w:space="0" w:color="auto"/>
        <w:bottom w:val="none" w:sz="0" w:space="0" w:color="auto"/>
        <w:right w:val="none" w:sz="0" w:space="0" w:color="auto"/>
      </w:divBdr>
    </w:div>
    <w:div w:id="227344451">
      <w:bodyDiv w:val="1"/>
      <w:marLeft w:val="0"/>
      <w:marRight w:val="0"/>
      <w:marTop w:val="0"/>
      <w:marBottom w:val="0"/>
      <w:divBdr>
        <w:top w:val="none" w:sz="0" w:space="0" w:color="auto"/>
        <w:left w:val="none" w:sz="0" w:space="0" w:color="auto"/>
        <w:bottom w:val="none" w:sz="0" w:space="0" w:color="auto"/>
        <w:right w:val="none" w:sz="0" w:space="0" w:color="auto"/>
      </w:divBdr>
    </w:div>
    <w:div w:id="232128992">
      <w:bodyDiv w:val="1"/>
      <w:marLeft w:val="0"/>
      <w:marRight w:val="0"/>
      <w:marTop w:val="0"/>
      <w:marBottom w:val="0"/>
      <w:divBdr>
        <w:top w:val="none" w:sz="0" w:space="0" w:color="auto"/>
        <w:left w:val="none" w:sz="0" w:space="0" w:color="auto"/>
        <w:bottom w:val="none" w:sz="0" w:space="0" w:color="auto"/>
        <w:right w:val="none" w:sz="0" w:space="0" w:color="auto"/>
      </w:divBdr>
    </w:div>
    <w:div w:id="240524188">
      <w:bodyDiv w:val="1"/>
      <w:marLeft w:val="0"/>
      <w:marRight w:val="0"/>
      <w:marTop w:val="0"/>
      <w:marBottom w:val="0"/>
      <w:divBdr>
        <w:top w:val="none" w:sz="0" w:space="0" w:color="auto"/>
        <w:left w:val="none" w:sz="0" w:space="0" w:color="auto"/>
        <w:bottom w:val="none" w:sz="0" w:space="0" w:color="auto"/>
        <w:right w:val="none" w:sz="0" w:space="0" w:color="auto"/>
      </w:divBdr>
    </w:div>
    <w:div w:id="254824098">
      <w:bodyDiv w:val="1"/>
      <w:marLeft w:val="0"/>
      <w:marRight w:val="0"/>
      <w:marTop w:val="0"/>
      <w:marBottom w:val="0"/>
      <w:divBdr>
        <w:top w:val="none" w:sz="0" w:space="0" w:color="auto"/>
        <w:left w:val="none" w:sz="0" w:space="0" w:color="auto"/>
        <w:bottom w:val="none" w:sz="0" w:space="0" w:color="auto"/>
        <w:right w:val="none" w:sz="0" w:space="0" w:color="auto"/>
      </w:divBdr>
    </w:div>
    <w:div w:id="274404969">
      <w:bodyDiv w:val="1"/>
      <w:marLeft w:val="0"/>
      <w:marRight w:val="0"/>
      <w:marTop w:val="0"/>
      <w:marBottom w:val="0"/>
      <w:divBdr>
        <w:top w:val="none" w:sz="0" w:space="0" w:color="auto"/>
        <w:left w:val="none" w:sz="0" w:space="0" w:color="auto"/>
        <w:bottom w:val="none" w:sz="0" w:space="0" w:color="auto"/>
        <w:right w:val="none" w:sz="0" w:space="0" w:color="auto"/>
      </w:divBdr>
    </w:div>
    <w:div w:id="274944959">
      <w:bodyDiv w:val="1"/>
      <w:marLeft w:val="0"/>
      <w:marRight w:val="0"/>
      <w:marTop w:val="0"/>
      <w:marBottom w:val="0"/>
      <w:divBdr>
        <w:top w:val="none" w:sz="0" w:space="0" w:color="auto"/>
        <w:left w:val="none" w:sz="0" w:space="0" w:color="auto"/>
        <w:bottom w:val="none" w:sz="0" w:space="0" w:color="auto"/>
        <w:right w:val="none" w:sz="0" w:space="0" w:color="auto"/>
      </w:divBdr>
    </w:div>
    <w:div w:id="301619990">
      <w:bodyDiv w:val="1"/>
      <w:marLeft w:val="0"/>
      <w:marRight w:val="0"/>
      <w:marTop w:val="0"/>
      <w:marBottom w:val="0"/>
      <w:divBdr>
        <w:top w:val="none" w:sz="0" w:space="0" w:color="auto"/>
        <w:left w:val="none" w:sz="0" w:space="0" w:color="auto"/>
        <w:bottom w:val="none" w:sz="0" w:space="0" w:color="auto"/>
        <w:right w:val="none" w:sz="0" w:space="0" w:color="auto"/>
      </w:divBdr>
    </w:div>
    <w:div w:id="355468842">
      <w:bodyDiv w:val="1"/>
      <w:marLeft w:val="0"/>
      <w:marRight w:val="0"/>
      <w:marTop w:val="0"/>
      <w:marBottom w:val="0"/>
      <w:divBdr>
        <w:top w:val="none" w:sz="0" w:space="0" w:color="auto"/>
        <w:left w:val="none" w:sz="0" w:space="0" w:color="auto"/>
        <w:bottom w:val="none" w:sz="0" w:space="0" w:color="auto"/>
        <w:right w:val="none" w:sz="0" w:space="0" w:color="auto"/>
      </w:divBdr>
    </w:div>
    <w:div w:id="370308202">
      <w:bodyDiv w:val="1"/>
      <w:marLeft w:val="0"/>
      <w:marRight w:val="0"/>
      <w:marTop w:val="0"/>
      <w:marBottom w:val="0"/>
      <w:divBdr>
        <w:top w:val="none" w:sz="0" w:space="0" w:color="auto"/>
        <w:left w:val="none" w:sz="0" w:space="0" w:color="auto"/>
        <w:bottom w:val="none" w:sz="0" w:space="0" w:color="auto"/>
        <w:right w:val="none" w:sz="0" w:space="0" w:color="auto"/>
      </w:divBdr>
    </w:div>
    <w:div w:id="403141856">
      <w:bodyDiv w:val="1"/>
      <w:marLeft w:val="0"/>
      <w:marRight w:val="0"/>
      <w:marTop w:val="0"/>
      <w:marBottom w:val="0"/>
      <w:divBdr>
        <w:top w:val="none" w:sz="0" w:space="0" w:color="auto"/>
        <w:left w:val="none" w:sz="0" w:space="0" w:color="auto"/>
        <w:bottom w:val="none" w:sz="0" w:space="0" w:color="auto"/>
        <w:right w:val="none" w:sz="0" w:space="0" w:color="auto"/>
      </w:divBdr>
    </w:div>
    <w:div w:id="430853151">
      <w:bodyDiv w:val="1"/>
      <w:marLeft w:val="0"/>
      <w:marRight w:val="0"/>
      <w:marTop w:val="0"/>
      <w:marBottom w:val="0"/>
      <w:divBdr>
        <w:top w:val="none" w:sz="0" w:space="0" w:color="auto"/>
        <w:left w:val="none" w:sz="0" w:space="0" w:color="auto"/>
        <w:bottom w:val="none" w:sz="0" w:space="0" w:color="auto"/>
        <w:right w:val="none" w:sz="0" w:space="0" w:color="auto"/>
      </w:divBdr>
    </w:div>
    <w:div w:id="506021329">
      <w:bodyDiv w:val="1"/>
      <w:marLeft w:val="0"/>
      <w:marRight w:val="0"/>
      <w:marTop w:val="0"/>
      <w:marBottom w:val="0"/>
      <w:divBdr>
        <w:top w:val="none" w:sz="0" w:space="0" w:color="auto"/>
        <w:left w:val="none" w:sz="0" w:space="0" w:color="auto"/>
        <w:bottom w:val="none" w:sz="0" w:space="0" w:color="auto"/>
        <w:right w:val="none" w:sz="0" w:space="0" w:color="auto"/>
      </w:divBdr>
    </w:div>
    <w:div w:id="510533764">
      <w:bodyDiv w:val="1"/>
      <w:marLeft w:val="0"/>
      <w:marRight w:val="0"/>
      <w:marTop w:val="0"/>
      <w:marBottom w:val="0"/>
      <w:divBdr>
        <w:top w:val="none" w:sz="0" w:space="0" w:color="auto"/>
        <w:left w:val="none" w:sz="0" w:space="0" w:color="auto"/>
        <w:bottom w:val="none" w:sz="0" w:space="0" w:color="auto"/>
        <w:right w:val="none" w:sz="0" w:space="0" w:color="auto"/>
      </w:divBdr>
    </w:div>
    <w:div w:id="513960921">
      <w:bodyDiv w:val="1"/>
      <w:marLeft w:val="0"/>
      <w:marRight w:val="0"/>
      <w:marTop w:val="0"/>
      <w:marBottom w:val="0"/>
      <w:divBdr>
        <w:top w:val="none" w:sz="0" w:space="0" w:color="auto"/>
        <w:left w:val="none" w:sz="0" w:space="0" w:color="auto"/>
        <w:bottom w:val="none" w:sz="0" w:space="0" w:color="auto"/>
        <w:right w:val="none" w:sz="0" w:space="0" w:color="auto"/>
      </w:divBdr>
    </w:div>
    <w:div w:id="516625033">
      <w:bodyDiv w:val="1"/>
      <w:marLeft w:val="0"/>
      <w:marRight w:val="0"/>
      <w:marTop w:val="0"/>
      <w:marBottom w:val="0"/>
      <w:divBdr>
        <w:top w:val="none" w:sz="0" w:space="0" w:color="auto"/>
        <w:left w:val="none" w:sz="0" w:space="0" w:color="auto"/>
        <w:bottom w:val="none" w:sz="0" w:space="0" w:color="auto"/>
        <w:right w:val="none" w:sz="0" w:space="0" w:color="auto"/>
      </w:divBdr>
    </w:div>
    <w:div w:id="536431284">
      <w:bodyDiv w:val="1"/>
      <w:marLeft w:val="0"/>
      <w:marRight w:val="0"/>
      <w:marTop w:val="0"/>
      <w:marBottom w:val="0"/>
      <w:divBdr>
        <w:top w:val="none" w:sz="0" w:space="0" w:color="auto"/>
        <w:left w:val="none" w:sz="0" w:space="0" w:color="auto"/>
        <w:bottom w:val="none" w:sz="0" w:space="0" w:color="auto"/>
        <w:right w:val="none" w:sz="0" w:space="0" w:color="auto"/>
      </w:divBdr>
    </w:div>
    <w:div w:id="566303445">
      <w:bodyDiv w:val="1"/>
      <w:marLeft w:val="0"/>
      <w:marRight w:val="0"/>
      <w:marTop w:val="0"/>
      <w:marBottom w:val="0"/>
      <w:divBdr>
        <w:top w:val="none" w:sz="0" w:space="0" w:color="auto"/>
        <w:left w:val="none" w:sz="0" w:space="0" w:color="auto"/>
        <w:bottom w:val="none" w:sz="0" w:space="0" w:color="auto"/>
        <w:right w:val="none" w:sz="0" w:space="0" w:color="auto"/>
      </w:divBdr>
    </w:div>
    <w:div w:id="580338844">
      <w:bodyDiv w:val="1"/>
      <w:marLeft w:val="0"/>
      <w:marRight w:val="0"/>
      <w:marTop w:val="0"/>
      <w:marBottom w:val="0"/>
      <w:divBdr>
        <w:top w:val="none" w:sz="0" w:space="0" w:color="auto"/>
        <w:left w:val="none" w:sz="0" w:space="0" w:color="auto"/>
        <w:bottom w:val="none" w:sz="0" w:space="0" w:color="auto"/>
        <w:right w:val="none" w:sz="0" w:space="0" w:color="auto"/>
      </w:divBdr>
    </w:div>
    <w:div w:id="584413481">
      <w:bodyDiv w:val="1"/>
      <w:marLeft w:val="0"/>
      <w:marRight w:val="0"/>
      <w:marTop w:val="0"/>
      <w:marBottom w:val="0"/>
      <w:divBdr>
        <w:top w:val="none" w:sz="0" w:space="0" w:color="auto"/>
        <w:left w:val="none" w:sz="0" w:space="0" w:color="auto"/>
        <w:bottom w:val="none" w:sz="0" w:space="0" w:color="auto"/>
        <w:right w:val="none" w:sz="0" w:space="0" w:color="auto"/>
      </w:divBdr>
    </w:div>
    <w:div w:id="611324810">
      <w:bodyDiv w:val="1"/>
      <w:marLeft w:val="0"/>
      <w:marRight w:val="0"/>
      <w:marTop w:val="0"/>
      <w:marBottom w:val="0"/>
      <w:divBdr>
        <w:top w:val="none" w:sz="0" w:space="0" w:color="auto"/>
        <w:left w:val="none" w:sz="0" w:space="0" w:color="auto"/>
        <w:bottom w:val="none" w:sz="0" w:space="0" w:color="auto"/>
        <w:right w:val="none" w:sz="0" w:space="0" w:color="auto"/>
      </w:divBdr>
    </w:div>
    <w:div w:id="651300590">
      <w:bodyDiv w:val="1"/>
      <w:marLeft w:val="0"/>
      <w:marRight w:val="0"/>
      <w:marTop w:val="0"/>
      <w:marBottom w:val="0"/>
      <w:divBdr>
        <w:top w:val="none" w:sz="0" w:space="0" w:color="auto"/>
        <w:left w:val="none" w:sz="0" w:space="0" w:color="auto"/>
        <w:bottom w:val="none" w:sz="0" w:space="0" w:color="auto"/>
        <w:right w:val="none" w:sz="0" w:space="0" w:color="auto"/>
      </w:divBdr>
    </w:div>
    <w:div w:id="682129064">
      <w:bodyDiv w:val="1"/>
      <w:marLeft w:val="0"/>
      <w:marRight w:val="0"/>
      <w:marTop w:val="0"/>
      <w:marBottom w:val="0"/>
      <w:divBdr>
        <w:top w:val="none" w:sz="0" w:space="0" w:color="auto"/>
        <w:left w:val="none" w:sz="0" w:space="0" w:color="auto"/>
        <w:bottom w:val="none" w:sz="0" w:space="0" w:color="auto"/>
        <w:right w:val="none" w:sz="0" w:space="0" w:color="auto"/>
      </w:divBdr>
    </w:div>
    <w:div w:id="704408989">
      <w:bodyDiv w:val="1"/>
      <w:marLeft w:val="0"/>
      <w:marRight w:val="0"/>
      <w:marTop w:val="0"/>
      <w:marBottom w:val="0"/>
      <w:divBdr>
        <w:top w:val="none" w:sz="0" w:space="0" w:color="auto"/>
        <w:left w:val="none" w:sz="0" w:space="0" w:color="auto"/>
        <w:bottom w:val="none" w:sz="0" w:space="0" w:color="auto"/>
        <w:right w:val="none" w:sz="0" w:space="0" w:color="auto"/>
      </w:divBdr>
    </w:div>
    <w:div w:id="720977302">
      <w:bodyDiv w:val="1"/>
      <w:marLeft w:val="0"/>
      <w:marRight w:val="0"/>
      <w:marTop w:val="0"/>
      <w:marBottom w:val="0"/>
      <w:divBdr>
        <w:top w:val="none" w:sz="0" w:space="0" w:color="auto"/>
        <w:left w:val="none" w:sz="0" w:space="0" w:color="auto"/>
        <w:bottom w:val="none" w:sz="0" w:space="0" w:color="auto"/>
        <w:right w:val="none" w:sz="0" w:space="0" w:color="auto"/>
      </w:divBdr>
    </w:div>
    <w:div w:id="752433341">
      <w:bodyDiv w:val="1"/>
      <w:marLeft w:val="0"/>
      <w:marRight w:val="0"/>
      <w:marTop w:val="0"/>
      <w:marBottom w:val="0"/>
      <w:divBdr>
        <w:top w:val="none" w:sz="0" w:space="0" w:color="auto"/>
        <w:left w:val="none" w:sz="0" w:space="0" w:color="auto"/>
        <w:bottom w:val="none" w:sz="0" w:space="0" w:color="auto"/>
        <w:right w:val="none" w:sz="0" w:space="0" w:color="auto"/>
      </w:divBdr>
    </w:div>
    <w:div w:id="875459834">
      <w:bodyDiv w:val="1"/>
      <w:marLeft w:val="0"/>
      <w:marRight w:val="0"/>
      <w:marTop w:val="0"/>
      <w:marBottom w:val="0"/>
      <w:divBdr>
        <w:top w:val="none" w:sz="0" w:space="0" w:color="auto"/>
        <w:left w:val="none" w:sz="0" w:space="0" w:color="auto"/>
        <w:bottom w:val="none" w:sz="0" w:space="0" w:color="auto"/>
        <w:right w:val="none" w:sz="0" w:space="0" w:color="auto"/>
      </w:divBdr>
    </w:div>
    <w:div w:id="958341112">
      <w:bodyDiv w:val="1"/>
      <w:marLeft w:val="0"/>
      <w:marRight w:val="0"/>
      <w:marTop w:val="0"/>
      <w:marBottom w:val="0"/>
      <w:divBdr>
        <w:top w:val="none" w:sz="0" w:space="0" w:color="auto"/>
        <w:left w:val="none" w:sz="0" w:space="0" w:color="auto"/>
        <w:bottom w:val="none" w:sz="0" w:space="0" w:color="auto"/>
        <w:right w:val="none" w:sz="0" w:space="0" w:color="auto"/>
      </w:divBdr>
    </w:div>
    <w:div w:id="991757350">
      <w:bodyDiv w:val="1"/>
      <w:marLeft w:val="0"/>
      <w:marRight w:val="0"/>
      <w:marTop w:val="0"/>
      <w:marBottom w:val="0"/>
      <w:divBdr>
        <w:top w:val="none" w:sz="0" w:space="0" w:color="auto"/>
        <w:left w:val="none" w:sz="0" w:space="0" w:color="auto"/>
        <w:bottom w:val="none" w:sz="0" w:space="0" w:color="auto"/>
        <w:right w:val="none" w:sz="0" w:space="0" w:color="auto"/>
      </w:divBdr>
    </w:div>
    <w:div w:id="998113399">
      <w:bodyDiv w:val="1"/>
      <w:marLeft w:val="0"/>
      <w:marRight w:val="0"/>
      <w:marTop w:val="0"/>
      <w:marBottom w:val="0"/>
      <w:divBdr>
        <w:top w:val="none" w:sz="0" w:space="0" w:color="auto"/>
        <w:left w:val="none" w:sz="0" w:space="0" w:color="auto"/>
        <w:bottom w:val="none" w:sz="0" w:space="0" w:color="auto"/>
        <w:right w:val="none" w:sz="0" w:space="0" w:color="auto"/>
      </w:divBdr>
    </w:div>
    <w:div w:id="999847390">
      <w:bodyDiv w:val="1"/>
      <w:marLeft w:val="0"/>
      <w:marRight w:val="0"/>
      <w:marTop w:val="0"/>
      <w:marBottom w:val="0"/>
      <w:divBdr>
        <w:top w:val="none" w:sz="0" w:space="0" w:color="auto"/>
        <w:left w:val="none" w:sz="0" w:space="0" w:color="auto"/>
        <w:bottom w:val="none" w:sz="0" w:space="0" w:color="auto"/>
        <w:right w:val="none" w:sz="0" w:space="0" w:color="auto"/>
      </w:divBdr>
    </w:div>
    <w:div w:id="1003623853">
      <w:bodyDiv w:val="1"/>
      <w:marLeft w:val="0"/>
      <w:marRight w:val="0"/>
      <w:marTop w:val="0"/>
      <w:marBottom w:val="0"/>
      <w:divBdr>
        <w:top w:val="none" w:sz="0" w:space="0" w:color="auto"/>
        <w:left w:val="none" w:sz="0" w:space="0" w:color="auto"/>
        <w:bottom w:val="none" w:sz="0" w:space="0" w:color="auto"/>
        <w:right w:val="none" w:sz="0" w:space="0" w:color="auto"/>
      </w:divBdr>
    </w:div>
    <w:div w:id="1004942031">
      <w:bodyDiv w:val="1"/>
      <w:marLeft w:val="0"/>
      <w:marRight w:val="0"/>
      <w:marTop w:val="0"/>
      <w:marBottom w:val="0"/>
      <w:divBdr>
        <w:top w:val="none" w:sz="0" w:space="0" w:color="auto"/>
        <w:left w:val="none" w:sz="0" w:space="0" w:color="auto"/>
        <w:bottom w:val="none" w:sz="0" w:space="0" w:color="auto"/>
        <w:right w:val="none" w:sz="0" w:space="0" w:color="auto"/>
      </w:divBdr>
    </w:div>
    <w:div w:id="1039471583">
      <w:bodyDiv w:val="1"/>
      <w:marLeft w:val="0"/>
      <w:marRight w:val="0"/>
      <w:marTop w:val="0"/>
      <w:marBottom w:val="0"/>
      <w:divBdr>
        <w:top w:val="none" w:sz="0" w:space="0" w:color="auto"/>
        <w:left w:val="none" w:sz="0" w:space="0" w:color="auto"/>
        <w:bottom w:val="none" w:sz="0" w:space="0" w:color="auto"/>
        <w:right w:val="none" w:sz="0" w:space="0" w:color="auto"/>
      </w:divBdr>
    </w:div>
    <w:div w:id="1040279912">
      <w:bodyDiv w:val="1"/>
      <w:marLeft w:val="0"/>
      <w:marRight w:val="0"/>
      <w:marTop w:val="0"/>
      <w:marBottom w:val="0"/>
      <w:divBdr>
        <w:top w:val="none" w:sz="0" w:space="0" w:color="auto"/>
        <w:left w:val="none" w:sz="0" w:space="0" w:color="auto"/>
        <w:bottom w:val="none" w:sz="0" w:space="0" w:color="auto"/>
        <w:right w:val="none" w:sz="0" w:space="0" w:color="auto"/>
      </w:divBdr>
    </w:div>
    <w:div w:id="1042171486">
      <w:bodyDiv w:val="1"/>
      <w:marLeft w:val="0"/>
      <w:marRight w:val="0"/>
      <w:marTop w:val="0"/>
      <w:marBottom w:val="0"/>
      <w:divBdr>
        <w:top w:val="none" w:sz="0" w:space="0" w:color="auto"/>
        <w:left w:val="none" w:sz="0" w:space="0" w:color="auto"/>
        <w:bottom w:val="none" w:sz="0" w:space="0" w:color="auto"/>
        <w:right w:val="none" w:sz="0" w:space="0" w:color="auto"/>
      </w:divBdr>
    </w:div>
    <w:div w:id="1046293390">
      <w:bodyDiv w:val="1"/>
      <w:marLeft w:val="0"/>
      <w:marRight w:val="0"/>
      <w:marTop w:val="0"/>
      <w:marBottom w:val="0"/>
      <w:divBdr>
        <w:top w:val="none" w:sz="0" w:space="0" w:color="auto"/>
        <w:left w:val="none" w:sz="0" w:space="0" w:color="auto"/>
        <w:bottom w:val="none" w:sz="0" w:space="0" w:color="auto"/>
        <w:right w:val="none" w:sz="0" w:space="0" w:color="auto"/>
      </w:divBdr>
    </w:div>
    <w:div w:id="1060058003">
      <w:bodyDiv w:val="1"/>
      <w:marLeft w:val="0"/>
      <w:marRight w:val="0"/>
      <w:marTop w:val="0"/>
      <w:marBottom w:val="0"/>
      <w:divBdr>
        <w:top w:val="none" w:sz="0" w:space="0" w:color="auto"/>
        <w:left w:val="none" w:sz="0" w:space="0" w:color="auto"/>
        <w:bottom w:val="none" w:sz="0" w:space="0" w:color="auto"/>
        <w:right w:val="none" w:sz="0" w:space="0" w:color="auto"/>
      </w:divBdr>
    </w:div>
    <w:div w:id="1066680053">
      <w:bodyDiv w:val="1"/>
      <w:marLeft w:val="0"/>
      <w:marRight w:val="0"/>
      <w:marTop w:val="0"/>
      <w:marBottom w:val="0"/>
      <w:divBdr>
        <w:top w:val="none" w:sz="0" w:space="0" w:color="auto"/>
        <w:left w:val="none" w:sz="0" w:space="0" w:color="auto"/>
        <w:bottom w:val="none" w:sz="0" w:space="0" w:color="auto"/>
        <w:right w:val="none" w:sz="0" w:space="0" w:color="auto"/>
      </w:divBdr>
    </w:div>
    <w:div w:id="1170870071">
      <w:bodyDiv w:val="1"/>
      <w:marLeft w:val="0"/>
      <w:marRight w:val="0"/>
      <w:marTop w:val="0"/>
      <w:marBottom w:val="0"/>
      <w:divBdr>
        <w:top w:val="none" w:sz="0" w:space="0" w:color="auto"/>
        <w:left w:val="none" w:sz="0" w:space="0" w:color="auto"/>
        <w:bottom w:val="none" w:sz="0" w:space="0" w:color="auto"/>
        <w:right w:val="none" w:sz="0" w:space="0" w:color="auto"/>
      </w:divBdr>
    </w:div>
    <w:div w:id="1198540417">
      <w:bodyDiv w:val="1"/>
      <w:marLeft w:val="0"/>
      <w:marRight w:val="0"/>
      <w:marTop w:val="0"/>
      <w:marBottom w:val="0"/>
      <w:divBdr>
        <w:top w:val="none" w:sz="0" w:space="0" w:color="auto"/>
        <w:left w:val="none" w:sz="0" w:space="0" w:color="auto"/>
        <w:bottom w:val="none" w:sz="0" w:space="0" w:color="auto"/>
        <w:right w:val="none" w:sz="0" w:space="0" w:color="auto"/>
      </w:divBdr>
    </w:div>
    <w:div w:id="1253783554">
      <w:bodyDiv w:val="1"/>
      <w:marLeft w:val="0"/>
      <w:marRight w:val="0"/>
      <w:marTop w:val="0"/>
      <w:marBottom w:val="0"/>
      <w:divBdr>
        <w:top w:val="none" w:sz="0" w:space="0" w:color="auto"/>
        <w:left w:val="none" w:sz="0" w:space="0" w:color="auto"/>
        <w:bottom w:val="none" w:sz="0" w:space="0" w:color="auto"/>
        <w:right w:val="none" w:sz="0" w:space="0" w:color="auto"/>
      </w:divBdr>
    </w:div>
    <w:div w:id="1259291313">
      <w:bodyDiv w:val="1"/>
      <w:marLeft w:val="0"/>
      <w:marRight w:val="0"/>
      <w:marTop w:val="0"/>
      <w:marBottom w:val="0"/>
      <w:divBdr>
        <w:top w:val="none" w:sz="0" w:space="0" w:color="auto"/>
        <w:left w:val="none" w:sz="0" w:space="0" w:color="auto"/>
        <w:bottom w:val="none" w:sz="0" w:space="0" w:color="auto"/>
        <w:right w:val="none" w:sz="0" w:space="0" w:color="auto"/>
      </w:divBdr>
    </w:div>
    <w:div w:id="1259948054">
      <w:bodyDiv w:val="1"/>
      <w:marLeft w:val="0"/>
      <w:marRight w:val="0"/>
      <w:marTop w:val="0"/>
      <w:marBottom w:val="0"/>
      <w:divBdr>
        <w:top w:val="none" w:sz="0" w:space="0" w:color="auto"/>
        <w:left w:val="none" w:sz="0" w:space="0" w:color="auto"/>
        <w:bottom w:val="none" w:sz="0" w:space="0" w:color="auto"/>
        <w:right w:val="none" w:sz="0" w:space="0" w:color="auto"/>
      </w:divBdr>
    </w:div>
    <w:div w:id="1266963265">
      <w:bodyDiv w:val="1"/>
      <w:marLeft w:val="0"/>
      <w:marRight w:val="0"/>
      <w:marTop w:val="0"/>
      <w:marBottom w:val="0"/>
      <w:divBdr>
        <w:top w:val="none" w:sz="0" w:space="0" w:color="auto"/>
        <w:left w:val="none" w:sz="0" w:space="0" w:color="auto"/>
        <w:bottom w:val="none" w:sz="0" w:space="0" w:color="auto"/>
        <w:right w:val="none" w:sz="0" w:space="0" w:color="auto"/>
      </w:divBdr>
    </w:div>
    <w:div w:id="1440686331">
      <w:bodyDiv w:val="1"/>
      <w:marLeft w:val="0"/>
      <w:marRight w:val="0"/>
      <w:marTop w:val="0"/>
      <w:marBottom w:val="0"/>
      <w:divBdr>
        <w:top w:val="none" w:sz="0" w:space="0" w:color="auto"/>
        <w:left w:val="none" w:sz="0" w:space="0" w:color="auto"/>
        <w:bottom w:val="none" w:sz="0" w:space="0" w:color="auto"/>
        <w:right w:val="none" w:sz="0" w:space="0" w:color="auto"/>
      </w:divBdr>
    </w:div>
    <w:div w:id="1442796493">
      <w:bodyDiv w:val="1"/>
      <w:marLeft w:val="0"/>
      <w:marRight w:val="0"/>
      <w:marTop w:val="0"/>
      <w:marBottom w:val="0"/>
      <w:divBdr>
        <w:top w:val="none" w:sz="0" w:space="0" w:color="auto"/>
        <w:left w:val="none" w:sz="0" w:space="0" w:color="auto"/>
        <w:bottom w:val="none" w:sz="0" w:space="0" w:color="auto"/>
        <w:right w:val="none" w:sz="0" w:space="0" w:color="auto"/>
      </w:divBdr>
    </w:div>
    <w:div w:id="1497303263">
      <w:bodyDiv w:val="1"/>
      <w:marLeft w:val="0"/>
      <w:marRight w:val="0"/>
      <w:marTop w:val="0"/>
      <w:marBottom w:val="0"/>
      <w:divBdr>
        <w:top w:val="none" w:sz="0" w:space="0" w:color="auto"/>
        <w:left w:val="none" w:sz="0" w:space="0" w:color="auto"/>
        <w:bottom w:val="none" w:sz="0" w:space="0" w:color="auto"/>
        <w:right w:val="none" w:sz="0" w:space="0" w:color="auto"/>
      </w:divBdr>
    </w:div>
    <w:div w:id="1600717236">
      <w:bodyDiv w:val="1"/>
      <w:marLeft w:val="0"/>
      <w:marRight w:val="0"/>
      <w:marTop w:val="0"/>
      <w:marBottom w:val="0"/>
      <w:divBdr>
        <w:top w:val="none" w:sz="0" w:space="0" w:color="auto"/>
        <w:left w:val="none" w:sz="0" w:space="0" w:color="auto"/>
        <w:bottom w:val="none" w:sz="0" w:space="0" w:color="auto"/>
        <w:right w:val="none" w:sz="0" w:space="0" w:color="auto"/>
      </w:divBdr>
    </w:div>
    <w:div w:id="1629236439">
      <w:bodyDiv w:val="1"/>
      <w:marLeft w:val="0"/>
      <w:marRight w:val="0"/>
      <w:marTop w:val="0"/>
      <w:marBottom w:val="0"/>
      <w:divBdr>
        <w:top w:val="none" w:sz="0" w:space="0" w:color="auto"/>
        <w:left w:val="none" w:sz="0" w:space="0" w:color="auto"/>
        <w:bottom w:val="none" w:sz="0" w:space="0" w:color="auto"/>
        <w:right w:val="none" w:sz="0" w:space="0" w:color="auto"/>
      </w:divBdr>
    </w:div>
    <w:div w:id="1685865584">
      <w:bodyDiv w:val="1"/>
      <w:marLeft w:val="0"/>
      <w:marRight w:val="0"/>
      <w:marTop w:val="0"/>
      <w:marBottom w:val="0"/>
      <w:divBdr>
        <w:top w:val="none" w:sz="0" w:space="0" w:color="auto"/>
        <w:left w:val="none" w:sz="0" w:space="0" w:color="auto"/>
        <w:bottom w:val="none" w:sz="0" w:space="0" w:color="auto"/>
        <w:right w:val="none" w:sz="0" w:space="0" w:color="auto"/>
      </w:divBdr>
      <w:divsChild>
        <w:div w:id="1557004760">
          <w:marLeft w:val="547"/>
          <w:marRight w:val="0"/>
          <w:marTop w:val="0"/>
          <w:marBottom w:val="0"/>
          <w:divBdr>
            <w:top w:val="none" w:sz="0" w:space="0" w:color="auto"/>
            <w:left w:val="none" w:sz="0" w:space="0" w:color="auto"/>
            <w:bottom w:val="none" w:sz="0" w:space="0" w:color="auto"/>
            <w:right w:val="none" w:sz="0" w:space="0" w:color="auto"/>
          </w:divBdr>
        </w:div>
        <w:div w:id="743382708">
          <w:marLeft w:val="547"/>
          <w:marRight w:val="0"/>
          <w:marTop w:val="0"/>
          <w:marBottom w:val="0"/>
          <w:divBdr>
            <w:top w:val="none" w:sz="0" w:space="0" w:color="auto"/>
            <w:left w:val="none" w:sz="0" w:space="0" w:color="auto"/>
            <w:bottom w:val="none" w:sz="0" w:space="0" w:color="auto"/>
            <w:right w:val="none" w:sz="0" w:space="0" w:color="auto"/>
          </w:divBdr>
        </w:div>
      </w:divsChild>
    </w:div>
    <w:div w:id="1754357732">
      <w:bodyDiv w:val="1"/>
      <w:marLeft w:val="0"/>
      <w:marRight w:val="0"/>
      <w:marTop w:val="0"/>
      <w:marBottom w:val="0"/>
      <w:divBdr>
        <w:top w:val="none" w:sz="0" w:space="0" w:color="auto"/>
        <w:left w:val="none" w:sz="0" w:space="0" w:color="auto"/>
        <w:bottom w:val="none" w:sz="0" w:space="0" w:color="auto"/>
        <w:right w:val="none" w:sz="0" w:space="0" w:color="auto"/>
      </w:divBdr>
    </w:div>
    <w:div w:id="1764642370">
      <w:bodyDiv w:val="1"/>
      <w:marLeft w:val="0"/>
      <w:marRight w:val="0"/>
      <w:marTop w:val="0"/>
      <w:marBottom w:val="0"/>
      <w:divBdr>
        <w:top w:val="none" w:sz="0" w:space="0" w:color="auto"/>
        <w:left w:val="none" w:sz="0" w:space="0" w:color="auto"/>
        <w:bottom w:val="none" w:sz="0" w:space="0" w:color="auto"/>
        <w:right w:val="none" w:sz="0" w:space="0" w:color="auto"/>
      </w:divBdr>
    </w:div>
    <w:div w:id="1778865729">
      <w:bodyDiv w:val="1"/>
      <w:marLeft w:val="0"/>
      <w:marRight w:val="0"/>
      <w:marTop w:val="0"/>
      <w:marBottom w:val="0"/>
      <w:divBdr>
        <w:top w:val="none" w:sz="0" w:space="0" w:color="auto"/>
        <w:left w:val="none" w:sz="0" w:space="0" w:color="auto"/>
        <w:bottom w:val="none" w:sz="0" w:space="0" w:color="auto"/>
        <w:right w:val="none" w:sz="0" w:space="0" w:color="auto"/>
      </w:divBdr>
    </w:div>
    <w:div w:id="1786998297">
      <w:bodyDiv w:val="1"/>
      <w:marLeft w:val="0"/>
      <w:marRight w:val="0"/>
      <w:marTop w:val="0"/>
      <w:marBottom w:val="0"/>
      <w:divBdr>
        <w:top w:val="none" w:sz="0" w:space="0" w:color="auto"/>
        <w:left w:val="none" w:sz="0" w:space="0" w:color="auto"/>
        <w:bottom w:val="none" w:sz="0" w:space="0" w:color="auto"/>
        <w:right w:val="none" w:sz="0" w:space="0" w:color="auto"/>
      </w:divBdr>
    </w:div>
    <w:div w:id="1806581028">
      <w:bodyDiv w:val="1"/>
      <w:marLeft w:val="0"/>
      <w:marRight w:val="0"/>
      <w:marTop w:val="0"/>
      <w:marBottom w:val="0"/>
      <w:divBdr>
        <w:top w:val="none" w:sz="0" w:space="0" w:color="auto"/>
        <w:left w:val="none" w:sz="0" w:space="0" w:color="auto"/>
        <w:bottom w:val="none" w:sz="0" w:space="0" w:color="auto"/>
        <w:right w:val="none" w:sz="0" w:space="0" w:color="auto"/>
      </w:divBdr>
    </w:div>
    <w:div w:id="1820540472">
      <w:bodyDiv w:val="1"/>
      <w:marLeft w:val="0"/>
      <w:marRight w:val="0"/>
      <w:marTop w:val="0"/>
      <w:marBottom w:val="0"/>
      <w:divBdr>
        <w:top w:val="none" w:sz="0" w:space="0" w:color="auto"/>
        <w:left w:val="none" w:sz="0" w:space="0" w:color="auto"/>
        <w:bottom w:val="none" w:sz="0" w:space="0" w:color="auto"/>
        <w:right w:val="none" w:sz="0" w:space="0" w:color="auto"/>
      </w:divBdr>
    </w:div>
    <w:div w:id="1834486755">
      <w:bodyDiv w:val="1"/>
      <w:marLeft w:val="0"/>
      <w:marRight w:val="0"/>
      <w:marTop w:val="0"/>
      <w:marBottom w:val="0"/>
      <w:divBdr>
        <w:top w:val="none" w:sz="0" w:space="0" w:color="auto"/>
        <w:left w:val="none" w:sz="0" w:space="0" w:color="auto"/>
        <w:bottom w:val="none" w:sz="0" w:space="0" w:color="auto"/>
        <w:right w:val="none" w:sz="0" w:space="0" w:color="auto"/>
      </w:divBdr>
    </w:div>
    <w:div w:id="1853837888">
      <w:bodyDiv w:val="1"/>
      <w:marLeft w:val="0"/>
      <w:marRight w:val="0"/>
      <w:marTop w:val="0"/>
      <w:marBottom w:val="0"/>
      <w:divBdr>
        <w:top w:val="none" w:sz="0" w:space="0" w:color="auto"/>
        <w:left w:val="none" w:sz="0" w:space="0" w:color="auto"/>
        <w:bottom w:val="none" w:sz="0" w:space="0" w:color="auto"/>
        <w:right w:val="none" w:sz="0" w:space="0" w:color="auto"/>
      </w:divBdr>
    </w:div>
    <w:div w:id="1864056298">
      <w:bodyDiv w:val="1"/>
      <w:marLeft w:val="0"/>
      <w:marRight w:val="0"/>
      <w:marTop w:val="0"/>
      <w:marBottom w:val="0"/>
      <w:divBdr>
        <w:top w:val="none" w:sz="0" w:space="0" w:color="auto"/>
        <w:left w:val="none" w:sz="0" w:space="0" w:color="auto"/>
        <w:bottom w:val="none" w:sz="0" w:space="0" w:color="auto"/>
        <w:right w:val="none" w:sz="0" w:space="0" w:color="auto"/>
      </w:divBdr>
    </w:div>
    <w:div w:id="1872648741">
      <w:bodyDiv w:val="1"/>
      <w:marLeft w:val="0"/>
      <w:marRight w:val="0"/>
      <w:marTop w:val="0"/>
      <w:marBottom w:val="0"/>
      <w:divBdr>
        <w:top w:val="none" w:sz="0" w:space="0" w:color="auto"/>
        <w:left w:val="none" w:sz="0" w:space="0" w:color="auto"/>
        <w:bottom w:val="none" w:sz="0" w:space="0" w:color="auto"/>
        <w:right w:val="none" w:sz="0" w:space="0" w:color="auto"/>
      </w:divBdr>
    </w:div>
    <w:div w:id="1880623382">
      <w:bodyDiv w:val="1"/>
      <w:marLeft w:val="0"/>
      <w:marRight w:val="0"/>
      <w:marTop w:val="0"/>
      <w:marBottom w:val="0"/>
      <w:divBdr>
        <w:top w:val="none" w:sz="0" w:space="0" w:color="auto"/>
        <w:left w:val="none" w:sz="0" w:space="0" w:color="auto"/>
        <w:bottom w:val="none" w:sz="0" w:space="0" w:color="auto"/>
        <w:right w:val="none" w:sz="0" w:space="0" w:color="auto"/>
      </w:divBdr>
    </w:div>
    <w:div w:id="1969236008">
      <w:bodyDiv w:val="1"/>
      <w:marLeft w:val="0"/>
      <w:marRight w:val="0"/>
      <w:marTop w:val="0"/>
      <w:marBottom w:val="0"/>
      <w:divBdr>
        <w:top w:val="none" w:sz="0" w:space="0" w:color="auto"/>
        <w:left w:val="none" w:sz="0" w:space="0" w:color="auto"/>
        <w:bottom w:val="none" w:sz="0" w:space="0" w:color="auto"/>
        <w:right w:val="none" w:sz="0" w:space="0" w:color="auto"/>
      </w:divBdr>
    </w:div>
    <w:div w:id="1971784161">
      <w:bodyDiv w:val="1"/>
      <w:marLeft w:val="0"/>
      <w:marRight w:val="0"/>
      <w:marTop w:val="0"/>
      <w:marBottom w:val="0"/>
      <w:divBdr>
        <w:top w:val="none" w:sz="0" w:space="0" w:color="auto"/>
        <w:left w:val="none" w:sz="0" w:space="0" w:color="auto"/>
        <w:bottom w:val="none" w:sz="0" w:space="0" w:color="auto"/>
        <w:right w:val="none" w:sz="0" w:space="0" w:color="auto"/>
      </w:divBdr>
    </w:div>
    <w:div w:id="1985234883">
      <w:bodyDiv w:val="1"/>
      <w:marLeft w:val="0"/>
      <w:marRight w:val="0"/>
      <w:marTop w:val="0"/>
      <w:marBottom w:val="0"/>
      <w:divBdr>
        <w:top w:val="none" w:sz="0" w:space="0" w:color="auto"/>
        <w:left w:val="none" w:sz="0" w:space="0" w:color="auto"/>
        <w:bottom w:val="none" w:sz="0" w:space="0" w:color="auto"/>
        <w:right w:val="none" w:sz="0" w:space="0" w:color="auto"/>
      </w:divBdr>
    </w:div>
    <w:div w:id="2087337271">
      <w:bodyDiv w:val="1"/>
      <w:marLeft w:val="0"/>
      <w:marRight w:val="0"/>
      <w:marTop w:val="0"/>
      <w:marBottom w:val="0"/>
      <w:divBdr>
        <w:top w:val="none" w:sz="0" w:space="0" w:color="auto"/>
        <w:left w:val="none" w:sz="0" w:space="0" w:color="auto"/>
        <w:bottom w:val="none" w:sz="0" w:space="0" w:color="auto"/>
        <w:right w:val="none" w:sz="0" w:space="0" w:color="auto"/>
      </w:divBdr>
    </w:div>
    <w:div w:id="2101367985">
      <w:bodyDiv w:val="1"/>
      <w:marLeft w:val="0"/>
      <w:marRight w:val="0"/>
      <w:marTop w:val="0"/>
      <w:marBottom w:val="0"/>
      <w:divBdr>
        <w:top w:val="none" w:sz="0" w:space="0" w:color="auto"/>
        <w:left w:val="none" w:sz="0" w:space="0" w:color="auto"/>
        <w:bottom w:val="none" w:sz="0" w:space="0" w:color="auto"/>
        <w:right w:val="none" w:sz="0" w:space="0" w:color="auto"/>
      </w:divBdr>
    </w:div>
    <w:div w:id="2102021663">
      <w:bodyDiv w:val="1"/>
      <w:marLeft w:val="0"/>
      <w:marRight w:val="0"/>
      <w:marTop w:val="0"/>
      <w:marBottom w:val="0"/>
      <w:divBdr>
        <w:top w:val="none" w:sz="0" w:space="0" w:color="auto"/>
        <w:left w:val="none" w:sz="0" w:space="0" w:color="auto"/>
        <w:bottom w:val="none" w:sz="0" w:space="0" w:color="auto"/>
        <w:right w:val="none" w:sz="0" w:space="0" w:color="auto"/>
      </w:divBdr>
    </w:div>
    <w:div w:id="2117407315">
      <w:bodyDiv w:val="1"/>
      <w:marLeft w:val="0"/>
      <w:marRight w:val="0"/>
      <w:marTop w:val="0"/>
      <w:marBottom w:val="0"/>
      <w:divBdr>
        <w:top w:val="none" w:sz="0" w:space="0" w:color="auto"/>
        <w:left w:val="none" w:sz="0" w:space="0" w:color="auto"/>
        <w:bottom w:val="none" w:sz="0" w:space="0" w:color="auto"/>
        <w:right w:val="none" w:sz="0" w:space="0" w:color="auto"/>
      </w:divBdr>
    </w:div>
    <w:div w:id="2122411098">
      <w:bodyDiv w:val="1"/>
      <w:marLeft w:val="0"/>
      <w:marRight w:val="0"/>
      <w:marTop w:val="0"/>
      <w:marBottom w:val="0"/>
      <w:divBdr>
        <w:top w:val="none" w:sz="0" w:space="0" w:color="auto"/>
        <w:left w:val="none" w:sz="0" w:space="0" w:color="auto"/>
        <w:bottom w:val="none" w:sz="0" w:space="0" w:color="auto"/>
        <w:right w:val="none" w:sz="0" w:space="0" w:color="auto"/>
      </w:divBdr>
    </w:div>
    <w:div w:id="2128498946">
      <w:bodyDiv w:val="1"/>
      <w:marLeft w:val="0"/>
      <w:marRight w:val="0"/>
      <w:marTop w:val="0"/>
      <w:marBottom w:val="0"/>
      <w:divBdr>
        <w:top w:val="none" w:sz="0" w:space="0" w:color="auto"/>
        <w:left w:val="none" w:sz="0" w:space="0" w:color="auto"/>
        <w:bottom w:val="none" w:sz="0" w:space="0" w:color="auto"/>
        <w:right w:val="none" w:sz="0" w:space="0" w:color="auto"/>
      </w:divBdr>
    </w:div>
    <w:div w:id="2133592039">
      <w:bodyDiv w:val="1"/>
      <w:marLeft w:val="0"/>
      <w:marRight w:val="0"/>
      <w:marTop w:val="0"/>
      <w:marBottom w:val="0"/>
      <w:divBdr>
        <w:top w:val="none" w:sz="0" w:space="0" w:color="auto"/>
        <w:left w:val="none" w:sz="0" w:space="0" w:color="auto"/>
        <w:bottom w:val="none" w:sz="0" w:space="0" w:color="auto"/>
        <w:right w:val="none" w:sz="0" w:space="0" w:color="auto"/>
      </w:divBdr>
    </w:div>
    <w:div w:id="21413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onomiecirculaire.wallonie.be" TargetMode="External"/><Relationship Id="rId18" Type="http://schemas.openxmlformats.org/officeDocument/2006/relationships/image" Target="cid:image001.png@01D61279.23C73950" TargetMode="External"/><Relationship Id="rId26" Type="http://schemas.openxmlformats.org/officeDocument/2006/relationships/diagramData" Target="diagrams/data2.xml"/><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hyperlink" Target="mailto:info@crac.wallonie.be" TargetMode="External"/><Relationship Id="rId7" Type="http://schemas.openxmlformats.org/officeDocument/2006/relationships/endnotes" Target="endnotes.xml"/><Relationship Id="rId12" Type="http://schemas.openxmlformats.org/officeDocument/2006/relationships/hyperlink" Target="https://interieur.wallonie.be/marches-et-patrimoine" TargetMode="External"/><Relationship Id="rId17" Type="http://schemas.openxmlformats.org/officeDocument/2006/relationships/image" Target="media/image2.png"/><Relationship Id="rId25" Type="http://schemas.microsoft.com/office/2007/relationships/diagramDrawing" Target="diagrams/drawing1.xml"/><Relationship Id="rId33" Type="http://schemas.openxmlformats.org/officeDocument/2006/relationships/hyperlink" Target="mailto:dgo5.namur@spw.wallonie.b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ieur.wallonie.be" TargetMode="External"/><Relationship Id="rId20" Type="http://schemas.openxmlformats.org/officeDocument/2006/relationships/image" Target="cid:image002.png@01D61279.23C73950" TargetMode="Externa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rastructures.wallonie.be/pouvoirs-locaux/nos-thematiques/infrastructures-locales/batiments-et-voiries/plan-dinvestissement-communal.html" TargetMode="External"/><Relationship Id="rId24" Type="http://schemas.openxmlformats.org/officeDocument/2006/relationships/diagramColors" Target="diagrams/colors1.xml"/><Relationship Id="rId32" Type="http://schemas.openxmlformats.org/officeDocument/2006/relationships/hyperlink" Target="http://pouvoirslocaux.wallonie.b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header" Target="header1.xml"/><Relationship Id="rId10" Type="http://schemas.openxmlformats.org/officeDocument/2006/relationships/hyperlink" Target="mailto:ressfin.interieur@spw.wallonie.be" TargetMode="External"/><Relationship Id="rId19" Type="http://schemas.openxmlformats.org/officeDocument/2006/relationships/image" Target="media/image3.png"/><Relationship Id="rId31" Type="http://schemas.openxmlformats.org/officeDocument/2006/relationships/hyperlink" Target="mailto:PouvoirsLocaux@spw.wallonie.be" TargetMode="External"/><Relationship Id="rId4" Type="http://schemas.openxmlformats.org/officeDocument/2006/relationships/settings" Target="settings.xml"/><Relationship Id="rId9" Type="http://schemas.openxmlformats.org/officeDocument/2006/relationships/hyperlink" Target="https://www.leforem.be/aides/entreprises-ape.html" TargetMode="External"/><Relationship Id="rId14" Type="http://schemas.openxmlformats.org/officeDocument/2006/relationships/hyperlink" Target="mailto:michel.hermans@minfin.fed.be"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hyperlink" Target="http://crac.wallonie.be" TargetMode="External"/><Relationship Id="rId8" Type="http://schemas.openxmlformats.org/officeDocument/2006/relationships/hyperlink" Target="http://ecomptes.wallonie.be/ecomptes/index.php?PS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iplomatie.belgium.be/fr/Services/services_a_letranger/passeport_belge/demander_un_passeport/belge_en_belgique/prix_et_delais_livraison" TargetMode="External"/><Relationship Id="rId1" Type="http://schemas.openxmlformats.org/officeDocument/2006/relationships/hyperlink" Target="https://diplomatie.belgium.be/fr/Services/services_a_letranger/passeport_belge/demander_un_passeport/belge_en_belgique/prix_et_delais_livrais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64CED6-AF71-4E6D-BEAB-24A15249EF1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FR"/>
        </a:p>
      </dgm:t>
    </dgm:pt>
    <dgm:pt modelId="{D209E400-B433-4793-9793-F4095C2938E5}">
      <dgm:prSet phldrT="[Texte]" custT="1"/>
      <dgm:spPr>
        <a:xfrm>
          <a:off x="260121" y="32483"/>
          <a:ext cx="5224098" cy="59148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La fixation de l'ordre du jour du conseil communal prévoit l'adoption du règlement</a:t>
          </a:r>
        </a:p>
      </dgm:t>
    </dgm:pt>
    <dgm:pt modelId="{5A7D19BB-6CC5-4AF4-87CF-2C33DA397DE4}" type="parTrans" cxnId="{AE45EDDC-BE57-4952-A49F-9C0173DCAE94}">
      <dgm:prSet/>
      <dgm:spPr/>
      <dgm:t>
        <a:bodyPr/>
        <a:lstStyle/>
        <a:p>
          <a:endParaRPr lang="fr-FR"/>
        </a:p>
      </dgm:t>
    </dgm:pt>
    <dgm:pt modelId="{5D830160-5B31-4FFC-8661-F4034063C217}" type="sibTrans" cxnId="{AE45EDDC-BE57-4952-A49F-9C0173DCAE94}">
      <dgm:prSet/>
      <dgm:spPr/>
      <dgm:t>
        <a:bodyPr/>
        <a:lstStyle/>
        <a:p>
          <a:endParaRPr lang="fr-FR"/>
        </a:p>
      </dgm:t>
    </dgm:pt>
    <dgm:pt modelId="{C9E9F8B7-9DB3-43BD-985E-6C2661AC6986}">
      <dgm:prSet phldrT="[Texte]" custT="1"/>
      <dgm:spPr>
        <a:xfrm>
          <a:off x="268694" y="877404"/>
          <a:ext cx="5216264" cy="94051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La convocation du conseil communal est faite régulièrement et toutes les pièces relatives à ce point sont mises à la disposition des membres du cosneil communal conformément à l'article L 1122-13 du CDLD (y compris l'attestation de couverture du coût-vérité délivré par la Direction Sols et Déchets du SPW Environement </a:t>
          </a:r>
        </a:p>
      </dgm:t>
    </dgm:pt>
    <dgm:pt modelId="{6ED74F93-5990-479C-B1D5-5FC68A4604D8}" type="parTrans" cxnId="{07DAF547-34B1-435E-BC20-8E48B9302D29}">
      <dgm:prSet/>
      <dgm:spPr/>
      <dgm:t>
        <a:bodyPr/>
        <a:lstStyle/>
        <a:p>
          <a:endParaRPr lang="fr-FR"/>
        </a:p>
      </dgm:t>
    </dgm:pt>
    <dgm:pt modelId="{43527DA0-921B-4B78-8B25-79CF919207A2}" type="sibTrans" cxnId="{07DAF547-34B1-435E-BC20-8E48B9302D29}">
      <dgm:prSet/>
      <dgm:spPr/>
      <dgm:t>
        <a:bodyPr/>
        <a:lstStyle/>
        <a:p>
          <a:endParaRPr lang="fr-FR"/>
        </a:p>
      </dgm:t>
    </dgm:pt>
    <dgm:pt modelId="{518E23D4-72D6-45BF-BB8E-EBF61CC1A068}">
      <dgm:prSet phldrT="[Texte]" custT="1"/>
      <dgm:spPr>
        <a:xfrm>
          <a:off x="261193" y="2071356"/>
          <a:ext cx="5223861" cy="47232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Le règlement est adopté par le conseil communal</a:t>
          </a:r>
        </a:p>
      </dgm:t>
    </dgm:pt>
    <dgm:pt modelId="{A58677D9-15A4-44C8-838F-028466222BB9}" type="parTrans" cxnId="{CFF8E5B8-B980-4112-9128-CABB4C3FB413}">
      <dgm:prSet/>
      <dgm:spPr/>
      <dgm:t>
        <a:bodyPr/>
        <a:lstStyle/>
        <a:p>
          <a:endParaRPr lang="fr-FR"/>
        </a:p>
      </dgm:t>
    </dgm:pt>
    <dgm:pt modelId="{3E3689DE-28F7-4205-B955-4E48043FC165}" type="sibTrans" cxnId="{CFF8E5B8-B980-4112-9128-CABB4C3FB413}">
      <dgm:prSet/>
      <dgm:spPr/>
      <dgm:t>
        <a:bodyPr/>
        <a:lstStyle/>
        <a:p>
          <a:endParaRPr lang="fr-FR"/>
        </a:p>
      </dgm:t>
    </dgm:pt>
    <dgm:pt modelId="{D90E586F-BD22-4F4E-9256-39A763565AEA}" type="pres">
      <dgm:prSet presAssocID="{FD64CED6-AF71-4E6D-BEAB-24A15249EF1B}" presName="linear" presStyleCnt="0">
        <dgm:presLayoutVars>
          <dgm:dir/>
          <dgm:animLvl val="lvl"/>
          <dgm:resizeHandles val="exact"/>
        </dgm:presLayoutVars>
      </dgm:prSet>
      <dgm:spPr/>
    </dgm:pt>
    <dgm:pt modelId="{7D60A561-133A-4D62-96EE-B00547AB75B3}" type="pres">
      <dgm:prSet presAssocID="{D209E400-B433-4793-9793-F4095C2938E5}" presName="parentLin" presStyleCnt="0"/>
      <dgm:spPr/>
    </dgm:pt>
    <dgm:pt modelId="{C5D3A6AB-C3DA-4159-A84E-18F4807D04E6}" type="pres">
      <dgm:prSet presAssocID="{D209E400-B433-4793-9793-F4095C2938E5}" presName="parentLeftMargin" presStyleLbl="node1" presStyleIdx="0" presStyleCnt="3"/>
      <dgm:spPr/>
    </dgm:pt>
    <dgm:pt modelId="{4D876C69-3B85-4D31-BCC1-BFCD9DEBF2C4}" type="pres">
      <dgm:prSet presAssocID="{D209E400-B433-4793-9793-F4095C2938E5}" presName="parentText" presStyleLbl="node1" presStyleIdx="0" presStyleCnt="3" custScaleX="143452" custScaleY="62681">
        <dgm:presLayoutVars>
          <dgm:chMax val="0"/>
          <dgm:bulletEnabled val="1"/>
        </dgm:presLayoutVars>
      </dgm:prSet>
      <dgm:spPr/>
    </dgm:pt>
    <dgm:pt modelId="{F85A4B86-FB6F-4F90-998C-88291D22484E}" type="pres">
      <dgm:prSet presAssocID="{D209E400-B433-4793-9793-F4095C2938E5}" presName="negativeSpace" presStyleCnt="0"/>
      <dgm:spPr/>
    </dgm:pt>
    <dgm:pt modelId="{39F34FE6-967A-4C6C-8292-A831BD71FCDE}" type="pres">
      <dgm:prSet presAssocID="{D209E400-B433-4793-9793-F4095C2938E5}" presName="childText" presStyleLbl="conFgAcc1" presStyleIdx="0" presStyleCnt="3" custScaleY="83288">
        <dgm:presLayoutVars>
          <dgm:bulletEnabled val="1"/>
        </dgm:presLayoutVars>
      </dgm:prSet>
      <dgm:spPr>
        <a:xfrm>
          <a:off x="0" y="387804"/>
          <a:ext cx="5486400" cy="403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27EA838F-19DD-4BEA-A4E3-E64E0B129B22}" type="pres">
      <dgm:prSet presAssocID="{5D830160-5B31-4FFC-8661-F4034063C217}" presName="spaceBetweenRectangles" presStyleCnt="0"/>
      <dgm:spPr/>
    </dgm:pt>
    <dgm:pt modelId="{3F005B31-FC1B-4DE5-8BCD-D670A30DCDC4}" type="pres">
      <dgm:prSet presAssocID="{C9E9F8B7-9DB3-43BD-985E-6C2661AC6986}" presName="parentLin" presStyleCnt="0"/>
      <dgm:spPr/>
    </dgm:pt>
    <dgm:pt modelId="{DEDB3686-E63B-4A86-B635-80C7B0DDA732}" type="pres">
      <dgm:prSet presAssocID="{C9E9F8B7-9DB3-43BD-985E-6C2661AC6986}" presName="parentLeftMargin" presStyleLbl="node1" presStyleIdx="0" presStyleCnt="3"/>
      <dgm:spPr/>
    </dgm:pt>
    <dgm:pt modelId="{B8EE9B11-3301-462E-90F9-47214C79AAC1}" type="pres">
      <dgm:prSet presAssocID="{C9E9F8B7-9DB3-43BD-985E-6C2661AC6986}" presName="parentText" presStyleLbl="node1" presStyleIdx="1" presStyleCnt="3" custScaleX="138667" custScaleY="129973">
        <dgm:presLayoutVars>
          <dgm:chMax val="0"/>
          <dgm:bulletEnabled val="1"/>
        </dgm:presLayoutVars>
      </dgm:prSet>
      <dgm:spPr/>
    </dgm:pt>
    <dgm:pt modelId="{455ED36A-A40B-4743-87AA-A00B744B085C}" type="pres">
      <dgm:prSet presAssocID="{C9E9F8B7-9DB3-43BD-985E-6C2661AC6986}" presName="negativeSpace" presStyleCnt="0"/>
      <dgm:spPr/>
    </dgm:pt>
    <dgm:pt modelId="{9FBA82D1-DA83-41FB-A8B3-BA338FF33C91}" type="pres">
      <dgm:prSet presAssocID="{C9E9F8B7-9DB3-43BD-985E-6C2661AC6986}" presName="childText" presStyleLbl="conFgAcc1" presStyleIdx="1" presStyleCnt="3" custScaleY="78339">
        <dgm:presLayoutVars>
          <dgm:bulletEnabled val="1"/>
        </dgm:presLayoutVars>
      </dgm:prSet>
      <dgm:spPr>
        <a:xfrm>
          <a:off x="0" y="1581756"/>
          <a:ext cx="5486400" cy="403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0EA39414-2C5D-4AC9-AE8B-9DA0270E95C9}" type="pres">
      <dgm:prSet presAssocID="{43527DA0-921B-4B78-8B25-79CF919207A2}" presName="spaceBetweenRectangles" presStyleCnt="0"/>
      <dgm:spPr/>
    </dgm:pt>
    <dgm:pt modelId="{F8CA894C-AF57-4A57-9E8E-5985AC0E230C}" type="pres">
      <dgm:prSet presAssocID="{518E23D4-72D6-45BF-BB8E-EBF61CC1A068}" presName="parentLin" presStyleCnt="0"/>
      <dgm:spPr/>
    </dgm:pt>
    <dgm:pt modelId="{D9C906D4-0A52-4358-96D2-8B5F826DE422}" type="pres">
      <dgm:prSet presAssocID="{518E23D4-72D6-45BF-BB8E-EBF61CC1A068}" presName="parentLeftMargin" presStyleLbl="node1" presStyleIdx="1" presStyleCnt="3"/>
      <dgm:spPr/>
    </dgm:pt>
    <dgm:pt modelId="{86C838AF-43BA-47C3-88EB-67C2B7537856}" type="pres">
      <dgm:prSet presAssocID="{518E23D4-72D6-45BF-BB8E-EBF61CC1A068}" presName="parentText" presStyleLbl="node1" presStyleIdx="2" presStyleCnt="3" custScaleX="142857" custScaleY="43117">
        <dgm:presLayoutVars>
          <dgm:chMax val="0"/>
          <dgm:bulletEnabled val="1"/>
        </dgm:presLayoutVars>
      </dgm:prSet>
      <dgm:spPr/>
    </dgm:pt>
    <dgm:pt modelId="{E6AD0D83-BDA4-427E-974B-0C669C1682D5}" type="pres">
      <dgm:prSet presAssocID="{518E23D4-72D6-45BF-BB8E-EBF61CC1A068}" presName="negativeSpace" presStyleCnt="0"/>
      <dgm:spPr/>
    </dgm:pt>
    <dgm:pt modelId="{F61E5090-8EE9-4F22-906D-697656474CEE}" type="pres">
      <dgm:prSet presAssocID="{518E23D4-72D6-45BF-BB8E-EBF61CC1A068}" presName="childText" presStyleLbl="conFgAcc1" presStyleIdx="2" presStyleCnt="3">
        <dgm:presLayoutVars>
          <dgm:bulletEnabled val="1"/>
        </dgm:presLayoutVars>
      </dgm:prSet>
      <dgm:spPr>
        <a:xfrm>
          <a:off x="0" y="2307516"/>
          <a:ext cx="5486400" cy="403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46A0690C-DB61-48B7-B9A7-CAB4EEA0A503}" type="presOf" srcId="{D209E400-B433-4793-9793-F4095C2938E5}" destId="{C5D3A6AB-C3DA-4159-A84E-18F4807D04E6}" srcOrd="0" destOrd="0" presId="urn:microsoft.com/office/officeart/2005/8/layout/list1"/>
    <dgm:cxn modelId="{07DAF547-34B1-435E-BC20-8E48B9302D29}" srcId="{FD64CED6-AF71-4E6D-BEAB-24A15249EF1B}" destId="{C9E9F8B7-9DB3-43BD-985E-6C2661AC6986}" srcOrd="1" destOrd="0" parTransId="{6ED74F93-5990-479C-B1D5-5FC68A4604D8}" sibTransId="{43527DA0-921B-4B78-8B25-79CF919207A2}"/>
    <dgm:cxn modelId="{CBC7D08A-A109-4427-84A4-4042D943A041}" type="presOf" srcId="{D209E400-B433-4793-9793-F4095C2938E5}" destId="{4D876C69-3B85-4D31-BCC1-BFCD9DEBF2C4}" srcOrd="1" destOrd="0" presId="urn:microsoft.com/office/officeart/2005/8/layout/list1"/>
    <dgm:cxn modelId="{519D6D8F-D59A-4928-B21D-E7D78AA25DFE}" type="presOf" srcId="{C9E9F8B7-9DB3-43BD-985E-6C2661AC6986}" destId="{DEDB3686-E63B-4A86-B635-80C7B0DDA732}" srcOrd="0" destOrd="0" presId="urn:microsoft.com/office/officeart/2005/8/layout/list1"/>
    <dgm:cxn modelId="{502D85AE-9146-4E72-9C2B-7A8E6C33E73C}" type="presOf" srcId="{C9E9F8B7-9DB3-43BD-985E-6C2661AC6986}" destId="{B8EE9B11-3301-462E-90F9-47214C79AAC1}" srcOrd="1" destOrd="0" presId="urn:microsoft.com/office/officeart/2005/8/layout/list1"/>
    <dgm:cxn modelId="{6967D9B0-C33E-4D91-BDF9-49C59D009703}" type="presOf" srcId="{518E23D4-72D6-45BF-BB8E-EBF61CC1A068}" destId="{86C838AF-43BA-47C3-88EB-67C2B7537856}" srcOrd="1" destOrd="0" presId="urn:microsoft.com/office/officeart/2005/8/layout/list1"/>
    <dgm:cxn modelId="{CFF8E5B8-B980-4112-9128-CABB4C3FB413}" srcId="{FD64CED6-AF71-4E6D-BEAB-24A15249EF1B}" destId="{518E23D4-72D6-45BF-BB8E-EBF61CC1A068}" srcOrd="2" destOrd="0" parTransId="{A58677D9-15A4-44C8-838F-028466222BB9}" sibTransId="{3E3689DE-28F7-4205-B955-4E48043FC165}"/>
    <dgm:cxn modelId="{AE45EDDC-BE57-4952-A49F-9C0173DCAE94}" srcId="{FD64CED6-AF71-4E6D-BEAB-24A15249EF1B}" destId="{D209E400-B433-4793-9793-F4095C2938E5}" srcOrd="0" destOrd="0" parTransId="{5A7D19BB-6CC5-4AF4-87CF-2C33DA397DE4}" sibTransId="{5D830160-5B31-4FFC-8661-F4034063C217}"/>
    <dgm:cxn modelId="{0C9CC9F0-00D8-4267-AA91-3124C8CC19F1}" type="presOf" srcId="{FD64CED6-AF71-4E6D-BEAB-24A15249EF1B}" destId="{D90E586F-BD22-4F4E-9256-39A763565AEA}" srcOrd="0" destOrd="0" presId="urn:microsoft.com/office/officeart/2005/8/layout/list1"/>
    <dgm:cxn modelId="{375B2CF5-A807-434C-B566-A48A500D7EBB}" type="presOf" srcId="{518E23D4-72D6-45BF-BB8E-EBF61CC1A068}" destId="{D9C906D4-0A52-4358-96D2-8B5F826DE422}" srcOrd="0" destOrd="0" presId="urn:microsoft.com/office/officeart/2005/8/layout/list1"/>
    <dgm:cxn modelId="{9F405D2A-FA70-4A78-90F2-6B82B351477D}" type="presParOf" srcId="{D90E586F-BD22-4F4E-9256-39A763565AEA}" destId="{7D60A561-133A-4D62-96EE-B00547AB75B3}" srcOrd="0" destOrd="0" presId="urn:microsoft.com/office/officeart/2005/8/layout/list1"/>
    <dgm:cxn modelId="{72B69BAD-E3CD-4C30-84C4-1A7543F20D44}" type="presParOf" srcId="{7D60A561-133A-4D62-96EE-B00547AB75B3}" destId="{C5D3A6AB-C3DA-4159-A84E-18F4807D04E6}" srcOrd="0" destOrd="0" presId="urn:microsoft.com/office/officeart/2005/8/layout/list1"/>
    <dgm:cxn modelId="{A42ED1B7-3E9E-42CA-B379-324EC5183471}" type="presParOf" srcId="{7D60A561-133A-4D62-96EE-B00547AB75B3}" destId="{4D876C69-3B85-4D31-BCC1-BFCD9DEBF2C4}" srcOrd="1" destOrd="0" presId="urn:microsoft.com/office/officeart/2005/8/layout/list1"/>
    <dgm:cxn modelId="{F1FBE0A3-C184-4588-A993-85C99FB88996}" type="presParOf" srcId="{D90E586F-BD22-4F4E-9256-39A763565AEA}" destId="{F85A4B86-FB6F-4F90-998C-88291D22484E}" srcOrd="1" destOrd="0" presId="urn:microsoft.com/office/officeart/2005/8/layout/list1"/>
    <dgm:cxn modelId="{85B84BB2-EBBA-4090-9C86-A43EFA6F0572}" type="presParOf" srcId="{D90E586F-BD22-4F4E-9256-39A763565AEA}" destId="{39F34FE6-967A-4C6C-8292-A831BD71FCDE}" srcOrd="2" destOrd="0" presId="urn:microsoft.com/office/officeart/2005/8/layout/list1"/>
    <dgm:cxn modelId="{68FEBEC2-481F-46AA-AF10-DD6D80A3238F}" type="presParOf" srcId="{D90E586F-BD22-4F4E-9256-39A763565AEA}" destId="{27EA838F-19DD-4BEA-A4E3-E64E0B129B22}" srcOrd="3" destOrd="0" presId="urn:microsoft.com/office/officeart/2005/8/layout/list1"/>
    <dgm:cxn modelId="{2317DFA8-B5AF-4FBD-829A-B8DAC55BBB42}" type="presParOf" srcId="{D90E586F-BD22-4F4E-9256-39A763565AEA}" destId="{3F005B31-FC1B-4DE5-8BCD-D670A30DCDC4}" srcOrd="4" destOrd="0" presId="urn:microsoft.com/office/officeart/2005/8/layout/list1"/>
    <dgm:cxn modelId="{C0B034B1-0A6D-40ED-90FB-E1003A69E024}" type="presParOf" srcId="{3F005B31-FC1B-4DE5-8BCD-D670A30DCDC4}" destId="{DEDB3686-E63B-4A86-B635-80C7B0DDA732}" srcOrd="0" destOrd="0" presId="urn:microsoft.com/office/officeart/2005/8/layout/list1"/>
    <dgm:cxn modelId="{24E09602-9D20-4AC3-8014-7FE2618F0E94}" type="presParOf" srcId="{3F005B31-FC1B-4DE5-8BCD-D670A30DCDC4}" destId="{B8EE9B11-3301-462E-90F9-47214C79AAC1}" srcOrd="1" destOrd="0" presId="urn:microsoft.com/office/officeart/2005/8/layout/list1"/>
    <dgm:cxn modelId="{7EF0959D-CDC9-43AD-8EF8-4B6CB1EE7F87}" type="presParOf" srcId="{D90E586F-BD22-4F4E-9256-39A763565AEA}" destId="{455ED36A-A40B-4743-87AA-A00B744B085C}" srcOrd="5" destOrd="0" presId="urn:microsoft.com/office/officeart/2005/8/layout/list1"/>
    <dgm:cxn modelId="{C8EC7F99-FE5E-45E0-9309-E81946FFE3A2}" type="presParOf" srcId="{D90E586F-BD22-4F4E-9256-39A763565AEA}" destId="{9FBA82D1-DA83-41FB-A8B3-BA338FF33C91}" srcOrd="6" destOrd="0" presId="urn:microsoft.com/office/officeart/2005/8/layout/list1"/>
    <dgm:cxn modelId="{6FBCF3BB-F23E-44E5-9816-61FDE73AD1E2}" type="presParOf" srcId="{D90E586F-BD22-4F4E-9256-39A763565AEA}" destId="{0EA39414-2C5D-4AC9-AE8B-9DA0270E95C9}" srcOrd="7" destOrd="0" presId="urn:microsoft.com/office/officeart/2005/8/layout/list1"/>
    <dgm:cxn modelId="{C304F681-BC74-4F35-BEF2-31105DF7D2F5}" type="presParOf" srcId="{D90E586F-BD22-4F4E-9256-39A763565AEA}" destId="{F8CA894C-AF57-4A57-9E8E-5985AC0E230C}" srcOrd="8" destOrd="0" presId="urn:microsoft.com/office/officeart/2005/8/layout/list1"/>
    <dgm:cxn modelId="{1BB50E03-9D94-4617-9D2E-98F1B868AA27}" type="presParOf" srcId="{F8CA894C-AF57-4A57-9E8E-5985AC0E230C}" destId="{D9C906D4-0A52-4358-96D2-8B5F826DE422}" srcOrd="0" destOrd="0" presId="urn:microsoft.com/office/officeart/2005/8/layout/list1"/>
    <dgm:cxn modelId="{443759E9-1946-4FE5-8F07-1BFD37C7080A}" type="presParOf" srcId="{F8CA894C-AF57-4A57-9E8E-5985AC0E230C}" destId="{86C838AF-43BA-47C3-88EB-67C2B7537856}" srcOrd="1" destOrd="0" presId="urn:microsoft.com/office/officeart/2005/8/layout/list1"/>
    <dgm:cxn modelId="{D013C3D9-2FEB-474D-8379-C46AC473BC6C}" type="presParOf" srcId="{D90E586F-BD22-4F4E-9256-39A763565AEA}" destId="{E6AD0D83-BDA4-427E-974B-0C669C1682D5}" srcOrd="9" destOrd="0" presId="urn:microsoft.com/office/officeart/2005/8/layout/list1"/>
    <dgm:cxn modelId="{784BEEDE-19D9-4D8C-BF97-A053B46353B0}" type="presParOf" srcId="{D90E586F-BD22-4F4E-9256-39A763565AEA}" destId="{F61E5090-8EE9-4F22-906D-697656474CEE}" srcOrd="10"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64CED6-AF71-4E6D-BEAB-24A15249EF1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FR"/>
        </a:p>
      </dgm:t>
    </dgm:pt>
    <dgm:pt modelId="{D209E400-B433-4793-9793-F4095C2938E5}">
      <dgm:prSet phldrT="[Texte]" custT="1"/>
      <dgm:spPr>
        <a:xfrm>
          <a:off x="255598" y="61785"/>
          <a:ext cx="5230801" cy="115671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Le règlement - auquel est joint la pièce justificative (attestation du coût-vérité) - est envoyé dans les 15 jopurs de son adoption par le conseil communal au gouvernement wallon conformément à l'article L 3132-1 du CDLD. </a:t>
          </a:r>
        </a:p>
        <a:p>
          <a:pPr>
            <a:buNone/>
          </a:pPr>
          <a:r>
            <a:rPr lang="fr-FR" sz="1100">
              <a:solidFill>
                <a:sysClr val="window" lastClr="FFFFFF"/>
              </a:solidFill>
              <a:latin typeface="Calibri" panose="020F0502020204030204"/>
              <a:ea typeface="+mn-ea"/>
              <a:cs typeface="+mn-cs"/>
            </a:rPr>
            <a:t>La date ultime de transmission est fixée au 15 novembre de l'exercice précédent l'exercice d'imposition.</a:t>
          </a:r>
        </a:p>
      </dgm:t>
    </dgm:pt>
    <dgm:pt modelId="{5A7D19BB-6CC5-4AF4-87CF-2C33DA397DE4}" type="parTrans" cxnId="{AE45EDDC-BE57-4952-A49F-9C0173DCAE94}">
      <dgm:prSet/>
      <dgm:spPr/>
      <dgm:t>
        <a:bodyPr/>
        <a:lstStyle/>
        <a:p>
          <a:endParaRPr lang="fr-FR"/>
        </a:p>
      </dgm:t>
    </dgm:pt>
    <dgm:pt modelId="{5D830160-5B31-4FFC-8661-F4034063C217}" type="sibTrans" cxnId="{AE45EDDC-BE57-4952-A49F-9C0173DCAE94}">
      <dgm:prSet/>
      <dgm:spPr/>
      <dgm:t>
        <a:bodyPr/>
        <a:lstStyle/>
        <a:p>
          <a:endParaRPr lang="fr-FR"/>
        </a:p>
      </dgm:t>
    </dgm:pt>
    <dgm:pt modelId="{C9E9F8B7-9DB3-43BD-985E-6C2661AC6986}">
      <dgm:prSet phldrT="[Texte]" custT="1"/>
      <dgm:spPr>
        <a:xfrm>
          <a:off x="268158" y="1757056"/>
          <a:ext cx="5214047" cy="85595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Une fois approuvé par les autorités de tutelle, le règlement est publié conformément aux articles L 1133-1 et -2 du CDLD.</a:t>
          </a:r>
        </a:p>
      </dgm:t>
    </dgm:pt>
    <dgm:pt modelId="{6ED74F93-5990-479C-B1D5-5FC68A4604D8}" type="parTrans" cxnId="{07DAF547-34B1-435E-BC20-8E48B9302D29}">
      <dgm:prSet/>
      <dgm:spPr/>
      <dgm:t>
        <a:bodyPr/>
        <a:lstStyle/>
        <a:p>
          <a:endParaRPr lang="fr-FR"/>
        </a:p>
      </dgm:t>
    </dgm:pt>
    <dgm:pt modelId="{43527DA0-921B-4B78-8B25-79CF919207A2}" type="sibTrans" cxnId="{07DAF547-34B1-435E-BC20-8E48B9302D29}">
      <dgm:prSet/>
      <dgm:spPr/>
      <dgm:t>
        <a:bodyPr/>
        <a:lstStyle/>
        <a:p>
          <a:endParaRPr lang="fr-FR"/>
        </a:p>
      </dgm:t>
    </dgm:pt>
    <dgm:pt modelId="{518E23D4-72D6-45BF-BB8E-EBF61CC1A068}">
      <dgm:prSet phldrT="[Texte]" custT="1"/>
      <dgm:spPr>
        <a:xfrm>
          <a:off x="262538" y="3336633"/>
          <a:ext cx="5223861" cy="1003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Le règlement entre en vigueur au plus tôt le 5ème jour qui suit celui de sa publication. Il peut entrer en vigueur plus tôt mais uniquement à la condition que cela soit prévu expressément dans le règlement.</a:t>
          </a:r>
        </a:p>
      </dgm:t>
    </dgm:pt>
    <dgm:pt modelId="{A58677D9-15A4-44C8-838F-028466222BB9}" type="parTrans" cxnId="{CFF8E5B8-B980-4112-9128-CABB4C3FB413}">
      <dgm:prSet/>
      <dgm:spPr/>
      <dgm:t>
        <a:bodyPr/>
        <a:lstStyle/>
        <a:p>
          <a:endParaRPr lang="fr-FR"/>
        </a:p>
      </dgm:t>
    </dgm:pt>
    <dgm:pt modelId="{3E3689DE-28F7-4205-B955-4E48043FC165}" type="sibTrans" cxnId="{CFF8E5B8-B980-4112-9128-CABB4C3FB413}">
      <dgm:prSet/>
      <dgm:spPr/>
      <dgm:t>
        <a:bodyPr/>
        <a:lstStyle/>
        <a:p>
          <a:endParaRPr lang="fr-FR"/>
        </a:p>
      </dgm:t>
    </dgm:pt>
    <dgm:pt modelId="{D90E586F-BD22-4F4E-9256-39A763565AEA}" type="pres">
      <dgm:prSet presAssocID="{FD64CED6-AF71-4E6D-BEAB-24A15249EF1B}" presName="linear" presStyleCnt="0">
        <dgm:presLayoutVars>
          <dgm:dir/>
          <dgm:animLvl val="lvl"/>
          <dgm:resizeHandles val="exact"/>
        </dgm:presLayoutVars>
      </dgm:prSet>
      <dgm:spPr/>
    </dgm:pt>
    <dgm:pt modelId="{7D60A561-133A-4D62-96EE-B00547AB75B3}" type="pres">
      <dgm:prSet presAssocID="{D209E400-B433-4793-9793-F4095C2938E5}" presName="parentLin" presStyleCnt="0"/>
      <dgm:spPr/>
    </dgm:pt>
    <dgm:pt modelId="{C5D3A6AB-C3DA-4159-A84E-18F4807D04E6}" type="pres">
      <dgm:prSet presAssocID="{D209E400-B433-4793-9793-F4095C2938E5}" presName="parentLeftMargin" presStyleLbl="node1" presStyleIdx="0" presStyleCnt="3"/>
      <dgm:spPr/>
    </dgm:pt>
    <dgm:pt modelId="{4D876C69-3B85-4D31-BCC1-BFCD9DEBF2C4}" type="pres">
      <dgm:prSet presAssocID="{D209E400-B433-4793-9793-F4095C2938E5}" presName="parentText" presStyleLbl="node1" presStyleIdx="0" presStyleCnt="3" custScaleX="146349" custScaleY="115247" custLinFactNeighborX="14647">
        <dgm:presLayoutVars>
          <dgm:chMax val="0"/>
          <dgm:bulletEnabled val="1"/>
        </dgm:presLayoutVars>
      </dgm:prSet>
      <dgm:spPr/>
    </dgm:pt>
    <dgm:pt modelId="{F85A4B86-FB6F-4F90-998C-88291D22484E}" type="pres">
      <dgm:prSet presAssocID="{D209E400-B433-4793-9793-F4095C2938E5}" presName="negativeSpace" presStyleCnt="0"/>
      <dgm:spPr/>
    </dgm:pt>
    <dgm:pt modelId="{39F34FE6-967A-4C6C-8292-A831BD71FCDE}" type="pres">
      <dgm:prSet presAssocID="{D209E400-B433-4793-9793-F4095C2938E5}" presName="childText" presStyleLbl="conFgAcc1" presStyleIdx="0" presStyleCnt="3" custScaleY="63949">
        <dgm:presLayoutVars>
          <dgm:bulletEnabled val="1"/>
        </dgm:presLayoutVars>
      </dgm:prSet>
      <dgm:spPr>
        <a:xfrm>
          <a:off x="0" y="716656"/>
          <a:ext cx="5486400" cy="85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27EA838F-19DD-4BEA-A4E3-E64E0B129B22}" type="pres">
      <dgm:prSet presAssocID="{5D830160-5B31-4FFC-8661-F4034063C217}" presName="spaceBetweenRectangles" presStyleCnt="0"/>
      <dgm:spPr/>
    </dgm:pt>
    <dgm:pt modelId="{3F005B31-FC1B-4DE5-8BCD-D670A30DCDC4}" type="pres">
      <dgm:prSet presAssocID="{C9E9F8B7-9DB3-43BD-985E-6C2661AC6986}" presName="parentLin" presStyleCnt="0"/>
      <dgm:spPr/>
    </dgm:pt>
    <dgm:pt modelId="{DEDB3686-E63B-4A86-B635-80C7B0DDA732}" type="pres">
      <dgm:prSet presAssocID="{C9E9F8B7-9DB3-43BD-985E-6C2661AC6986}" presName="parentLeftMargin" presStyleLbl="node1" presStyleIdx="0" presStyleCnt="3"/>
      <dgm:spPr/>
    </dgm:pt>
    <dgm:pt modelId="{B8EE9B11-3301-462E-90F9-47214C79AAC1}" type="pres">
      <dgm:prSet presAssocID="{C9E9F8B7-9DB3-43BD-985E-6C2661AC6986}" presName="parentText" presStyleLbl="node1" presStyleIdx="1" presStyleCnt="3" custScaleX="138885" custScaleY="85282">
        <dgm:presLayoutVars>
          <dgm:chMax val="0"/>
          <dgm:bulletEnabled val="1"/>
        </dgm:presLayoutVars>
      </dgm:prSet>
      <dgm:spPr/>
    </dgm:pt>
    <dgm:pt modelId="{455ED36A-A40B-4743-87AA-A00B744B085C}" type="pres">
      <dgm:prSet presAssocID="{C9E9F8B7-9DB3-43BD-985E-6C2661AC6986}" presName="negativeSpace" presStyleCnt="0"/>
      <dgm:spPr/>
    </dgm:pt>
    <dgm:pt modelId="{9FBA82D1-DA83-41FB-A8B3-BA338FF33C91}" type="pres">
      <dgm:prSet presAssocID="{C9E9F8B7-9DB3-43BD-985E-6C2661AC6986}" presName="childText" presStyleLbl="conFgAcc1" presStyleIdx="1" presStyleCnt="3" custScaleY="65443">
        <dgm:presLayoutVars>
          <dgm:bulletEnabled val="1"/>
        </dgm:presLayoutVars>
      </dgm:prSet>
      <dgm:spPr>
        <a:xfrm>
          <a:off x="0" y="2111174"/>
          <a:ext cx="5486400" cy="85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0EA39414-2C5D-4AC9-AE8B-9DA0270E95C9}" type="pres">
      <dgm:prSet presAssocID="{43527DA0-921B-4B78-8B25-79CF919207A2}" presName="spaceBetweenRectangles" presStyleCnt="0"/>
      <dgm:spPr/>
    </dgm:pt>
    <dgm:pt modelId="{F8CA894C-AF57-4A57-9E8E-5985AC0E230C}" type="pres">
      <dgm:prSet presAssocID="{518E23D4-72D6-45BF-BB8E-EBF61CC1A068}" presName="parentLin" presStyleCnt="0"/>
      <dgm:spPr/>
    </dgm:pt>
    <dgm:pt modelId="{D9C906D4-0A52-4358-96D2-8B5F826DE422}" type="pres">
      <dgm:prSet presAssocID="{518E23D4-72D6-45BF-BB8E-EBF61CC1A068}" presName="parentLeftMargin" presStyleLbl="node1" presStyleIdx="1" presStyleCnt="3"/>
      <dgm:spPr/>
    </dgm:pt>
    <dgm:pt modelId="{86C838AF-43BA-47C3-88EB-67C2B7537856}" type="pres">
      <dgm:prSet presAssocID="{518E23D4-72D6-45BF-BB8E-EBF61CC1A068}" presName="parentText" presStyleLbl="node1" presStyleIdx="2" presStyleCnt="3" custScaleX="142857" custLinFactNeighborX="515" custLinFactNeighborY="-8864">
        <dgm:presLayoutVars>
          <dgm:chMax val="0"/>
          <dgm:bulletEnabled val="1"/>
        </dgm:presLayoutVars>
      </dgm:prSet>
      <dgm:spPr/>
    </dgm:pt>
    <dgm:pt modelId="{E6AD0D83-BDA4-427E-974B-0C669C1682D5}" type="pres">
      <dgm:prSet presAssocID="{518E23D4-72D6-45BF-BB8E-EBF61CC1A068}" presName="negativeSpace" presStyleCnt="0"/>
      <dgm:spPr/>
    </dgm:pt>
    <dgm:pt modelId="{F61E5090-8EE9-4F22-906D-697656474CEE}" type="pres">
      <dgm:prSet presAssocID="{518E23D4-72D6-45BF-BB8E-EBF61CC1A068}" presName="childText" presStyleLbl="conFgAcc1" presStyleIdx="2" presStyleCnt="3" custScaleY="79286">
        <dgm:presLayoutVars>
          <dgm:bulletEnabled val="1"/>
        </dgm:presLayoutVars>
      </dgm:prSet>
      <dgm:spPr>
        <a:xfrm>
          <a:off x="0" y="3653414"/>
          <a:ext cx="5486400" cy="85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46A0690C-DB61-48B7-B9A7-CAB4EEA0A503}" type="presOf" srcId="{D209E400-B433-4793-9793-F4095C2938E5}" destId="{C5D3A6AB-C3DA-4159-A84E-18F4807D04E6}" srcOrd="0" destOrd="0" presId="urn:microsoft.com/office/officeart/2005/8/layout/list1"/>
    <dgm:cxn modelId="{07DAF547-34B1-435E-BC20-8E48B9302D29}" srcId="{FD64CED6-AF71-4E6D-BEAB-24A15249EF1B}" destId="{C9E9F8B7-9DB3-43BD-985E-6C2661AC6986}" srcOrd="1" destOrd="0" parTransId="{6ED74F93-5990-479C-B1D5-5FC68A4604D8}" sibTransId="{43527DA0-921B-4B78-8B25-79CF919207A2}"/>
    <dgm:cxn modelId="{CBC7D08A-A109-4427-84A4-4042D943A041}" type="presOf" srcId="{D209E400-B433-4793-9793-F4095C2938E5}" destId="{4D876C69-3B85-4D31-BCC1-BFCD9DEBF2C4}" srcOrd="1" destOrd="0" presId="urn:microsoft.com/office/officeart/2005/8/layout/list1"/>
    <dgm:cxn modelId="{519D6D8F-D59A-4928-B21D-E7D78AA25DFE}" type="presOf" srcId="{C9E9F8B7-9DB3-43BD-985E-6C2661AC6986}" destId="{DEDB3686-E63B-4A86-B635-80C7B0DDA732}" srcOrd="0" destOrd="0" presId="urn:microsoft.com/office/officeart/2005/8/layout/list1"/>
    <dgm:cxn modelId="{502D85AE-9146-4E72-9C2B-7A8E6C33E73C}" type="presOf" srcId="{C9E9F8B7-9DB3-43BD-985E-6C2661AC6986}" destId="{B8EE9B11-3301-462E-90F9-47214C79AAC1}" srcOrd="1" destOrd="0" presId="urn:microsoft.com/office/officeart/2005/8/layout/list1"/>
    <dgm:cxn modelId="{6967D9B0-C33E-4D91-BDF9-49C59D009703}" type="presOf" srcId="{518E23D4-72D6-45BF-BB8E-EBF61CC1A068}" destId="{86C838AF-43BA-47C3-88EB-67C2B7537856}" srcOrd="1" destOrd="0" presId="urn:microsoft.com/office/officeart/2005/8/layout/list1"/>
    <dgm:cxn modelId="{CFF8E5B8-B980-4112-9128-CABB4C3FB413}" srcId="{FD64CED6-AF71-4E6D-BEAB-24A15249EF1B}" destId="{518E23D4-72D6-45BF-BB8E-EBF61CC1A068}" srcOrd="2" destOrd="0" parTransId="{A58677D9-15A4-44C8-838F-028466222BB9}" sibTransId="{3E3689DE-28F7-4205-B955-4E48043FC165}"/>
    <dgm:cxn modelId="{AE45EDDC-BE57-4952-A49F-9C0173DCAE94}" srcId="{FD64CED6-AF71-4E6D-BEAB-24A15249EF1B}" destId="{D209E400-B433-4793-9793-F4095C2938E5}" srcOrd="0" destOrd="0" parTransId="{5A7D19BB-6CC5-4AF4-87CF-2C33DA397DE4}" sibTransId="{5D830160-5B31-4FFC-8661-F4034063C217}"/>
    <dgm:cxn modelId="{0C9CC9F0-00D8-4267-AA91-3124C8CC19F1}" type="presOf" srcId="{FD64CED6-AF71-4E6D-BEAB-24A15249EF1B}" destId="{D90E586F-BD22-4F4E-9256-39A763565AEA}" srcOrd="0" destOrd="0" presId="urn:microsoft.com/office/officeart/2005/8/layout/list1"/>
    <dgm:cxn modelId="{375B2CF5-A807-434C-B566-A48A500D7EBB}" type="presOf" srcId="{518E23D4-72D6-45BF-BB8E-EBF61CC1A068}" destId="{D9C906D4-0A52-4358-96D2-8B5F826DE422}" srcOrd="0" destOrd="0" presId="urn:microsoft.com/office/officeart/2005/8/layout/list1"/>
    <dgm:cxn modelId="{9F405D2A-FA70-4A78-90F2-6B82B351477D}" type="presParOf" srcId="{D90E586F-BD22-4F4E-9256-39A763565AEA}" destId="{7D60A561-133A-4D62-96EE-B00547AB75B3}" srcOrd="0" destOrd="0" presId="urn:microsoft.com/office/officeart/2005/8/layout/list1"/>
    <dgm:cxn modelId="{72B69BAD-E3CD-4C30-84C4-1A7543F20D44}" type="presParOf" srcId="{7D60A561-133A-4D62-96EE-B00547AB75B3}" destId="{C5D3A6AB-C3DA-4159-A84E-18F4807D04E6}" srcOrd="0" destOrd="0" presId="urn:microsoft.com/office/officeart/2005/8/layout/list1"/>
    <dgm:cxn modelId="{A42ED1B7-3E9E-42CA-B379-324EC5183471}" type="presParOf" srcId="{7D60A561-133A-4D62-96EE-B00547AB75B3}" destId="{4D876C69-3B85-4D31-BCC1-BFCD9DEBF2C4}" srcOrd="1" destOrd="0" presId="urn:microsoft.com/office/officeart/2005/8/layout/list1"/>
    <dgm:cxn modelId="{F1FBE0A3-C184-4588-A993-85C99FB88996}" type="presParOf" srcId="{D90E586F-BD22-4F4E-9256-39A763565AEA}" destId="{F85A4B86-FB6F-4F90-998C-88291D22484E}" srcOrd="1" destOrd="0" presId="urn:microsoft.com/office/officeart/2005/8/layout/list1"/>
    <dgm:cxn modelId="{85B84BB2-EBBA-4090-9C86-A43EFA6F0572}" type="presParOf" srcId="{D90E586F-BD22-4F4E-9256-39A763565AEA}" destId="{39F34FE6-967A-4C6C-8292-A831BD71FCDE}" srcOrd="2" destOrd="0" presId="urn:microsoft.com/office/officeart/2005/8/layout/list1"/>
    <dgm:cxn modelId="{68FEBEC2-481F-46AA-AF10-DD6D80A3238F}" type="presParOf" srcId="{D90E586F-BD22-4F4E-9256-39A763565AEA}" destId="{27EA838F-19DD-4BEA-A4E3-E64E0B129B22}" srcOrd="3" destOrd="0" presId="urn:microsoft.com/office/officeart/2005/8/layout/list1"/>
    <dgm:cxn modelId="{2317DFA8-B5AF-4FBD-829A-B8DAC55BBB42}" type="presParOf" srcId="{D90E586F-BD22-4F4E-9256-39A763565AEA}" destId="{3F005B31-FC1B-4DE5-8BCD-D670A30DCDC4}" srcOrd="4" destOrd="0" presId="urn:microsoft.com/office/officeart/2005/8/layout/list1"/>
    <dgm:cxn modelId="{C0B034B1-0A6D-40ED-90FB-E1003A69E024}" type="presParOf" srcId="{3F005B31-FC1B-4DE5-8BCD-D670A30DCDC4}" destId="{DEDB3686-E63B-4A86-B635-80C7B0DDA732}" srcOrd="0" destOrd="0" presId="urn:microsoft.com/office/officeart/2005/8/layout/list1"/>
    <dgm:cxn modelId="{24E09602-9D20-4AC3-8014-7FE2618F0E94}" type="presParOf" srcId="{3F005B31-FC1B-4DE5-8BCD-D670A30DCDC4}" destId="{B8EE9B11-3301-462E-90F9-47214C79AAC1}" srcOrd="1" destOrd="0" presId="urn:microsoft.com/office/officeart/2005/8/layout/list1"/>
    <dgm:cxn modelId="{7EF0959D-CDC9-43AD-8EF8-4B6CB1EE7F87}" type="presParOf" srcId="{D90E586F-BD22-4F4E-9256-39A763565AEA}" destId="{455ED36A-A40B-4743-87AA-A00B744B085C}" srcOrd="5" destOrd="0" presId="urn:microsoft.com/office/officeart/2005/8/layout/list1"/>
    <dgm:cxn modelId="{C8EC7F99-FE5E-45E0-9309-E81946FFE3A2}" type="presParOf" srcId="{D90E586F-BD22-4F4E-9256-39A763565AEA}" destId="{9FBA82D1-DA83-41FB-A8B3-BA338FF33C91}" srcOrd="6" destOrd="0" presId="urn:microsoft.com/office/officeart/2005/8/layout/list1"/>
    <dgm:cxn modelId="{6FBCF3BB-F23E-44E5-9816-61FDE73AD1E2}" type="presParOf" srcId="{D90E586F-BD22-4F4E-9256-39A763565AEA}" destId="{0EA39414-2C5D-4AC9-AE8B-9DA0270E95C9}" srcOrd="7" destOrd="0" presId="urn:microsoft.com/office/officeart/2005/8/layout/list1"/>
    <dgm:cxn modelId="{C304F681-BC74-4F35-BEF2-31105DF7D2F5}" type="presParOf" srcId="{D90E586F-BD22-4F4E-9256-39A763565AEA}" destId="{F8CA894C-AF57-4A57-9E8E-5985AC0E230C}" srcOrd="8" destOrd="0" presId="urn:microsoft.com/office/officeart/2005/8/layout/list1"/>
    <dgm:cxn modelId="{1BB50E03-9D94-4617-9D2E-98F1B868AA27}" type="presParOf" srcId="{F8CA894C-AF57-4A57-9E8E-5985AC0E230C}" destId="{D9C906D4-0A52-4358-96D2-8B5F826DE422}" srcOrd="0" destOrd="0" presId="urn:microsoft.com/office/officeart/2005/8/layout/list1"/>
    <dgm:cxn modelId="{443759E9-1946-4FE5-8F07-1BFD37C7080A}" type="presParOf" srcId="{F8CA894C-AF57-4A57-9E8E-5985AC0E230C}" destId="{86C838AF-43BA-47C3-88EB-67C2B7537856}" srcOrd="1" destOrd="0" presId="urn:microsoft.com/office/officeart/2005/8/layout/list1"/>
    <dgm:cxn modelId="{D013C3D9-2FEB-474D-8379-C46AC473BC6C}" type="presParOf" srcId="{D90E586F-BD22-4F4E-9256-39A763565AEA}" destId="{E6AD0D83-BDA4-427E-974B-0C669C1682D5}" srcOrd="9" destOrd="0" presId="urn:microsoft.com/office/officeart/2005/8/layout/list1"/>
    <dgm:cxn modelId="{784BEEDE-19D9-4D8C-BF97-A053B46353B0}" type="presParOf" srcId="{D90E586F-BD22-4F4E-9256-39A763565AEA}" destId="{F61E5090-8EE9-4F22-906D-697656474CEE}" srcOrd="10"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34FE6-967A-4C6C-8292-A831BD71FCDE}">
      <dsp:nvSpPr>
        <dsp:cNvPr id="0" name=""/>
        <dsp:cNvSpPr/>
      </dsp:nvSpPr>
      <dsp:spPr>
        <a:xfrm>
          <a:off x="0" y="67754"/>
          <a:ext cx="6191250" cy="356805"/>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D876C69-3B85-4D31-BCC1-BFCD9DEBF2C4}">
      <dsp:nvSpPr>
        <dsp:cNvPr id="0" name=""/>
        <dsp:cNvSpPr/>
      </dsp:nvSpPr>
      <dsp:spPr>
        <a:xfrm>
          <a:off x="293540" y="4115"/>
          <a:ext cx="5895250" cy="31455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0" rIns="163810"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La fixation de l'ordre du jour du conseil communal prévoit l'adoption du règlement</a:t>
          </a:r>
        </a:p>
      </dsp:txBody>
      <dsp:txXfrm>
        <a:off x="308895" y="19470"/>
        <a:ext cx="5864540" cy="283848"/>
      </dsp:txXfrm>
    </dsp:sp>
    <dsp:sp modelId="{9FBA82D1-DA83-41FB-A8B3-BA338FF33C91}">
      <dsp:nvSpPr>
        <dsp:cNvPr id="0" name=""/>
        <dsp:cNvSpPr/>
      </dsp:nvSpPr>
      <dsp:spPr>
        <a:xfrm>
          <a:off x="0" y="917696"/>
          <a:ext cx="6191250" cy="3356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8EE9B11-3301-462E-90F9-47214C79AAC1}">
      <dsp:nvSpPr>
        <dsp:cNvPr id="0" name=""/>
        <dsp:cNvSpPr/>
      </dsp:nvSpPr>
      <dsp:spPr>
        <a:xfrm>
          <a:off x="303214" y="516359"/>
          <a:ext cx="5886409" cy="65225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0" rIns="163810"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La convocation du conseil communal est faite régulièrement et toutes les pièces relatives à ce point sont mises à la disposition des membres du cosneil communal conformément à l'article L 1122-13 du CDLD (y compris l'attestation de couverture du coût-vérité délivré par la Direction Sols et Déchets du SPW Environement </a:t>
          </a:r>
        </a:p>
      </dsp:txBody>
      <dsp:txXfrm>
        <a:off x="335055" y="548200"/>
        <a:ext cx="5822727" cy="588574"/>
      </dsp:txXfrm>
    </dsp:sp>
    <dsp:sp modelId="{F61E5090-8EE9-4F22-906D-697656474CEE}">
      <dsp:nvSpPr>
        <dsp:cNvPr id="0" name=""/>
        <dsp:cNvSpPr/>
      </dsp:nvSpPr>
      <dsp:spPr>
        <a:xfrm>
          <a:off x="0" y="1310559"/>
          <a:ext cx="6191250" cy="4284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6C838AF-43BA-47C3-88EB-67C2B7537856}">
      <dsp:nvSpPr>
        <dsp:cNvPr id="0" name=""/>
        <dsp:cNvSpPr/>
      </dsp:nvSpPr>
      <dsp:spPr>
        <a:xfrm>
          <a:off x="294749" y="1345100"/>
          <a:ext cx="5894983" cy="2163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0" rIns="163810"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Le règlement est adopté par le conseil communal</a:t>
          </a:r>
        </a:p>
      </dsp:txBody>
      <dsp:txXfrm>
        <a:off x="305312" y="1355663"/>
        <a:ext cx="5873857" cy="1952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34FE6-967A-4C6C-8292-A831BD71FCDE}">
      <dsp:nvSpPr>
        <dsp:cNvPr id="0" name=""/>
        <dsp:cNvSpPr/>
      </dsp:nvSpPr>
      <dsp:spPr>
        <a:xfrm>
          <a:off x="0" y="532597"/>
          <a:ext cx="6200775" cy="418993"/>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D876C69-3B85-4D31-BCC1-BFCD9DEBF2C4}">
      <dsp:nvSpPr>
        <dsp:cNvPr id="0" name=""/>
        <dsp:cNvSpPr/>
      </dsp:nvSpPr>
      <dsp:spPr>
        <a:xfrm>
          <a:off x="288879" y="31813"/>
          <a:ext cx="5911895" cy="88454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62" tIns="0" rIns="164062"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Le règlement - auquel est joint la pièce justificative (attestation du coût-vérité) - est envoyé dans les 15 jopurs de son adoption par le conseil communal au gouvernement wallon conformément à l'article L 3132-1 du CDLD. </a:t>
          </a:r>
        </a:p>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La date ultime de transmission est fixée au 15 novembre de l'exercice précédent l'exercice d'imposition.</a:t>
          </a:r>
        </a:p>
      </dsp:txBody>
      <dsp:txXfrm>
        <a:off x="332059" y="74993"/>
        <a:ext cx="5825535" cy="798183"/>
      </dsp:txXfrm>
    </dsp:sp>
    <dsp:sp modelId="{9FBA82D1-DA83-41FB-A8B3-BA338FF33C91}">
      <dsp:nvSpPr>
        <dsp:cNvPr id="0" name=""/>
        <dsp:cNvSpPr/>
      </dsp:nvSpPr>
      <dsp:spPr>
        <a:xfrm>
          <a:off x="0" y="1362787"/>
          <a:ext cx="6200775" cy="42878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8EE9B11-3301-462E-90F9-47214C79AAC1}">
      <dsp:nvSpPr>
        <dsp:cNvPr id="0" name=""/>
        <dsp:cNvSpPr/>
      </dsp:nvSpPr>
      <dsp:spPr>
        <a:xfrm>
          <a:off x="303074" y="1091990"/>
          <a:ext cx="5892959" cy="65455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62" tIns="0" rIns="164062"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Une fois approuvé par les autorités de tutelle, le règlement est publié conformément aux articles L 1133-1 et -2 du CDLD.</a:t>
          </a:r>
        </a:p>
      </dsp:txBody>
      <dsp:txXfrm>
        <a:off x="335027" y="1123943"/>
        <a:ext cx="5829053" cy="590650"/>
      </dsp:txXfrm>
    </dsp:sp>
    <dsp:sp modelId="{F61E5090-8EE9-4F22-906D-697656474CEE}">
      <dsp:nvSpPr>
        <dsp:cNvPr id="0" name=""/>
        <dsp:cNvSpPr/>
      </dsp:nvSpPr>
      <dsp:spPr>
        <a:xfrm>
          <a:off x="0" y="2315729"/>
          <a:ext cx="6200775" cy="519481"/>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6C838AF-43BA-47C3-88EB-67C2B7537856}">
      <dsp:nvSpPr>
        <dsp:cNvPr id="0" name=""/>
        <dsp:cNvSpPr/>
      </dsp:nvSpPr>
      <dsp:spPr>
        <a:xfrm>
          <a:off x="296722" y="1863936"/>
          <a:ext cx="5904052" cy="76752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62" tIns="0" rIns="164062"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Le règlement entre en vigueur au plus tôt le 5ème jour qui suit celui de sa publication. Il peut entrer en vigueur plus tôt mais uniquement à la condition que cela soit prévu expressément dans le règlement.</a:t>
          </a:r>
        </a:p>
      </dsp:txBody>
      <dsp:txXfrm>
        <a:off x="334189" y="1901403"/>
        <a:ext cx="5829118" cy="69258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E0D2-83BD-47D0-8672-12D49BF5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81256</Words>
  <Characters>446912</Characters>
  <Application>Microsoft Office Word</Application>
  <DocSecurity>0</DocSecurity>
  <Lines>3724</Lines>
  <Paragraphs>1054</Paragraphs>
  <ScaleCrop>false</ScaleCrop>
  <HeadingPairs>
    <vt:vector size="2" baseType="variant">
      <vt:variant>
        <vt:lpstr>Titre</vt:lpstr>
      </vt:variant>
      <vt:variant>
        <vt:i4>1</vt:i4>
      </vt:variant>
    </vt:vector>
  </HeadingPairs>
  <TitlesOfParts>
    <vt:vector size="1" baseType="lpstr">
      <vt:lpstr>Circulaire relative à l’élaboration des budgets des communes de la Région walloNne</vt:lpstr>
    </vt:vector>
  </TitlesOfParts>
  <Company/>
  <LinksUpToDate>false</LinksUpToDate>
  <CharactersWithSpaces>527114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relative à l’élaboration des budgets des communes de la Région walloNne</dc:title>
  <dc:subject/>
  <dc:creator>Année 2023</dc:creator>
  <cp:lastModifiedBy>Eric Henry</cp:lastModifiedBy>
  <cp:revision>6</cp:revision>
  <cp:lastPrinted>2020-01-31T10:37:00Z</cp:lastPrinted>
  <dcterms:created xsi:type="dcterms:W3CDTF">2022-07-18T12:16:00Z</dcterms:created>
  <dcterms:modified xsi:type="dcterms:W3CDTF">2022-07-19T09:46:00Z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2021-07-13T14:21:05Z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28f0d794-50ac-4d9c-9d86-1d7ba008a0de</vt:lpwstr>
  </property>
  <property fmtid="{D5CDD505-2E9C-101B-9397-08002B2CF9AE}" pid="8" name="MSIP_Label_97a477d1-147d-4e34-b5e3-7b26d2f44870_ContentBits">
    <vt:lpwstr>0</vt:lpwstr>
  </property>
</Properties>
</file>