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9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8.95pt;height:18.5pt;mso-position-horizontal-relative:char;mso-position-vertical-relative:line" type="#_x0000_t202" id="docshape1" filled="false" stroked="true" strokeweight=".479965pt" strokecolor="#000000">
            <w10:anchorlock/>
            <v:textbox inset="0,0,0,0">
              <w:txbxContent>
                <w:p>
                  <w:pPr>
                    <w:spacing w:before="19"/>
                    <w:ind w:left="2845" w:right="2845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OPERATION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MEBAR</w:t>
                  </w:r>
                  <w:r>
                    <w:rPr>
                      <w:b/>
                      <w:spacing w:val="-5"/>
                      <w:sz w:val="28"/>
                    </w:rPr>
                    <w:t> II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0"/>
        <w:ind w:left="543" w:right="544"/>
        <w:jc w:val="center"/>
      </w:pPr>
      <w:r>
        <w:rPr/>
        <w:t>ANNEXE II à l’Arrêté du Gouvernement wallon du 23 décembre 1998 relatif à l’octroi de subventions</w:t>
      </w:r>
      <w:r>
        <w:rPr>
          <w:spacing w:val="-3"/>
        </w:rPr>
        <w:t> </w:t>
      </w:r>
      <w:r>
        <w:rPr/>
        <w:t>aux</w:t>
      </w:r>
      <w:r>
        <w:rPr>
          <w:spacing w:val="-3"/>
        </w:rPr>
        <w:t> </w:t>
      </w:r>
      <w:r>
        <w:rPr/>
        <w:t>ménages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revenu</w:t>
      </w:r>
      <w:r>
        <w:rPr>
          <w:spacing w:val="-3"/>
        </w:rPr>
        <w:t> </w:t>
      </w:r>
      <w:r>
        <w:rPr/>
        <w:t>modeste</w:t>
      </w:r>
      <w:r>
        <w:rPr>
          <w:spacing w:val="-3"/>
        </w:rPr>
        <w:t> </w:t>
      </w:r>
      <w:r>
        <w:rPr/>
        <w:t>pour</w:t>
      </w:r>
      <w:r>
        <w:rPr>
          <w:spacing w:val="-6"/>
        </w:rPr>
        <w:t> </w:t>
      </w:r>
      <w:r>
        <w:rPr/>
        <w:t>l’utilisation</w:t>
      </w:r>
      <w:r>
        <w:rPr>
          <w:spacing w:val="-3"/>
        </w:rPr>
        <w:t> </w:t>
      </w:r>
      <w:r>
        <w:rPr/>
        <w:t>rationnelle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efficiente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l’énergie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543" w:right="543"/>
        <w:jc w:val="center"/>
      </w:pPr>
      <w:r>
        <w:rPr>
          <w:u w:val="single"/>
        </w:rPr>
        <w:t>DOCUMENT A TRANSMETTRE</w:t>
      </w:r>
      <w:r>
        <w:rPr>
          <w:spacing w:val="-2"/>
          <w:u w:val="single"/>
        </w:rPr>
        <w:t> </w:t>
      </w:r>
      <w:r>
        <w:rPr>
          <w:u w:val="single"/>
        </w:rPr>
        <w:t>A L'ADMINISTRATION PAR</w:t>
      </w:r>
      <w:r>
        <w:rPr>
          <w:spacing w:val="-3"/>
          <w:u w:val="single"/>
        </w:rPr>
        <w:t> </w:t>
      </w:r>
      <w:r>
        <w:rPr>
          <w:u w:val="single"/>
        </w:rPr>
        <w:t>LE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C.P.A.S.</w:t>
      </w:r>
    </w:p>
    <w:p>
      <w:pPr>
        <w:pStyle w:val="BodyText"/>
        <w:spacing w:before="2"/>
        <w:rPr>
          <w:b/>
          <w:sz w:val="22"/>
        </w:rPr>
      </w:pPr>
      <w:r>
        <w:rPr/>
        <w:pict>
          <v:shape style="position:absolute;margin-left:58.200001pt;margin-top:14.206364pt;width:478.95pt;height:16.2pt;mso-position-horizontal-relative:page;mso-position-vertical-relative:paragraph;z-index:-15728128;mso-wrap-distance-left:0;mso-wrap-distance-right:0" type="#_x0000_t202" id="docshape2" filled="false" stroked="true" strokeweight=".479965pt" strokecolor="#000000">
            <v:textbox inset="0,0,0,0">
              <w:txbxContent>
                <w:p>
                  <w:pPr>
                    <w:spacing w:before="18"/>
                    <w:ind w:left="2845" w:right="284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MENAGE </w:t>
                  </w:r>
                  <w:r>
                    <w:rPr>
                      <w:b/>
                      <w:spacing w:val="-2"/>
                      <w:sz w:val="24"/>
                    </w:rPr>
                    <w:t>BENEFICIAIRE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40" w:lineRule="auto" w:before="90" w:after="0"/>
        <w:ind w:left="896" w:right="0" w:hanging="361"/>
        <w:jc w:val="left"/>
        <w:rPr>
          <w:b/>
          <w:sz w:val="24"/>
        </w:rPr>
      </w:pPr>
      <w:r>
        <w:rPr>
          <w:b/>
          <w:sz w:val="24"/>
          <w:u w:val="single"/>
        </w:rPr>
        <w:t>COORDONNEES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DU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DEMANDEUR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536" w:right="905"/>
        <w:jc w:val="both"/>
      </w:pPr>
      <w:r>
        <w:rPr/>
        <w:t>Nom</w:t>
      </w:r>
      <w:r>
        <w:rPr>
          <w:spacing w:val="-6"/>
        </w:rPr>
        <w:t> </w:t>
      </w:r>
      <w:r>
        <w:rPr/>
        <w:t>:……………………………………….</w:t>
      </w:r>
      <w:r>
        <w:rPr>
          <w:spacing w:val="40"/>
        </w:rPr>
        <w:t> </w:t>
      </w:r>
      <w:r>
        <w:rPr/>
        <w:t>Prénom</w:t>
      </w:r>
      <w:r>
        <w:rPr>
          <w:spacing w:val="-6"/>
        </w:rPr>
        <w:t> </w:t>
      </w:r>
      <w:r>
        <w:rPr/>
        <w:t>:……………………………………… Rue : ……………………………………….</w:t>
      </w:r>
    </w:p>
    <w:p>
      <w:pPr>
        <w:pStyle w:val="BodyText"/>
        <w:spacing w:line="480" w:lineRule="auto"/>
        <w:ind w:left="536" w:right="936"/>
        <w:jc w:val="both"/>
      </w:pPr>
      <w:r>
        <w:rPr/>
        <w:t>CP:……………………………………….</w:t>
      </w:r>
      <w:r>
        <w:rPr>
          <w:spacing w:val="80"/>
        </w:rPr>
        <w:t> </w:t>
      </w:r>
      <w:r>
        <w:rPr/>
        <w:t>Localité</w:t>
      </w:r>
      <w:r>
        <w:rPr>
          <w:spacing w:val="-7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…………………………………….. Date de naissance</w:t>
      </w:r>
      <w:r>
        <w:rPr>
          <w:spacing w:val="-2"/>
        </w:rPr>
        <w:t> </w:t>
      </w:r>
      <w:r>
        <w:rPr/>
        <w:t>………………………..</w:t>
      </w:r>
      <w:r>
        <w:rPr>
          <w:spacing w:val="80"/>
        </w:rPr>
        <w:t>  </w:t>
      </w:r>
      <w:r>
        <w:rPr/>
        <w:t>Num RN : …………………………………… Tel :……………………………………..</w:t>
      </w:r>
    </w:p>
    <w:p>
      <w:pPr>
        <w:pStyle w:val="BodyText"/>
        <w:ind w:left="536"/>
        <w:jc w:val="both"/>
      </w:pPr>
      <w:r>
        <w:rPr/>
        <w:t>Email : </w:t>
      </w:r>
      <w:r>
        <w:rPr>
          <w:spacing w:val="-2"/>
        </w:rPr>
        <w:t>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777" w:val="left" w:leader="none"/>
        </w:tabs>
        <w:spacing w:line="240" w:lineRule="auto" w:before="0" w:after="0"/>
        <w:ind w:left="776" w:right="0" w:hanging="241"/>
        <w:jc w:val="left"/>
      </w:pPr>
      <w:r>
        <w:rPr>
          <w:u w:val="single"/>
        </w:rPr>
        <w:t> COMPOSITION</w:t>
      </w:r>
      <w:r>
        <w:rPr>
          <w:spacing w:val="1"/>
          <w:u w:val="single"/>
        </w:rPr>
        <w:t> </w:t>
      </w:r>
      <w:r>
        <w:rPr>
          <w:u w:val="single"/>
        </w:rPr>
        <w:t>DU</w:t>
      </w:r>
      <w:r>
        <w:rPr>
          <w:spacing w:val="-2"/>
          <w:u w:val="single"/>
        </w:rPr>
        <w:t> MENAGE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536" w:right="537"/>
        <w:jc w:val="both"/>
      </w:pPr>
      <w:r>
        <w:rPr/>
        <w:t>Par </w:t>
      </w:r>
      <w:r>
        <w:rPr>
          <w:b/>
        </w:rPr>
        <w:t>ménage</w:t>
      </w:r>
      <w:r>
        <w:rPr/>
        <w:t>, on entend soit la personne vivant seule soit l'ensemble des personnes unies ou </w:t>
      </w:r>
      <w:r>
        <w:rPr/>
        <w:t>non par des liens familiaux, résidant au même endroit, qui ont une vie commune au niveau notamment de la gestion budgétaire ou de la consommation alimentaire.</w:t>
      </w: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58.200001pt;margin-top:14.229575pt;width:478.95pt;height:50.65pt;mso-position-horizontal-relative:page;mso-position-vertical-relative:paragraph;z-index:-15727616;mso-wrap-distance-left:0;mso-wrap-distance-right:0" type="#_x0000_t202" id="docshape3" filled="false" stroked="true" strokeweight=".479981pt" strokecolor="#000000">
            <v:textbox inset="0,0,0,0">
              <w:txbxContent>
                <w:p>
                  <w:pPr>
                    <w:spacing w:before="19"/>
                    <w:ind w:left="108" w:right="103" w:firstLine="0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Une </w:t>
                  </w:r>
                  <w:r>
                    <w:rPr>
                      <w:b/>
                      <w:sz w:val="28"/>
                      <w:u w:val="single"/>
                    </w:rPr>
                    <w:t>composition de ménage</w:t>
                  </w:r>
                  <w:r>
                    <w:rPr>
                      <w:b/>
                      <w:sz w:val="28"/>
                    </w:rPr>
                    <w:t> délivrée par la commune ou </w:t>
                  </w:r>
                  <w:r>
                    <w:rPr>
                      <w:b/>
                      <w:sz w:val="28"/>
                      <w:u w:val="single"/>
                    </w:rPr>
                    <w:t>une attestation sur</w:t>
                  </w:r>
                  <w:r>
                    <w:rPr>
                      <w:b/>
                      <w:sz w:val="28"/>
                    </w:rPr>
                    <w:t> </w:t>
                  </w:r>
                  <w:r>
                    <w:rPr>
                      <w:b/>
                      <w:sz w:val="28"/>
                      <w:u w:val="single"/>
                    </w:rPr>
                    <w:t>l'honneur</w:t>
                  </w:r>
                  <w:r>
                    <w:rPr>
                      <w:b/>
                      <w:sz w:val="28"/>
                    </w:rPr>
                    <w:t> approuvée par le C.P.A.S</w:t>
                  </w:r>
                  <w:r>
                    <w:rPr>
                      <w:sz w:val="28"/>
                      <w:u w:val="single"/>
                    </w:rPr>
                    <w:t> </w:t>
                  </w:r>
                  <w:r>
                    <w:rPr>
                      <w:b/>
                      <w:sz w:val="28"/>
                      <w:u w:val="single"/>
                    </w:rPr>
                    <w:t>à l’adresse des travaux</w:t>
                  </w:r>
                  <w:r>
                    <w:rPr>
                      <w:b/>
                      <w:sz w:val="28"/>
                    </w:rPr>
                    <w:t> est jointe au présent document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777" w:val="left" w:leader="none"/>
        </w:tabs>
        <w:spacing w:line="240" w:lineRule="auto" w:before="90" w:after="0"/>
        <w:ind w:left="776" w:right="0" w:hanging="241"/>
        <w:jc w:val="left"/>
      </w:pPr>
      <w:r>
        <w:rPr>
          <w:u w:val="single"/>
        </w:rPr>
        <w:t> QUALITE</w:t>
      </w:r>
      <w:r>
        <w:rPr>
          <w:spacing w:val="2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BENEFICIAIRE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1010" w:val="left" w:leader="none"/>
        </w:tabs>
        <w:spacing w:before="90"/>
        <w:ind w:left="536" w:right="0" w:firstLine="0"/>
        <w:jc w:val="left"/>
        <w:rPr>
          <w:sz w:val="24"/>
        </w:rPr>
      </w:pPr>
      <w:r>
        <w:rPr>
          <w:spacing w:val="-10"/>
          <w:sz w:val="24"/>
        </w:rPr>
        <w:t>O</w:t>
      </w:r>
      <w:r>
        <w:rPr>
          <w:sz w:val="24"/>
        </w:rPr>
        <w:tab/>
        <w:t>Le</w:t>
      </w:r>
      <w:r>
        <w:rPr>
          <w:spacing w:val="-3"/>
          <w:sz w:val="24"/>
        </w:rPr>
        <w:t> </w:t>
      </w:r>
      <w:r>
        <w:rPr>
          <w:sz w:val="24"/>
        </w:rPr>
        <w:t>demandeur est</w:t>
      </w:r>
      <w:r>
        <w:rPr>
          <w:spacing w:val="-1"/>
          <w:sz w:val="24"/>
        </w:rPr>
        <w:t> </w:t>
      </w:r>
      <w:r>
        <w:rPr>
          <w:b/>
          <w:sz w:val="24"/>
          <w:u w:val="single"/>
        </w:rPr>
        <w:t>propriétaire</w:t>
      </w:r>
      <w:r>
        <w:rPr>
          <w:b/>
          <w:spacing w:val="-2"/>
          <w:sz w:val="24"/>
          <w:u w:val="single"/>
        </w:rPr>
        <w:t> </w:t>
      </w:r>
      <w:r>
        <w:rPr>
          <w:sz w:val="24"/>
        </w:rPr>
        <w:t>de son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logement</w:t>
      </w:r>
    </w:p>
    <w:p>
      <w:pPr>
        <w:pStyle w:val="BodyText"/>
        <w:spacing w:before="2"/>
        <w:rPr>
          <w:sz w:val="16"/>
        </w:rPr>
      </w:pPr>
    </w:p>
    <w:p>
      <w:pPr>
        <w:tabs>
          <w:tab w:pos="1010" w:val="left" w:leader="none"/>
        </w:tabs>
        <w:spacing w:before="90"/>
        <w:ind w:left="536" w:right="0" w:firstLine="0"/>
        <w:jc w:val="left"/>
        <w:rPr>
          <w:sz w:val="24"/>
        </w:rPr>
      </w:pPr>
      <w:r>
        <w:rPr>
          <w:spacing w:val="-10"/>
          <w:sz w:val="24"/>
        </w:rPr>
        <w:t>O</w:t>
      </w:r>
      <w:r>
        <w:rPr>
          <w:sz w:val="24"/>
        </w:rPr>
        <w:tab/>
        <w:t>Le</w:t>
      </w:r>
      <w:r>
        <w:rPr>
          <w:spacing w:val="-3"/>
          <w:sz w:val="24"/>
        </w:rPr>
        <w:t> </w:t>
      </w:r>
      <w:r>
        <w:rPr>
          <w:sz w:val="24"/>
        </w:rPr>
        <w:t>demandeur</w:t>
      </w:r>
      <w:r>
        <w:rPr>
          <w:spacing w:val="1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b/>
          <w:sz w:val="24"/>
          <w:u w:val="single"/>
        </w:rPr>
        <w:t>locataire</w:t>
      </w:r>
      <w:r>
        <w:rPr>
          <w:b/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logement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36"/>
      </w:pPr>
      <w:r>
        <w:rPr/>
        <w:t>Si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demandeur</w:t>
      </w:r>
      <w:r>
        <w:rPr>
          <w:spacing w:val="-1"/>
        </w:rPr>
        <w:t> </w:t>
      </w:r>
      <w:r>
        <w:rPr/>
        <w:t>est </w:t>
      </w:r>
      <w:r>
        <w:rPr>
          <w:b/>
        </w:rPr>
        <w:t>locataire</w:t>
      </w:r>
      <w:r>
        <w:rPr/>
        <w:t>,</w:t>
      </w:r>
      <w:r>
        <w:rPr>
          <w:spacing w:val="-1"/>
        </w:rPr>
        <w:t> </w:t>
      </w:r>
      <w:r>
        <w:rPr/>
        <w:t>veuillez</w:t>
      </w:r>
      <w:r>
        <w:rPr>
          <w:spacing w:val="-3"/>
        </w:rPr>
        <w:t> </w:t>
      </w:r>
      <w:r>
        <w:rPr/>
        <w:t>donner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coordonnées</w:t>
      </w:r>
      <w:r>
        <w:rPr>
          <w:spacing w:val="-3"/>
        </w:rPr>
        <w:t> </w:t>
      </w:r>
      <w:r>
        <w:rPr/>
        <w:t>du </w:t>
      </w:r>
      <w:r>
        <w:rPr>
          <w:spacing w:val="-2"/>
        </w:rPr>
        <w:t>propriétaire: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96" w:val="left" w:leader="none"/>
          <w:tab w:pos="897" w:val="left" w:leader="none"/>
        </w:tabs>
        <w:spacing w:line="240" w:lineRule="auto" w:before="0" w:after="0"/>
        <w:ind w:left="896" w:right="0" w:hanging="361"/>
        <w:jc w:val="left"/>
        <w:rPr>
          <w:sz w:val="24"/>
        </w:rPr>
      </w:pPr>
      <w:r>
        <w:rPr>
          <w:b/>
          <w:spacing w:val="-2"/>
          <w:sz w:val="24"/>
        </w:rPr>
        <w:t>Nom</w:t>
      </w:r>
      <w:r>
        <w:rPr>
          <w:spacing w:val="-2"/>
          <w:sz w:val="24"/>
        </w:rPr>
        <w:t>……………………………………</w:t>
      </w:r>
      <w:r>
        <w:rPr>
          <w:b/>
          <w:spacing w:val="-2"/>
          <w:sz w:val="24"/>
        </w:rPr>
        <w:t>prénom</w:t>
      </w:r>
      <w:r>
        <w:rPr>
          <w:spacing w:val="-2"/>
          <w:sz w:val="24"/>
        </w:rPr>
        <w:t>:…………………………………………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96" w:val="left" w:leader="none"/>
          <w:tab w:pos="897" w:val="left" w:leader="none"/>
        </w:tabs>
        <w:spacing w:line="240" w:lineRule="auto" w:before="0" w:after="0"/>
        <w:ind w:left="896" w:right="0" w:hanging="361"/>
        <w:jc w:val="left"/>
        <w:rPr>
          <w:sz w:val="24"/>
        </w:rPr>
      </w:pPr>
      <w:r>
        <w:rPr>
          <w:b/>
          <w:sz w:val="24"/>
        </w:rPr>
        <w:t>Adresse</w:t>
      </w:r>
      <w:r>
        <w:rPr>
          <w:b/>
          <w:spacing w:val="-3"/>
          <w:sz w:val="24"/>
        </w:rPr>
        <w:t> </w:t>
      </w:r>
      <w:r>
        <w:rPr>
          <w:spacing w:val="-2"/>
          <w:sz w:val="24"/>
        </w:rPr>
        <w:t>:………………………………………………………………………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0" w:right="2087" w:firstLine="0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</w:tabs>
        <w:spacing w:line="240" w:lineRule="auto" w:before="0" w:after="0"/>
        <w:ind w:left="360" w:right="2068" w:hanging="360"/>
        <w:jc w:val="right"/>
        <w:rPr>
          <w:sz w:val="24"/>
        </w:rPr>
      </w:pPr>
      <w:r>
        <w:rPr>
          <w:b/>
          <w:sz w:val="24"/>
        </w:rPr>
        <w:t>Tel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sz w:val="24"/>
        </w:rPr>
        <w:t>:……………………………..</w:t>
      </w:r>
      <w:r>
        <w:rPr>
          <w:b/>
          <w:sz w:val="24"/>
        </w:rPr>
        <w:t>Email</w:t>
      </w:r>
      <w:r>
        <w:rPr>
          <w:b/>
          <w:spacing w:val="-1"/>
          <w:sz w:val="24"/>
        </w:rPr>
        <w:t> </w:t>
      </w:r>
      <w:r>
        <w:rPr>
          <w:sz w:val="24"/>
        </w:rPr>
        <w:t>: </w:t>
      </w:r>
      <w:r>
        <w:rPr>
          <w:spacing w:val="-2"/>
          <w:sz w:val="24"/>
        </w:rPr>
        <w:t>……………………………………</w:t>
      </w:r>
    </w:p>
    <w:p>
      <w:pPr>
        <w:spacing w:after="0" w:line="240" w:lineRule="auto"/>
        <w:jc w:val="right"/>
        <w:rPr>
          <w:sz w:val="24"/>
        </w:rPr>
        <w:sectPr>
          <w:type w:val="continuous"/>
          <w:pgSz w:w="11910" w:h="16840"/>
          <w:pgMar w:top="840" w:bottom="280" w:left="740" w:right="740"/>
        </w:sectPr>
      </w:pPr>
    </w:p>
    <w:p>
      <w:pPr>
        <w:spacing w:line="252" w:lineRule="exact" w:before="72"/>
        <w:ind w:left="536" w:right="0" w:firstLine="0"/>
        <w:jc w:val="both"/>
        <w:rPr>
          <w:sz w:val="22"/>
        </w:rPr>
      </w:pPr>
      <w:r>
        <w:rPr>
          <w:sz w:val="22"/>
        </w:rPr>
        <w:t>Remarques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ListParagraph"/>
        <w:numPr>
          <w:ilvl w:val="0"/>
          <w:numId w:val="2"/>
        </w:numPr>
        <w:tabs>
          <w:tab w:pos="897" w:val="left" w:leader="none"/>
        </w:tabs>
        <w:spacing w:line="240" w:lineRule="auto" w:before="0" w:after="0"/>
        <w:ind w:left="896" w:right="531" w:hanging="360"/>
        <w:jc w:val="both"/>
        <w:rPr>
          <w:sz w:val="22"/>
        </w:rPr>
      </w:pPr>
      <w:r>
        <w:rPr>
          <w:sz w:val="22"/>
        </w:rPr>
        <w:t>Lorsque le bénéficiaire occupe un logement social, les seuls travaux autorisés sont ceux repris au</w:t>
      </w:r>
      <w:r>
        <w:rPr>
          <w:spacing w:val="40"/>
          <w:sz w:val="22"/>
        </w:rPr>
        <w:t> </w:t>
      </w:r>
      <w:r>
        <w:rPr>
          <w:sz w:val="22"/>
        </w:rPr>
        <w:t>point B.2.1) Poêlerie de l’annexe 1. Ces travaux ne pourront être réalisés que si le logement n'est pas équipé d'un système de chauffage initial.</w:t>
      </w:r>
    </w:p>
    <w:p>
      <w:pPr>
        <w:pStyle w:val="ListParagraph"/>
        <w:numPr>
          <w:ilvl w:val="0"/>
          <w:numId w:val="2"/>
        </w:numPr>
        <w:tabs>
          <w:tab w:pos="897" w:val="left" w:leader="none"/>
        </w:tabs>
        <w:spacing w:line="240" w:lineRule="auto" w:before="0" w:after="0"/>
        <w:ind w:left="896" w:right="533" w:hanging="360"/>
        <w:jc w:val="both"/>
        <w:rPr>
          <w:sz w:val="22"/>
        </w:rPr>
      </w:pPr>
      <w:r>
        <w:rPr>
          <w:sz w:val="22"/>
        </w:rPr>
        <w:t>Lorsque le locataire occupe une caravane ou un chalet situé dans un camping ou un parc résidentiel</w:t>
      </w:r>
      <w:r>
        <w:rPr>
          <w:spacing w:val="80"/>
          <w:sz w:val="22"/>
        </w:rPr>
        <w:t> </w:t>
      </w:r>
      <w:r>
        <w:rPr>
          <w:sz w:val="22"/>
        </w:rPr>
        <w:t>de week-end, les seuls travaux autorisés sont ceux repris au point B.2.1) Poêlerie de l'annexe1</w:t>
      </w:r>
    </w:p>
    <w:p>
      <w:pPr>
        <w:pStyle w:val="ListParagraph"/>
        <w:numPr>
          <w:ilvl w:val="0"/>
          <w:numId w:val="2"/>
        </w:numPr>
        <w:tabs>
          <w:tab w:pos="897" w:val="left" w:leader="none"/>
        </w:tabs>
        <w:spacing w:line="240" w:lineRule="auto" w:before="0" w:after="0"/>
        <w:ind w:left="896" w:right="531" w:hanging="360"/>
        <w:jc w:val="both"/>
        <w:rPr>
          <w:sz w:val="22"/>
        </w:rPr>
      </w:pPr>
      <w:r>
        <w:rPr>
          <w:sz w:val="22"/>
        </w:rPr>
        <w:t>Lorsque le bénéficiaire occupe un logement public, les seuls travaux autorisés sont ceux repris au point B.2.1) Poêlerie de l'annexe 1.</w:t>
      </w:r>
    </w:p>
    <w:p>
      <w:pPr>
        <w:pStyle w:val="ListParagraph"/>
        <w:numPr>
          <w:ilvl w:val="0"/>
          <w:numId w:val="2"/>
        </w:numPr>
        <w:tabs>
          <w:tab w:pos="897" w:val="left" w:leader="none"/>
        </w:tabs>
        <w:spacing w:line="252" w:lineRule="exact" w:before="0" w:after="0"/>
        <w:ind w:left="896" w:right="0" w:hanging="361"/>
        <w:jc w:val="both"/>
        <w:rPr>
          <w:sz w:val="22"/>
        </w:rPr>
      </w:pP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subvention</w:t>
      </w:r>
      <w:r>
        <w:rPr>
          <w:spacing w:val="4"/>
          <w:sz w:val="22"/>
        </w:rPr>
        <w:t> </w:t>
      </w:r>
      <w:r>
        <w:rPr>
          <w:sz w:val="22"/>
        </w:rPr>
        <w:t>ne</w:t>
      </w:r>
      <w:r>
        <w:rPr>
          <w:spacing w:val="4"/>
          <w:sz w:val="22"/>
        </w:rPr>
        <w:t> </w:t>
      </w:r>
      <w:r>
        <w:rPr>
          <w:sz w:val="22"/>
        </w:rPr>
        <w:t>peut</w:t>
      </w:r>
      <w:r>
        <w:rPr>
          <w:spacing w:val="7"/>
          <w:sz w:val="22"/>
        </w:rPr>
        <w:t> </w:t>
      </w:r>
      <w:r>
        <w:rPr>
          <w:sz w:val="22"/>
        </w:rPr>
        <w:t>être</w:t>
      </w:r>
      <w:r>
        <w:rPr>
          <w:spacing w:val="4"/>
          <w:sz w:val="22"/>
        </w:rPr>
        <w:t> </w:t>
      </w:r>
      <w:r>
        <w:rPr>
          <w:sz w:val="22"/>
        </w:rPr>
        <w:t>affectée</w:t>
      </w:r>
      <w:r>
        <w:rPr>
          <w:spacing w:val="4"/>
          <w:sz w:val="22"/>
        </w:rPr>
        <w:t> </w:t>
      </w:r>
      <w:r>
        <w:rPr>
          <w:sz w:val="22"/>
        </w:rPr>
        <w:t>à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réalisation</w:t>
      </w:r>
      <w:r>
        <w:rPr>
          <w:spacing w:val="4"/>
          <w:sz w:val="22"/>
        </w:rPr>
        <w:t> </w:t>
      </w:r>
      <w:r>
        <w:rPr>
          <w:sz w:val="22"/>
        </w:rPr>
        <w:t>des</w:t>
      </w:r>
      <w:r>
        <w:rPr>
          <w:spacing w:val="5"/>
          <w:sz w:val="22"/>
        </w:rPr>
        <w:t> </w:t>
      </w:r>
      <w:r>
        <w:rPr>
          <w:sz w:val="22"/>
        </w:rPr>
        <w:t>travaux</w:t>
      </w:r>
      <w:r>
        <w:rPr>
          <w:spacing w:val="7"/>
          <w:sz w:val="22"/>
        </w:rPr>
        <w:t> </w:t>
      </w:r>
      <w:r>
        <w:rPr>
          <w:sz w:val="22"/>
        </w:rPr>
        <w:t>repris</w:t>
      </w:r>
      <w:r>
        <w:rPr>
          <w:spacing w:val="7"/>
          <w:sz w:val="22"/>
        </w:rPr>
        <w:t> </w:t>
      </w:r>
      <w:r>
        <w:rPr>
          <w:sz w:val="22"/>
        </w:rPr>
        <w:t>au</w:t>
      </w:r>
      <w:r>
        <w:rPr>
          <w:spacing w:val="4"/>
          <w:sz w:val="22"/>
        </w:rPr>
        <w:t> </w:t>
      </w:r>
      <w:r>
        <w:rPr>
          <w:sz w:val="22"/>
        </w:rPr>
        <w:t>points</w:t>
      </w:r>
      <w:r>
        <w:rPr>
          <w:spacing w:val="4"/>
          <w:sz w:val="22"/>
        </w:rPr>
        <w:t> </w:t>
      </w:r>
      <w:r>
        <w:rPr>
          <w:sz w:val="22"/>
        </w:rPr>
        <w:t>B.1.,</w:t>
      </w:r>
      <w:r>
        <w:rPr>
          <w:spacing w:val="7"/>
          <w:sz w:val="22"/>
        </w:rPr>
        <w:t> </w:t>
      </w:r>
      <w:r>
        <w:rPr>
          <w:sz w:val="22"/>
        </w:rPr>
        <w:t>B.2.2),</w:t>
      </w:r>
      <w:r>
        <w:rPr>
          <w:spacing w:val="4"/>
          <w:sz w:val="22"/>
        </w:rPr>
        <w:t> </w:t>
      </w:r>
      <w:r>
        <w:rPr>
          <w:sz w:val="22"/>
        </w:rPr>
        <w:t>B.2.3)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et</w:t>
      </w:r>
    </w:p>
    <w:p>
      <w:pPr>
        <w:spacing w:before="0"/>
        <w:ind w:left="896" w:right="531" w:firstLine="0"/>
        <w:jc w:val="both"/>
        <w:rPr>
          <w:sz w:val="22"/>
        </w:rPr>
      </w:pPr>
      <w:r>
        <w:rPr>
          <w:sz w:val="22"/>
        </w:rPr>
        <w:t>B.2.4) de l'annexe 1 pour lesquels le bénéficiaire a reçu ou demandé endéans les cinq ans une des primes suivantes, prime à la construction, prime à la réhabilitation de logements améliorables en faveur de propriétaires et des locataires, prime à la restructuration de logements insalubres et à la création de logements à partir de bâtiments à usage non résidentiel.</w:t>
      </w: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58.200001pt;margin-top:14.252844pt;width:478.95pt;height:16.2pt;mso-position-horizontal-relative:page;mso-position-vertical-relative:paragraph;z-index:-15727104;mso-wrap-distance-left:0;mso-wrap-distance-right:0" type="#_x0000_t202" id="docshape4" filled="false" stroked="true" strokeweight=".479965pt" strokecolor="#000000">
            <v:textbox inset="0,0,0,0">
              <w:txbxContent>
                <w:p>
                  <w:pPr>
                    <w:spacing w:before="18"/>
                    <w:ind w:left="2845" w:right="284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RESSOURCES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ind w:left="536" w:right="534"/>
        <w:jc w:val="both"/>
      </w:pPr>
      <w:r>
        <w:rPr/>
        <w:t>Un document, comprenant les données mentionnées ci-après, est complété pour chacune des personnes qui perçoit un revenu.</w:t>
      </w:r>
    </w:p>
    <w:p>
      <w:pPr>
        <w:pStyle w:val="BodyText"/>
        <w:ind w:left="536" w:right="531"/>
        <w:jc w:val="both"/>
      </w:pPr>
      <w:r>
        <w:rPr/>
        <w:t>Conformément à l'article 1er, 4°, de l'arrêté, </w:t>
      </w:r>
      <w:r>
        <w:rPr>
          <w:u w:val="single"/>
        </w:rPr>
        <w:t>les allocations familiales</w:t>
      </w:r>
      <w:r>
        <w:rPr/>
        <w:t>, </w:t>
      </w:r>
      <w:r>
        <w:rPr>
          <w:u w:val="single"/>
        </w:rPr>
        <w:t>les pensions alimentaires</w:t>
      </w:r>
      <w:r>
        <w:rPr/>
        <w:t> versées en faveur des enfants, </w:t>
      </w:r>
      <w:r>
        <w:rPr>
          <w:u w:val="single"/>
        </w:rPr>
        <w:t>les revenus complémentaires immunisés dans le cadre de l'octroi</w:t>
      </w:r>
      <w:r>
        <w:rPr/>
        <w:t> </w:t>
      </w:r>
      <w:r>
        <w:rPr>
          <w:u w:val="single"/>
        </w:rPr>
        <w:t>du revenu d’intégration social</w:t>
      </w:r>
      <w:r>
        <w:rPr/>
        <w:t> définis par l'article 5, §2 , de la loi du 7 août 1974 instituant le droit à un minimum de moyens d'existence, les montants supplémentaires au montant du revenu d’intégration social perçus en</w:t>
      </w:r>
      <w:r>
        <w:rPr>
          <w:spacing w:val="-1"/>
        </w:rPr>
        <w:t> </w:t>
      </w:r>
      <w:r>
        <w:rPr/>
        <w:t>application des </w:t>
      </w:r>
      <w:r>
        <w:rPr>
          <w:u w:val="single"/>
        </w:rPr>
        <w:t>articles 60, §7 ou 61 </w:t>
      </w:r>
      <w:r>
        <w:rPr/>
        <w:t>de</w:t>
      </w:r>
      <w:r>
        <w:rPr>
          <w:spacing w:val="-1"/>
        </w:rPr>
        <w:t> </w:t>
      </w:r>
      <w:r>
        <w:rPr/>
        <w:t>la loi organique du 8 juillet 1976 des centres publics d'aide sociale et pour les personnes handicapées, le montant de </w:t>
      </w:r>
      <w:r>
        <w:rPr>
          <w:u w:val="single"/>
        </w:rPr>
        <w:t>l'allocation</w:t>
      </w:r>
      <w:r>
        <w:rPr>
          <w:spacing w:val="-3"/>
          <w:u w:val="single"/>
        </w:rPr>
        <w:t> </w:t>
      </w:r>
      <w:r>
        <w:rPr>
          <w:u w:val="single"/>
        </w:rPr>
        <w:t>d'intégration,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l’allocation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remplacement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revenus</w:t>
      </w:r>
      <w:r>
        <w:rPr>
          <w:spacing w:val="-3"/>
          <w:u w:val="single"/>
        </w:rPr>
        <w:t> </w:t>
      </w:r>
      <w:r>
        <w:rPr>
          <w:u w:val="single"/>
        </w:rPr>
        <w:t>ou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l'allocation</w:t>
      </w:r>
      <w:r>
        <w:rPr>
          <w:spacing w:val="-3"/>
          <w:u w:val="single"/>
        </w:rPr>
        <w:t> </w:t>
      </w:r>
      <w:r>
        <w:rPr>
          <w:u w:val="single"/>
        </w:rPr>
        <w:t>d'aide</w:t>
      </w:r>
      <w:r>
        <w:rPr>
          <w:spacing w:val="-3"/>
          <w:u w:val="single"/>
        </w:rPr>
        <w:t> </w:t>
      </w:r>
      <w:r>
        <w:rPr>
          <w:u w:val="single"/>
        </w:rPr>
        <w:t>aux</w:t>
      </w:r>
      <w:r>
        <w:rPr/>
        <w:t> </w:t>
      </w:r>
      <w:r>
        <w:rPr>
          <w:u w:val="single"/>
        </w:rPr>
        <w:t>personnes âgées</w:t>
      </w:r>
      <w:r>
        <w:rPr/>
        <w:t> conformément à la loi du 27 février 1987 relative aux allocations aux</w:t>
      </w:r>
      <w:r>
        <w:rPr>
          <w:spacing w:val="40"/>
        </w:rPr>
        <w:t> </w:t>
      </w:r>
      <w:r>
        <w:rPr/>
        <w:t>handicapés n'entrent pas en considération dans le calcul des ressources.</w:t>
      </w: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58.200001pt;margin-top:14.212907pt;width:478.95pt;height:34.450pt;mso-position-horizontal-relative:page;mso-position-vertical-relative:paragraph;z-index:-15726592;mso-wrap-distance-left:0;mso-wrap-distance-right:0" type="#_x0000_t202" id="docshape5" filled="false" stroked="true" strokeweight=".479965pt" strokecolor="#000000">
            <v:textbox inset="0,0,0,0">
              <w:txbxContent>
                <w:p>
                  <w:pPr>
                    <w:spacing w:before="17"/>
                    <w:ind w:left="108" w:right="192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Une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copie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  <w:u w:val="single"/>
                    </w:rPr>
                    <w:t>tous</w:t>
                  </w:r>
                  <w:r>
                    <w:rPr>
                      <w:b/>
                      <w:spacing w:val="-6"/>
                      <w:sz w:val="28"/>
                      <w:u w:val="single"/>
                    </w:rPr>
                    <w:t> </w:t>
                  </w:r>
                  <w:r>
                    <w:rPr>
                      <w:b/>
                      <w:sz w:val="28"/>
                      <w:u w:val="single"/>
                    </w:rPr>
                    <w:t>les</w:t>
                  </w:r>
                  <w:r>
                    <w:rPr>
                      <w:b/>
                      <w:spacing w:val="-3"/>
                      <w:sz w:val="28"/>
                      <w:u w:val="single"/>
                    </w:rPr>
                    <w:t> </w:t>
                  </w:r>
                  <w:r>
                    <w:rPr>
                      <w:b/>
                      <w:sz w:val="28"/>
                      <w:u w:val="single"/>
                    </w:rPr>
                    <w:t>documents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relatifs</w:t>
                  </w:r>
                  <w:r>
                    <w:rPr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aux revenus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doit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être</w:t>
                  </w:r>
                  <w:r>
                    <w:rPr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jointe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au présent formulaire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before="86"/>
        <w:ind w:left="536" w:right="0" w:firstLine="0"/>
        <w:jc w:val="left"/>
        <w:rPr>
          <w:b/>
          <w:sz w:val="32"/>
        </w:rPr>
      </w:pPr>
      <w:r>
        <w:rPr>
          <w:b/>
          <w:sz w:val="32"/>
        </w:rPr>
        <w:t>TABLEAU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5"/>
          <w:sz w:val="32"/>
        </w:rPr>
        <w:t> </w:t>
      </w:r>
      <w:r>
        <w:rPr>
          <w:b/>
          <w:spacing w:val="-2"/>
          <w:sz w:val="32"/>
        </w:rPr>
        <w:t>COMPLETER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"/>
        <w:gridCol w:w="88"/>
        <w:gridCol w:w="4091"/>
        <w:gridCol w:w="1415"/>
        <w:gridCol w:w="1559"/>
        <w:gridCol w:w="1470"/>
        <w:gridCol w:w="1504"/>
      </w:tblGrid>
      <w:tr>
        <w:trPr>
          <w:trHeight w:val="253" w:hRule="atLeast"/>
        </w:trPr>
        <w:tc>
          <w:tcPr>
            <w:tcW w:w="7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" w:type="dxa"/>
            <w:tcBorders>
              <w:top w:val="double" w:sz="4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  <w:pict>
                <v:group style="width:4.45pt;height:.5pt;mso-position-horizontal-relative:char;mso-position-vertical-relative:line" id="docshapegroup6" coordorigin="0,0" coordsize="89,10">
                  <v:rect style="position:absolute;left:0;top:0;width:89;height:10" id="docshape7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091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Veuillez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indiquer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Monsieur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ou </w:t>
            </w:r>
            <w:r>
              <w:rPr>
                <w:spacing w:val="-2"/>
                <w:sz w:val="24"/>
              </w:rPr>
              <w:t>Madame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77" w:right="16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Montant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(€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MOIS)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Monsieur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ou </w:t>
            </w:r>
            <w:r>
              <w:rPr>
                <w:spacing w:val="-2"/>
                <w:sz w:val="24"/>
              </w:rPr>
              <w:t>Madame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47" w:right="23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Montant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(€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MOIS)</w:t>
            </w:r>
          </w:p>
        </w:tc>
        <w:tc>
          <w:tcPr>
            <w:tcW w:w="1470" w:type="dxa"/>
            <w:vMerge w:val="restart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363" w:right="34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Autre majeur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05" w:right="18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Montant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(€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MOIS)</w:t>
            </w:r>
          </w:p>
        </w:tc>
        <w:tc>
          <w:tcPr>
            <w:tcW w:w="1504" w:type="dxa"/>
            <w:vMerge w:val="restart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381" w:right="363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Autre majeur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23" w:right="20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Montant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(€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MOIS)</w:t>
            </w:r>
          </w:p>
        </w:tc>
      </w:tr>
      <w:tr>
        <w:trPr>
          <w:trHeight w:val="1356" w:hRule="atLeast"/>
        </w:trPr>
        <w:tc>
          <w:tcPr>
            <w:tcW w:w="4253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revenus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ABSENCE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revenus</w:t>
            </w: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TOUTES</w:t>
            </w:r>
            <w:r>
              <w:rPr>
                <w:b/>
                <w:spacing w:val="-8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personnes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MAJEURES composant le ménage, </w:t>
            </w:r>
            <w:r>
              <w:rPr>
                <w:b/>
                <w:sz w:val="24"/>
                <w:u w:val="single"/>
              </w:rPr>
              <w:t>enfants majeurs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compris.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4253" w:type="dxa"/>
            <w:gridSpan w:val="3"/>
          </w:tcPr>
          <w:p>
            <w:pPr>
              <w:pStyle w:val="TableParagraph"/>
              <w:spacing w:line="257" w:lineRule="exact" w:before="1"/>
              <w:ind w:left="69"/>
              <w:rPr>
                <w:sz w:val="24"/>
              </w:rPr>
            </w:pPr>
            <w:r>
              <w:rPr>
                <w:sz w:val="24"/>
              </w:rPr>
              <w:t>Salaire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(6 mois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faire une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moyenne)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3" w:type="dxa"/>
            <w:gridSpan w:val="3"/>
          </w:tcPr>
          <w:p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chômage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(taux </w:t>
            </w:r>
            <w:r>
              <w:rPr>
                <w:b/>
                <w:spacing w:val="-2"/>
                <w:sz w:val="24"/>
              </w:rPr>
              <w:t>journalier)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x26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x26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x26</w:t>
            </w:r>
          </w:p>
        </w:tc>
        <w:tc>
          <w:tcPr>
            <w:tcW w:w="1504" w:type="dxa"/>
          </w:tcPr>
          <w:p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x26</w:t>
            </w:r>
          </w:p>
        </w:tc>
      </w:tr>
      <w:tr>
        <w:trPr>
          <w:trHeight w:val="275" w:hRule="atLeast"/>
        </w:trPr>
        <w:tc>
          <w:tcPr>
            <w:tcW w:w="4253" w:type="dxa"/>
            <w:gridSpan w:val="3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Revenu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d’intégration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RIS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3" w:type="dxa"/>
            <w:gridSpan w:val="3"/>
          </w:tcPr>
          <w:p>
            <w:pPr>
              <w:pStyle w:val="TableParagraph"/>
              <w:spacing w:line="256" w:lineRule="exact"/>
              <w:ind w:left="69"/>
              <w:rPr>
                <w:b/>
                <w:sz w:val="22"/>
              </w:rPr>
            </w:pPr>
            <w:r>
              <w:rPr>
                <w:sz w:val="24"/>
              </w:rPr>
              <w:t>Indemnités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mutuelles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2"/>
              </w:rPr>
              <w:t>(taux</w:t>
            </w:r>
            <w:r>
              <w:rPr>
                <w:b/>
                <w:spacing w:val="-2"/>
                <w:sz w:val="22"/>
              </w:rPr>
              <w:t> journalier)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x26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right="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x26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x26</w:t>
            </w:r>
          </w:p>
        </w:tc>
        <w:tc>
          <w:tcPr>
            <w:tcW w:w="1504" w:type="dxa"/>
          </w:tcPr>
          <w:p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x </w:t>
            </w: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4253" w:type="dxa"/>
            <w:gridSpan w:val="3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Allocation 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handicapés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3" w:type="dxa"/>
            <w:gridSpan w:val="3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Revenu </w:t>
            </w:r>
            <w:r>
              <w:rPr>
                <w:spacing w:val="-2"/>
                <w:sz w:val="24"/>
              </w:rPr>
              <w:t>garanti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253" w:type="dxa"/>
            <w:gridSpan w:val="3"/>
          </w:tcPr>
          <w:p>
            <w:pPr>
              <w:pStyle w:val="TableParagraph"/>
              <w:spacing w:line="257" w:lineRule="exact" w:before="1"/>
              <w:ind w:left="69"/>
              <w:rPr>
                <w:sz w:val="24"/>
              </w:rPr>
            </w:pPr>
            <w:r>
              <w:rPr>
                <w:sz w:val="24"/>
              </w:rPr>
              <w:t>Pension de </w:t>
            </w:r>
            <w:r>
              <w:rPr>
                <w:spacing w:val="-2"/>
                <w:sz w:val="24"/>
              </w:rPr>
              <w:t>vieillesse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3" w:type="dxa"/>
            <w:gridSpan w:val="3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Pension de </w:t>
            </w:r>
            <w:r>
              <w:rPr>
                <w:spacing w:val="-2"/>
                <w:sz w:val="24"/>
              </w:rPr>
              <w:t>survie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3" w:type="dxa"/>
            <w:gridSpan w:val="3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Pension </w:t>
            </w:r>
            <w:r>
              <w:rPr>
                <w:spacing w:val="-2"/>
                <w:sz w:val="24"/>
              </w:rPr>
              <w:t>alimentaire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3" w:type="dxa"/>
            <w:gridSpan w:val="3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Revenus </w:t>
            </w:r>
            <w:r>
              <w:rPr>
                <w:spacing w:val="-2"/>
                <w:sz w:val="24"/>
              </w:rPr>
              <w:t>locatifs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3" w:type="dxa"/>
            <w:gridSpan w:val="3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Autres:……………………………………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536" w:right="0" w:firstLine="0"/>
        <w:jc w:val="left"/>
        <w:rPr>
          <w:b/>
          <w:sz w:val="24"/>
        </w:rPr>
      </w:pPr>
      <w:r>
        <w:rPr/>
        <w:pict>
          <v:rect style="position:absolute;margin-left:63.840004pt;margin-top:12.523132pt;width:3pt;height:1.199981pt;mso-position-horizontal-relative:page;mso-position-vertical-relative:paragraph;z-index:15731712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351.480011pt;margin-top:9.403107pt;width:138.240005pt;height:26.519989pt;mso-position-horizontal-relative:page;mso-position-vertical-relative:paragraph;z-index:15732224" id="docshape9" filled="false" stroked="true" strokeweight=".72pt" strokecolor="#000000">
            <v:stroke dashstyle="solid"/>
            <w10:wrap type="none"/>
          </v:rect>
        </w:pict>
      </w:r>
      <w:r>
        <w:rPr>
          <w:b/>
          <w:sz w:val="24"/>
        </w:rPr>
        <w:t>.</w:t>
      </w:r>
    </w:p>
    <w:p>
      <w:pPr>
        <w:spacing w:before="0"/>
        <w:ind w:left="536" w:right="0" w:firstLine="0"/>
        <w:jc w:val="left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montant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total des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ressources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ménage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s'élève</w:t>
      </w:r>
      <w:r>
        <w:rPr>
          <w:b/>
          <w:spacing w:val="-1"/>
          <w:sz w:val="24"/>
        </w:rPr>
        <w:t> </w:t>
      </w:r>
      <w:r>
        <w:rPr>
          <w:b/>
          <w:spacing w:val="-10"/>
          <w:sz w:val="24"/>
        </w:rPr>
        <w:t>à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536" w:right="0" w:firstLine="0"/>
        <w:jc w:val="left"/>
        <w:rPr>
          <w:b/>
          <w:sz w:val="24"/>
        </w:rPr>
      </w:pPr>
      <w:r>
        <w:rPr>
          <w:b/>
          <w:sz w:val="24"/>
        </w:rPr>
        <w:t>Investissement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souhaité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 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poêle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gaz, menuiserie..) :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…………………………..</w:t>
      </w:r>
    </w:p>
    <w:p>
      <w:pPr>
        <w:spacing w:after="0"/>
        <w:jc w:val="left"/>
        <w:rPr>
          <w:sz w:val="24"/>
        </w:rPr>
        <w:sectPr>
          <w:pgSz w:w="11910" w:h="16840"/>
          <w:pgMar w:top="760" w:bottom="280" w:left="740" w:right="740"/>
        </w:sectPr>
      </w:pPr>
    </w:p>
    <w:p>
      <w:pPr>
        <w:pStyle w:val="BodyText"/>
        <w:ind w:left="419"/>
        <w:rPr>
          <w:sz w:val="20"/>
        </w:rPr>
      </w:pPr>
      <w:r>
        <w:rPr>
          <w:sz w:val="20"/>
        </w:rPr>
        <w:pict>
          <v:shape style="width:478.95pt;height:16.2pt;mso-position-horizontal-relative:char;mso-position-vertical-relative:line" type="#_x0000_t202" id="docshape10" filled="false" stroked="true" strokeweight=".479965pt" strokecolor="#000000">
            <w10:anchorlock/>
            <v:textbox inset="0,0,0,0">
              <w:txbxContent>
                <w:p>
                  <w:pPr>
                    <w:spacing w:before="18"/>
                    <w:ind w:left="2845" w:right="284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4"/>
                      <w:sz w:val="24"/>
                    </w:rPr>
                    <w:t>CPAS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12"/>
        </w:rPr>
      </w:pPr>
    </w:p>
    <w:p>
      <w:pPr>
        <w:pStyle w:val="Heading1"/>
        <w:numPr>
          <w:ilvl w:val="0"/>
          <w:numId w:val="3"/>
        </w:numPr>
        <w:tabs>
          <w:tab w:pos="837" w:val="left" w:leader="none"/>
        </w:tabs>
        <w:spacing w:line="240" w:lineRule="auto" w:before="90" w:after="0"/>
        <w:ind w:left="836" w:right="0" w:hanging="301"/>
        <w:jc w:val="left"/>
      </w:pPr>
      <w:r>
        <w:rPr/>
        <w:t>COORDONNEES</w:t>
      </w:r>
      <w:r>
        <w:rPr>
          <w:spacing w:val="1"/>
        </w:rPr>
        <w:t> </w:t>
      </w:r>
      <w:r>
        <w:rPr/>
        <w:t>DU</w:t>
      </w:r>
      <w:r>
        <w:rPr>
          <w:spacing w:val="-3"/>
        </w:rPr>
        <w:t> </w:t>
      </w:r>
      <w:r>
        <w:rPr/>
        <w:t>/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GESTIONNAIRE DU DOSSIER AU</w:t>
      </w:r>
      <w:r>
        <w:rPr>
          <w:spacing w:val="-3"/>
        </w:rPr>
        <w:t> </w:t>
      </w:r>
      <w:r>
        <w:rPr/>
        <w:t>CPAS </w:t>
      </w:r>
      <w:r>
        <w:rPr>
          <w:spacing w:val="-10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96" w:right="1325" w:hanging="1"/>
        <w:jc w:val="both"/>
      </w:pPr>
      <w:r>
        <w:rPr/>
        <w:t>Nom</w:t>
      </w:r>
      <w:r>
        <w:rPr>
          <w:spacing w:val="-15"/>
        </w:rPr>
        <w:t> </w:t>
      </w:r>
      <w:r>
        <w:rPr/>
        <w:t>:……………………………………Prénom</w:t>
      </w:r>
      <w:r>
        <w:rPr>
          <w:spacing w:val="-15"/>
        </w:rPr>
        <w:t> </w:t>
      </w:r>
      <w:r>
        <w:rPr/>
        <w:t>:…………………………………… Tel</w:t>
      </w:r>
      <w:r>
        <w:rPr>
          <w:spacing w:val="80"/>
          <w:w w:val="150"/>
        </w:rPr>
        <w:t> </w:t>
      </w:r>
      <w:r>
        <w:rPr/>
        <w:t>:……………………………………</w:t>
      </w:r>
    </w:p>
    <w:p>
      <w:pPr>
        <w:pStyle w:val="BodyText"/>
        <w:spacing w:line="274" w:lineRule="exact"/>
        <w:ind w:left="896"/>
        <w:jc w:val="both"/>
      </w:pPr>
      <w:r>
        <w:rPr/>
        <w:t>Email </w:t>
      </w:r>
      <w:r>
        <w:rPr>
          <w:spacing w:val="-2"/>
        </w:rPr>
        <w:t>:……………………………………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97" w:val="left" w:leader="none"/>
        </w:tabs>
        <w:spacing w:line="240" w:lineRule="auto" w:before="0" w:after="0"/>
        <w:ind w:left="896" w:right="1508" w:hanging="360"/>
        <w:jc w:val="left"/>
        <w:rPr>
          <w:sz w:val="24"/>
        </w:rPr>
      </w:pPr>
      <w:r>
        <w:rPr>
          <w:sz w:val="24"/>
        </w:rPr>
        <w:t>Après</w:t>
      </w:r>
      <w:r>
        <w:rPr>
          <w:spacing w:val="-1"/>
          <w:sz w:val="24"/>
        </w:rPr>
        <w:t> </w:t>
      </w:r>
      <w:r>
        <w:rPr>
          <w:sz w:val="24"/>
        </w:rPr>
        <w:t>analyse</w:t>
      </w:r>
      <w:r>
        <w:rPr>
          <w:spacing w:val="-3"/>
          <w:sz w:val="24"/>
        </w:rPr>
        <w:t> </w:t>
      </w:r>
      <w:r>
        <w:rPr>
          <w:sz w:val="24"/>
        </w:rPr>
        <w:t>préliminaire,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gestionnaire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dossier</w:t>
      </w:r>
      <w:r>
        <w:rPr>
          <w:spacing w:val="-6"/>
          <w:sz w:val="24"/>
        </w:rPr>
        <w:t> </w:t>
      </w:r>
      <w:r>
        <w:rPr>
          <w:sz w:val="24"/>
        </w:rPr>
        <w:t>au</w:t>
      </w:r>
      <w:r>
        <w:rPr>
          <w:spacing w:val="-3"/>
          <w:sz w:val="24"/>
        </w:rPr>
        <w:t> </w:t>
      </w:r>
      <w:r>
        <w:rPr>
          <w:sz w:val="24"/>
        </w:rPr>
        <w:t>CPAS</w:t>
      </w:r>
      <w:r>
        <w:rPr>
          <w:spacing w:val="-3"/>
          <w:sz w:val="24"/>
        </w:rPr>
        <w:t> </w:t>
      </w:r>
      <w:r>
        <w:rPr>
          <w:sz w:val="24"/>
        </w:rPr>
        <w:t>juge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demande</w:t>
      </w:r>
      <w:r>
        <w:rPr>
          <w:spacing w:val="-6"/>
          <w:sz w:val="24"/>
        </w:rPr>
        <w:t> </w:t>
      </w:r>
      <w:r>
        <w:rPr>
          <w:sz w:val="24"/>
        </w:rPr>
        <w:t>de subvention 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63"/>
        <w:jc w:val="both"/>
      </w:pPr>
      <w:r>
        <w:rPr/>
        <w:t>RECEVABLE</w:t>
      </w:r>
      <w:r>
        <w:rPr>
          <w:spacing w:val="50"/>
          <w:w w:val="150"/>
        </w:rPr>
        <w:t>   </w:t>
      </w:r>
      <w:r>
        <w:rPr/>
        <w:t>/</w:t>
      </w:r>
      <w:r>
        <w:rPr>
          <w:spacing w:val="60"/>
          <w:w w:val="150"/>
        </w:rPr>
        <w:t>  </w:t>
      </w:r>
      <w:r>
        <w:rPr/>
        <w:t>NON</w:t>
      </w:r>
      <w:r>
        <w:rPr>
          <w:spacing w:val="-2"/>
        </w:rPr>
        <w:t> RECEVABLE,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63" w:right="0" w:firstLine="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décision finale sur la recevabilité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du dossier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revient à </w:t>
      </w:r>
      <w:r>
        <w:rPr>
          <w:i/>
          <w:spacing w:val="-2"/>
          <w:sz w:val="24"/>
        </w:rPr>
        <w:t>l’administration</w:t>
      </w:r>
      <w:r>
        <w:rPr>
          <w:spacing w:val="-2"/>
          <w:sz w:val="24"/>
        </w:rPr>
        <w:t>)</w:t>
      </w:r>
    </w:p>
    <w:p>
      <w:pPr>
        <w:pStyle w:val="BodyText"/>
        <w:ind w:left="963" w:right="532"/>
        <w:jc w:val="both"/>
        <w:rPr>
          <w:b/>
        </w:rPr>
      </w:pPr>
      <w:r>
        <w:rPr/>
        <w:t>aux termes des articles 3 et 7 de l'arrêté du</w:t>
      </w:r>
      <w:r>
        <w:rPr>
          <w:spacing w:val="80"/>
        </w:rPr>
        <w:t> </w:t>
      </w:r>
      <w:r>
        <w:rPr/>
        <w:t>Gouvernement wallon du 23 décembre 1998 relatif à l'octroi de subventions aux ménages à revenu modeste pour l’utilisation rationnelle et efficiente de l’énergie</w:t>
      </w:r>
      <w:r>
        <w:rPr>
          <w:b/>
        </w:rPr>
        <w:t>.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3"/>
        </w:numPr>
        <w:tabs>
          <w:tab w:pos="777" w:val="left" w:leader="none"/>
        </w:tabs>
        <w:spacing w:line="240" w:lineRule="auto" w:before="0" w:after="0"/>
        <w:ind w:left="776" w:right="0" w:hanging="241"/>
        <w:jc w:val="left"/>
      </w:pPr>
      <w:r>
        <w:rPr/>
        <w:t>CACHET,</w:t>
      </w:r>
      <w:r>
        <w:rPr>
          <w:spacing w:val="58"/>
        </w:rPr>
        <w:t> </w:t>
      </w:r>
      <w:r>
        <w:rPr/>
        <w:t>DATE</w:t>
      </w:r>
      <w:r>
        <w:rPr>
          <w:spacing w:val="1"/>
        </w:rPr>
        <w:t> </w:t>
      </w:r>
      <w:r>
        <w:rPr/>
        <w:t>ET </w:t>
      </w:r>
      <w:r>
        <w:rPr>
          <w:spacing w:val="-2"/>
        </w:rPr>
        <w:t>SIGNATURE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tabs>
          <w:tab w:pos="7184" w:val="left" w:leader="none"/>
        </w:tabs>
        <w:spacing w:before="1"/>
        <w:ind w:left="877"/>
        <w:jc w:val="both"/>
      </w:pPr>
      <w:r>
        <w:rPr/>
        <w:t>Directeur(trice)</w:t>
      </w:r>
      <w:r>
        <w:rPr>
          <w:spacing w:val="-2"/>
        </w:rPr>
        <w:t> </w:t>
      </w:r>
      <w:r>
        <w:rPr/>
        <w:t>général(e)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>
          <w:spacing w:val="-4"/>
        </w:rPr>
        <w:t>CPAS</w:t>
      </w:r>
      <w:r>
        <w:rPr/>
        <w:tab/>
        <w:t>Président(e)</w:t>
      </w:r>
      <w:r>
        <w:rPr>
          <w:spacing w:val="-6"/>
        </w:rPr>
        <w:t> </w:t>
      </w:r>
      <w:r>
        <w:rPr/>
        <w:t>du</w:t>
      </w:r>
      <w:r>
        <w:rPr>
          <w:spacing w:val="1"/>
        </w:rPr>
        <w:t> </w:t>
      </w:r>
      <w:r>
        <w:rPr>
          <w:spacing w:val="-2"/>
        </w:rPr>
        <w:t>C.P.A.S.</w:t>
      </w:r>
    </w:p>
    <w:p>
      <w:pPr>
        <w:spacing w:after="0"/>
        <w:jc w:val="both"/>
        <w:sectPr>
          <w:pgSz w:w="11910" w:h="16840"/>
          <w:pgMar w:top="1120" w:bottom="280" w:left="740" w:right="74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419"/>
        <w:rPr>
          <w:sz w:val="20"/>
        </w:rPr>
      </w:pPr>
      <w:r>
        <w:rPr>
          <w:sz w:val="20"/>
        </w:rPr>
        <w:pict>
          <v:shape style="width:478.95pt;height:16.2pt;mso-position-horizontal-relative:char;mso-position-vertical-relative:line" type="#_x0000_t202" id="docshape11" filled="false" stroked="true" strokeweight=".479965pt" strokecolor="#000000">
            <w10:anchorlock/>
            <v:textbox inset="0,0,0,0">
              <w:txbxContent>
                <w:p>
                  <w:pPr>
                    <w:spacing w:before="18"/>
                    <w:ind w:left="2845" w:right="2846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PROTECTION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 LA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VIE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pacing w:val="-2"/>
                      <w:sz w:val="24"/>
                    </w:rPr>
                    <w:t>PRIVEE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0"/>
        <w:ind w:left="536" w:right="533"/>
        <w:jc w:val="both"/>
      </w:pPr>
      <w:r>
        <w:rPr/>
        <w:t>En application de la loi du 30 juillet 2018 relative à la protection des personnes physiques à l’égard des traitements de données à caractère personnel, le traitement de ces données est confié</w:t>
      </w:r>
      <w:r>
        <w:rPr>
          <w:spacing w:val="40"/>
        </w:rPr>
        <w:t> </w:t>
      </w:r>
      <w:r>
        <w:rPr/>
        <w:t>à la Direction générale opérationnelle de l’Aménagement du territoire, du</w:t>
      </w:r>
      <w:r>
        <w:rPr>
          <w:spacing w:val="40"/>
        </w:rPr>
        <w:t> </w:t>
      </w:r>
      <w:r>
        <w:rPr/>
        <w:t>Logement, du Patrimoine et de l’Energie.</w:t>
      </w:r>
    </w:p>
    <w:p>
      <w:pPr>
        <w:pStyle w:val="BodyText"/>
        <w:spacing w:line="274" w:lineRule="exact"/>
        <w:ind w:left="536"/>
        <w:jc w:val="both"/>
      </w:pPr>
      <w:r>
        <w:rPr/>
        <w:t>Le</w:t>
      </w:r>
      <w:r>
        <w:rPr>
          <w:spacing w:val="-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traitement</w:t>
      </w:r>
      <w:r>
        <w:rPr>
          <w:spacing w:val="-1"/>
        </w:rPr>
        <w:t> </w:t>
      </w:r>
      <w:r>
        <w:rPr/>
        <w:t>est</w:t>
      </w:r>
      <w:r>
        <w:rPr>
          <w:spacing w:val="1"/>
        </w:rPr>
        <w:t> </w:t>
      </w:r>
      <w:r>
        <w:rPr>
          <w:spacing w:val="-2"/>
        </w:rPr>
        <w:t>l’Administration.</w:t>
      </w:r>
    </w:p>
    <w:p>
      <w:pPr>
        <w:pStyle w:val="BodyText"/>
        <w:spacing w:before="185"/>
        <w:ind w:left="536" w:right="532"/>
        <w:jc w:val="both"/>
      </w:pPr>
      <w:r>
        <w:rPr/>
        <w:t>Ces données sont recueillies dans le cadre du traitement des dossiers de demandes de subsides octroyés en matière d'utilisation rationnelle de l'énergie dans les ménages à revenu modeste en application de l'arrêté du Gouvernement wallon du 23 décembre 1998 relatif à l’octroi de subventions aux ménages à revenu modeste pour l’utilisation rationnelle et efficiente de</w:t>
      </w:r>
      <w:r>
        <w:rPr>
          <w:spacing w:val="40"/>
        </w:rPr>
        <w:t> </w:t>
      </w:r>
      <w:r>
        <w:rPr>
          <w:spacing w:val="-2"/>
        </w:rPr>
        <w:t>l’énergie.</w:t>
      </w:r>
    </w:p>
    <w:p>
      <w:pPr>
        <w:pStyle w:val="BodyText"/>
      </w:pPr>
    </w:p>
    <w:p>
      <w:pPr>
        <w:pStyle w:val="BodyText"/>
        <w:ind w:left="536"/>
        <w:jc w:val="both"/>
      </w:pPr>
      <w:r>
        <w:rPr/>
        <w:t>La</w:t>
      </w:r>
      <w:r>
        <w:rPr>
          <w:spacing w:val="-1"/>
        </w:rPr>
        <w:t> </w:t>
      </w:r>
      <w:r>
        <w:rPr/>
        <w:t>collecte</w:t>
      </w:r>
      <w:r>
        <w:rPr>
          <w:spacing w:val="1"/>
        </w:rPr>
        <w:t> </w:t>
      </w:r>
      <w:r>
        <w:rPr/>
        <w:t>et</w:t>
      </w:r>
      <w:r>
        <w:rPr>
          <w:spacing w:val="-2"/>
        </w:rPr>
        <w:t> </w:t>
      </w:r>
      <w:r>
        <w:rPr/>
        <w:t>le traitement des</w:t>
      </w:r>
      <w:r>
        <w:rPr>
          <w:spacing w:val="-1"/>
        </w:rPr>
        <w:t> </w:t>
      </w:r>
      <w:r>
        <w:rPr/>
        <w:t>données</w:t>
      </w:r>
      <w:r>
        <w:rPr>
          <w:spacing w:val="-3"/>
        </w:rPr>
        <w:t> </w:t>
      </w:r>
      <w:r>
        <w:rPr/>
        <w:t>à</w:t>
      </w:r>
      <w:r>
        <w:rPr>
          <w:spacing w:val="1"/>
        </w:rPr>
        <w:t> </w:t>
      </w:r>
      <w:r>
        <w:rPr/>
        <w:t>caractère personnel</w:t>
      </w:r>
      <w:r>
        <w:rPr>
          <w:spacing w:val="-1"/>
        </w:rPr>
        <w:t> </w:t>
      </w:r>
      <w:r>
        <w:rPr/>
        <w:t>poursuivent les</w:t>
      </w:r>
      <w:r>
        <w:rPr>
          <w:spacing w:val="-1"/>
        </w:rPr>
        <w:t> </w:t>
      </w:r>
      <w:r>
        <w:rPr/>
        <w:t>finalités suivantes</w:t>
      </w:r>
      <w:r>
        <w:rPr>
          <w:spacing w:val="-12"/>
        </w:rPr>
        <w:t> </w:t>
      </w:r>
      <w:r>
        <w:rPr>
          <w:spacing w:val="-10"/>
        </w:rPr>
        <w:t>: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1257" w:val="left" w:leader="none"/>
        </w:tabs>
        <w:spacing w:line="232" w:lineRule="auto" w:before="0" w:after="0"/>
        <w:ind w:left="1256" w:right="1106" w:hanging="360"/>
        <w:jc w:val="left"/>
        <w:rPr>
          <w:sz w:val="24"/>
        </w:rPr>
      </w:pPr>
      <w:r>
        <w:rPr>
          <w:sz w:val="24"/>
        </w:rPr>
        <w:t>Gestion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5"/>
          <w:sz w:val="24"/>
        </w:rPr>
        <w:t> </w:t>
      </w:r>
      <w:r>
        <w:rPr>
          <w:sz w:val="24"/>
        </w:rPr>
        <w:t>traitement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demandes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subvention</w:t>
      </w:r>
      <w:r>
        <w:rPr>
          <w:spacing w:val="-3"/>
          <w:sz w:val="24"/>
        </w:rPr>
        <w:t> </w:t>
      </w:r>
      <w:r>
        <w:rPr>
          <w:sz w:val="24"/>
        </w:rPr>
        <w:t>introduites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introduire</w:t>
      </w:r>
      <w:r>
        <w:rPr>
          <w:spacing w:val="-3"/>
          <w:sz w:val="24"/>
        </w:rPr>
        <w:t> </w:t>
      </w:r>
      <w:r>
        <w:rPr>
          <w:sz w:val="24"/>
        </w:rPr>
        <w:t>par</w:t>
      </w:r>
      <w:r>
        <w:rPr>
          <w:spacing w:val="-6"/>
          <w:sz w:val="24"/>
        </w:rPr>
        <w:t> </w:t>
      </w:r>
      <w:r>
        <w:rPr>
          <w:sz w:val="24"/>
        </w:rPr>
        <w:t>les demandeurs</w:t>
      </w:r>
      <w:r>
        <w:rPr>
          <w:spacing w:val="-5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1257" w:val="left" w:leader="none"/>
        </w:tabs>
        <w:spacing w:line="316" w:lineRule="exact" w:before="1" w:after="0"/>
        <w:ind w:left="1256" w:right="0" w:hanging="361"/>
        <w:jc w:val="left"/>
        <w:rPr>
          <w:sz w:val="24"/>
        </w:rPr>
      </w:pPr>
      <w:r>
        <w:rPr>
          <w:sz w:val="24"/>
        </w:rPr>
        <w:t>Vérification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visées</w:t>
      </w:r>
      <w:r>
        <w:rPr>
          <w:spacing w:val="-1"/>
          <w:sz w:val="24"/>
        </w:rPr>
        <w:t> </w:t>
      </w:r>
      <w:r>
        <w:rPr>
          <w:sz w:val="24"/>
        </w:rPr>
        <w:t>aux</w:t>
      </w:r>
      <w:r>
        <w:rPr>
          <w:spacing w:val="1"/>
          <w:sz w:val="24"/>
        </w:rPr>
        <w:t> </w:t>
      </w:r>
      <w:r>
        <w:rPr>
          <w:sz w:val="24"/>
        </w:rPr>
        <w:t>articles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l’arrêté</w:t>
      </w:r>
      <w:r>
        <w:rPr>
          <w:spacing w:val="-11"/>
          <w:sz w:val="24"/>
        </w:rPr>
        <w:t> </w:t>
      </w:r>
      <w:r>
        <w:rPr>
          <w:spacing w:val="-10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1257" w:val="left" w:leader="none"/>
        </w:tabs>
        <w:spacing w:line="237" w:lineRule="auto" w:before="0" w:after="0"/>
        <w:ind w:left="1256" w:right="545" w:hanging="360"/>
        <w:jc w:val="left"/>
        <w:rPr>
          <w:sz w:val="24"/>
        </w:rPr>
      </w:pPr>
      <w:r>
        <w:rPr>
          <w:sz w:val="24"/>
        </w:rPr>
        <w:t>L’établissement de statistiques ou analyses en vue de l’évaluation du présent mécanisme de</w:t>
      </w:r>
      <w:r>
        <w:rPr>
          <w:spacing w:val="-3"/>
          <w:sz w:val="24"/>
        </w:rPr>
        <w:t> </w:t>
      </w:r>
      <w:r>
        <w:rPr>
          <w:sz w:val="24"/>
        </w:rPr>
        <w:t>subvention,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l’évaluation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travaux</w:t>
      </w:r>
      <w:r>
        <w:rPr>
          <w:spacing w:val="-3"/>
          <w:sz w:val="24"/>
        </w:rPr>
        <w:t> </w:t>
      </w:r>
      <w:r>
        <w:rPr>
          <w:sz w:val="24"/>
        </w:rPr>
        <w:t>réalisés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l’évolution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du bâti</w:t>
      </w:r>
      <w:r>
        <w:rPr>
          <w:spacing w:val="-5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pos="1257" w:val="left" w:leader="none"/>
        </w:tabs>
        <w:spacing w:line="237" w:lineRule="auto" w:before="0" w:after="0"/>
        <w:ind w:left="1256" w:right="649" w:hanging="360"/>
        <w:jc w:val="left"/>
        <w:rPr>
          <w:sz w:val="24"/>
        </w:rPr>
      </w:pPr>
      <w:r>
        <w:rPr>
          <w:sz w:val="24"/>
        </w:rPr>
        <w:t>Assistance et conseil aux personnes concernées par la présente subvention ou tout autre mécanisme</w:t>
      </w:r>
      <w:r>
        <w:rPr>
          <w:spacing w:val="-5"/>
          <w:sz w:val="24"/>
        </w:rPr>
        <w:t> </w:t>
      </w:r>
      <w:r>
        <w:rPr>
          <w:sz w:val="24"/>
        </w:rPr>
        <w:t>d’aide</w:t>
      </w:r>
      <w:r>
        <w:rPr>
          <w:spacing w:val="-2"/>
          <w:sz w:val="24"/>
        </w:rPr>
        <w:t> </w:t>
      </w:r>
      <w:r>
        <w:rPr>
          <w:sz w:val="24"/>
        </w:rPr>
        <w:t>régional,</w:t>
      </w:r>
      <w:r>
        <w:rPr>
          <w:spacing w:val="-2"/>
          <w:sz w:val="24"/>
        </w:rPr>
        <w:t> </w:t>
      </w:r>
      <w:r>
        <w:rPr>
          <w:sz w:val="24"/>
        </w:rPr>
        <w:t>afin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leur</w:t>
      </w:r>
      <w:r>
        <w:rPr>
          <w:spacing w:val="-5"/>
          <w:sz w:val="24"/>
        </w:rPr>
        <w:t> </w:t>
      </w:r>
      <w:r>
        <w:rPr>
          <w:sz w:val="24"/>
        </w:rPr>
        <w:t>permettre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bénéficier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subvention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d’un autre mécanisme d’aide, ou de respecter leurs obligations ;</w:t>
      </w:r>
    </w:p>
    <w:p>
      <w:pPr>
        <w:pStyle w:val="ListParagraph"/>
        <w:numPr>
          <w:ilvl w:val="1"/>
          <w:numId w:val="3"/>
        </w:numPr>
        <w:tabs>
          <w:tab w:pos="1257" w:val="left" w:leader="none"/>
        </w:tabs>
        <w:spacing w:line="232" w:lineRule="auto" w:before="4" w:after="0"/>
        <w:ind w:left="1256" w:right="863" w:hanging="360"/>
        <w:jc w:val="left"/>
        <w:rPr>
          <w:sz w:val="24"/>
        </w:rPr>
      </w:pPr>
      <w:r>
        <w:rPr>
          <w:sz w:val="24"/>
        </w:rPr>
        <w:t>Suivi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assistance</w:t>
      </w:r>
      <w:r>
        <w:rPr>
          <w:spacing w:val="-5"/>
          <w:sz w:val="24"/>
        </w:rPr>
        <w:t> </w:t>
      </w:r>
      <w:r>
        <w:rPr>
          <w:sz w:val="24"/>
        </w:rPr>
        <w:t>aux</w:t>
      </w:r>
      <w:r>
        <w:rPr>
          <w:spacing w:val="-3"/>
          <w:sz w:val="24"/>
        </w:rPr>
        <w:t> </w:t>
      </w:r>
      <w:r>
        <w:rPr>
          <w:sz w:val="24"/>
        </w:rPr>
        <w:t>demandeurs,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quant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3"/>
          <w:sz w:val="24"/>
        </w:rPr>
        <w:t> </w:t>
      </w:r>
      <w:r>
        <w:rPr>
          <w:sz w:val="24"/>
        </w:rPr>
        <w:t>sort</w:t>
      </w:r>
      <w:r>
        <w:rPr>
          <w:spacing w:val="-4"/>
          <w:sz w:val="24"/>
        </w:rPr>
        <w:t> </w:t>
      </w:r>
      <w:r>
        <w:rPr>
          <w:sz w:val="24"/>
        </w:rPr>
        <w:t>réservé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demande</w:t>
      </w:r>
      <w:r>
        <w:rPr>
          <w:spacing w:val="-3"/>
          <w:sz w:val="24"/>
        </w:rPr>
        <w:t> </w:t>
      </w:r>
      <w:r>
        <w:rPr>
          <w:sz w:val="24"/>
        </w:rPr>
        <w:t>de subvention MEBAR.</w:t>
      </w:r>
    </w:p>
    <w:p>
      <w:pPr>
        <w:pStyle w:val="BodyText"/>
        <w:spacing w:before="2"/>
        <w:ind w:left="536" w:right="538"/>
        <w:jc w:val="both"/>
      </w:pPr>
      <w:r>
        <w:rPr/>
        <w:t>La durée de conservation des données est précisée dans l’annexe II de l’arrêté du Gouvernement wallon du 23 décembre 1998, tel que modifié par l’arrêté du Gouvernement du 21 avril 2022</w: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536" w:right="534"/>
        <w:jc w:val="both"/>
      </w:pPr>
      <w:r>
        <w:rPr/>
        <w:t>Le demandeur peut avoir accès aux données qui le concernent et en obtenir la rectification éventuelle en s'adressant auprès de la :</w:t>
      </w:r>
    </w:p>
    <w:p>
      <w:pPr>
        <w:pStyle w:val="BodyText"/>
        <w:rPr>
          <w:sz w:val="14"/>
        </w:rPr>
      </w:pPr>
      <w:r>
        <w:rPr/>
        <w:pict>
          <v:shape style="position:absolute;margin-left:58.200001pt;margin-top:9.499316pt;width:478.95pt;height:85.35pt;mso-position-horizontal-relative:page;mso-position-vertical-relative:paragraph;z-index:-15723520;mso-wrap-distance-left:0;mso-wrap-distance-right:0" type="#_x0000_t202" id="docshape12" filled="false" stroked="true" strokeweight=".479981pt" strokecolor="#000000">
            <v:textbox inset="0,0,0,0">
              <w:txbxContent>
                <w:p>
                  <w:pPr>
                    <w:spacing w:before="18"/>
                    <w:ind w:left="454" w:right="450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SPW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Territoire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Logement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Patrimoine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Energie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Direction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Bâtiments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Durables- </w:t>
                  </w:r>
                  <w:r>
                    <w:rPr>
                      <w:b/>
                      <w:spacing w:val="-2"/>
                      <w:sz w:val="24"/>
                    </w:rPr>
                    <w:t>MEBAR</w:t>
                  </w:r>
                </w:p>
                <w:p>
                  <w:pPr>
                    <w:spacing w:before="0"/>
                    <w:ind w:left="3259" w:right="325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Rue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des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Brigades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d’Irlande,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1 5100 Jambes</w:t>
                  </w:r>
                </w:p>
                <w:p>
                  <w:pPr>
                    <w:spacing w:before="0"/>
                    <w:ind w:left="450" w:right="450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Tél.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081/48 64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14 ou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081/48 63 </w:t>
                  </w:r>
                  <w:r>
                    <w:rPr>
                      <w:b/>
                      <w:spacing w:val="-5"/>
                      <w:sz w:val="24"/>
                    </w:rPr>
                    <w:t>97</w:t>
                  </w:r>
                </w:p>
                <w:p>
                  <w:pPr>
                    <w:spacing w:before="0"/>
                    <w:ind w:left="449" w:right="450" w:firstLine="0"/>
                    <w:jc w:val="center"/>
                    <w:rPr>
                      <w:b/>
                      <w:sz w:val="24"/>
                    </w:rPr>
                  </w:pPr>
                  <w:hyperlink r:id="rId5">
                    <w:r>
                      <w:rPr>
                        <w:b/>
                        <w:color w:val="0000FF"/>
                        <w:sz w:val="24"/>
                        <w:u w:val="single" w:color="0000FF"/>
                      </w:rPr>
                      <w:t>dominique.wanlin@spw.wallonie.be</w:t>
                    </w:r>
                  </w:hyperlink>
                  <w:r>
                    <w:rPr>
                      <w:b/>
                      <w:color w:val="0000FF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</w:t>
                  </w:r>
                  <w:r>
                    <w:rPr>
                      <w:b/>
                      <w:spacing w:val="57"/>
                      <w:sz w:val="24"/>
                    </w:rPr>
                    <w:t> </w:t>
                  </w:r>
                  <w:hyperlink r:id="rId6">
                    <w:r>
                      <w:rPr>
                        <w:b/>
                        <w:color w:val="0000FF"/>
                        <w:spacing w:val="-2"/>
                        <w:sz w:val="24"/>
                        <w:u w:val="single" w:color="0000FF"/>
                      </w:rPr>
                      <w:t>sophie.cleseur@spw.wallonie.be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ind w:left="536" w:right="113"/>
      </w:pPr>
      <w:r>
        <w:rPr/>
        <w:t>Il</w:t>
      </w:r>
      <w:r>
        <w:rPr>
          <w:spacing w:val="40"/>
        </w:rPr>
        <w:t> </w:t>
      </w:r>
      <w:r>
        <w:rPr/>
        <w:t>est</w:t>
      </w:r>
      <w:r>
        <w:rPr>
          <w:spacing w:val="40"/>
        </w:rPr>
        <w:t> </w:t>
      </w:r>
      <w:r>
        <w:rPr/>
        <w:t>possible</w:t>
      </w:r>
      <w:r>
        <w:rPr>
          <w:spacing w:val="40"/>
        </w:rPr>
        <w:t> </w:t>
      </w:r>
      <w:r>
        <w:rPr/>
        <w:t>d'obtenir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renseignements</w:t>
      </w:r>
      <w:r>
        <w:rPr>
          <w:spacing w:val="40"/>
        </w:rPr>
        <w:t> </w:t>
      </w:r>
      <w:r>
        <w:rPr/>
        <w:t>supplémentaires</w:t>
      </w:r>
      <w:r>
        <w:rPr>
          <w:spacing w:val="40"/>
        </w:rPr>
        <w:t> </w:t>
      </w:r>
      <w:r>
        <w:rPr/>
        <w:t>sur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/>
        <w:t>traitements</w:t>
      </w:r>
      <w:r>
        <w:rPr>
          <w:spacing w:val="40"/>
        </w:rPr>
        <w:t> </w:t>
      </w:r>
      <w:r>
        <w:rPr/>
        <w:t>automatisés auprès de l’autorité de protection des données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536" w:right="0" w:firstLine="0"/>
        <w:jc w:val="lef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 SIGNATURE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 DEMANDEUR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:………………………………………………….</w:t>
      </w:r>
    </w:p>
    <w:sectPr>
      <w:pgSz w:w="11910" w:h="16840"/>
      <w:pgMar w:top="19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dugi">
    <w:altName w:val="Gadug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36" w:hanging="3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256" w:hanging="360"/>
        <w:jc w:val="left"/>
      </w:pPr>
      <w:rPr>
        <w:rFonts w:hint="default" w:ascii="Gadugi" w:hAnsi="Gadugi" w:eastAsia="Gadugi" w:cs="Gadugi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7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9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7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96" w:hanging="360"/>
      </w:pPr>
      <w:rPr>
        <w:rFonts w:hint="default" w:ascii="Times New Roman" w:hAnsi="Times New Roman" w:eastAsia="Times New Roman" w:cs="Times New Roman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6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21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9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6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21" w:hanging="360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84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96" w:hanging="360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ominique.wanlin@spw.wallonie.be" TargetMode="External"/><Relationship Id="rId6" Type="http://schemas.openxmlformats.org/officeDocument/2006/relationships/hyperlink" Target="mailto:sophie.cleseur@spw.wallonie.be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102928</dc:creator>
  <dc:title>Microsoft Word - nouveau formulaire MEBAR 13 06 22.doc</dc:title>
  <dcterms:created xsi:type="dcterms:W3CDTF">2022-07-27T10:15:47Z</dcterms:created>
  <dcterms:modified xsi:type="dcterms:W3CDTF">2022-07-27T10:15:47Z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2022-07-27T00:00:00Z</vt:filetime>
  </property>
  <property fmtid="{D5CDD505-2E9C-101B-9397-08002B2CF9AE}" pid="4" name="Producer">
    <vt:lpwstr>Microsoft: Print To PDF</vt:lpwstr>
  </property>
</Properties>
</file>