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2FA6" w14:textId="11405D64" w:rsidR="009747D7" w:rsidRDefault="009747D7">
      <w:pPr>
        <w:rPr>
          <w:lang w:val="fr-FR"/>
        </w:rPr>
      </w:pPr>
    </w:p>
    <w:tbl>
      <w:tblPr>
        <w:tblStyle w:val="Tableausimple3"/>
        <w:tblpPr w:leftFromText="141" w:rightFromText="141" w:vertAnchor="text" w:horzAnchor="margin" w:tblpY="-113"/>
        <w:tblW w:w="9639" w:type="dxa"/>
        <w:tblLook w:val="04A0" w:firstRow="1" w:lastRow="0" w:firstColumn="1" w:lastColumn="0" w:noHBand="0" w:noVBand="1"/>
      </w:tblPr>
      <w:tblGrid>
        <w:gridCol w:w="9639"/>
      </w:tblGrid>
      <w:tr w:rsidR="00F93B59" w14:paraId="520D3046" w14:textId="77777777" w:rsidTr="00F93B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15073F1E" w14:textId="42A6D20B" w:rsidR="00F93B59" w:rsidRDefault="00F93B59" w:rsidP="00F93B59">
            <w:pPr>
              <w:jc w:val="center"/>
              <w:rPr>
                <w:lang w:val="fr-FR"/>
              </w:rPr>
            </w:pPr>
            <w:r w:rsidRPr="009026FB">
              <w:rPr>
                <w:color w:val="3B3838" w:themeColor="background2" w:themeShade="40"/>
                <w:lang w:val="fr-FR"/>
              </w:rPr>
              <w:t>Procès</w:t>
            </w:r>
            <w:r w:rsidR="007504D9" w:rsidRPr="009026FB">
              <w:rPr>
                <w:color w:val="3B3838" w:themeColor="background2" w:themeShade="40"/>
                <w:lang w:val="fr-FR"/>
              </w:rPr>
              <w:t>-</w:t>
            </w:r>
            <w:r w:rsidRPr="009026FB">
              <w:rPr>
                <w:color w:val="3B3838" w:themeColor="background2" w:themeShade="40"/>
                <w:lang w:val="fr-FR"/>
              </w:rPr>
              <w:t>verbal de constat d’infraction</w:t>
            </w:r>
          </w:p>
        </w:tc>
      </w:tr>
      <w:tr w:rsidR="00F93B59" w14:paraId="05719613"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5F01C71E" w14:textId="77777777" w:rsidR="00F93B59" w:rsidRPr="001622A7" w:rsidRDefault="00F93B59" w:rsidP="00F93B59">
            <w:pPr>
              <w:rPr>
                <w:caps w:val="0"/>
                <w:smallCaps/>
                <w:lang w:val="fr-FR"/>
              </w:rPr>
            </w:pPr>
          </w:p>
          <w:p w14:paraId="6240B3FF" w14:textId="77777777" w:rsidR="00F93B59" w:rsidRPr="001622A7" w:rsidRDefault="00F93B59" w:rsidP="00F93B59">
            <w:pPr>
              <w:rPr>
                <w:caps w:val="0"/>
                <w:smallCaps/>
                <w:lang w:val="fr-FR"/>
              </w:rPr>
            </w:pPr>
            <w:r w:rsidRPr="001622A7">
              <w:rPr>
                <w:caps w:val="0"/>
                <w:smallCaps/>
                <w:lang w:val="fr-FR"/>
              </w:rPr>
              <w:t xml:space="preserve">Dossier n° : </w:t>
            </w:r>
          </w:p>
          <w:p w14:paraId="67461F44" w14:textId="49CB1FFD" w:rsidR="00F93B59" w:rsidRPr="001622A7" w:rsidRDefault="00F93B59" w:rsidP="00F93B59">
            <w:pPr>
              <w:rPr>
                <w:caps w:val="0"/>
                <w:smallCaps/>
                <w:lang w:val="fr-FR"/>
              </w:rPr>
            </w:pPr>
            <w:r w:rsidRPr="001622A7">
              <w:rPr>
                <w:caps w:val="0"/>
                <w:smallCaps/>
                <w:lang w:val="fr-FR"/>
              </w:rPr>
              <w:t>Agent</w:t>
            </w:r>
            <w:r w:rsidR="0087682A">
              <w:rPr>
                <w:caps w:val="0"/>
                <w:smallCaps/>
                <w:lang w:val="fr-FR"/>
              </w:rPr>
              <w:t xml:space="preserve"> </w:t>
            </w:r>
            <w:proofErr w:type="spellStart"/>
            <w:r w:rsidR="004E25D1">
              <w:rPr>
                <w:caps w:val="0"/>
                <w:smallCaps/>
                <w:lang w:val="fr-FR"/>
              </w:rPr>
              <w:t>constatateur</w:t>
            </w:r>
            <w:proofErr w:type="spellEnd"/>
            <w:r w:rsidRPr="001622A7">
              <w:rPr>
                <w:caps w:val="0"/>
                <w:smallCaps/>
                <w:lang w:val="fr-FR"/>
              </w:rPr>
              <w:t xml:space="preserve">  :</w:t>
            </w:r>
          </w:p>
          <w:p w14:paraId="082A678C" w14:textId="77777777" w:rsidR="00F93B59" w:rsidRPr="001622A7" w:rsidRDefault="00F93B59" w:rsidP="00F93B59">
            <w:pPr>
              <w:rPr>
                <w:b w:val="0"/>
                <w:bCs w:val="0"/>
                <w:caps w:val="0"/>
                <w:smallCaps/>
                <w:lang w:val="fr-FR"/>
              </w:rPr>
            </w:pPr>
          </w:p>
          <w:p w14:paraId="5DD3124A" w14:textId="77777777" w:rsidR="00F93B59" w:rsidRPr="001622A7" w:rsidRDefault="00F93B59" w:rsidP="00F93B59">
            <w:pPr>
              <w:rPr>
                <w:caps w:val="0"/>
                <w:smallCaps/>
                <w:lang w:val="fr-FR"/>
              </w:rPr>
            </w:pPr>
          </w:p>
        </w:tc>
      </w:tr>
      <w:tr w:rsidR="00F93B59" w14:paraId="4AF47738"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71970DAC" w14:textId="77777777" w:rsidR="00F93B59" w:rsidRPr="001622A7" w:rsidRDefault="00F93B59" w:rsidP="00F93B59">
            <w:pPr>
              <w:rPr>
                <w:caps w:val="0"/>
                <w:smallCaps/>
                <w:lang w:val="fr-FR"/>
              </w:rPr>
            </w:pPr>
          </w:p>
        </w:tc>
      </w:tr>
      <w:tr w:rsidR="00F93B59" w14:paraId="788634CA"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F8E8360" w14:textId="77777777" w:rsidR="00F93B59" w:rsidRPr="001622A7" w:rsidRDefault="00F93B59" w:rsidP="00F93B59">
            <w:pPr>
              <w:rPr>
                <w:b w:val="0"/>
                <w:bCs w:val="0"/>
                <w:caps w:val="0"/>
                <w:smallCaps/>
                <w:lang w:val="fr-FR"/>
              </w:rPr>
            </w:pPr>
            <w:r w:rsidRPr="001622A7">
              <w:rPr>
                <w:caps w:val="0"/>
                <w:smallCaps/>
                <w:lang w:val="fr-FR"/>
              </w:rPr>
              <w:t>adresse du bien</w:t>
            </w:r>
          </w:p>
          <w:p w14:paraId="3952C029" w14:textId="77777777" w:rsidR="00F93B59" w:rsidRDefault="00F93B59" w:rsidP="00F93B59">
            <w:pPr>
              <w:rPr>
                <w:lang w:val="fr-FR"/>
              </w:rPr>
            </w:pPr>
            <w:r>
              <w:rPr>
                <w:b w:val="0"/>
                <w:bCs w:val="0"/>
                <w:caps w:val="0"/>
                <w:lang w:val="fr-FR"/>
              </w:rPr>
              <w:t>(rue), (n°), à (code postal), (commune)</w:t>
            </w:r>
          </w:p>
          <w:p w14:paraId="36A2A6E8" w14:textId="77777777" w:rsidR="00F93B59" w:rsidRDefault="00F93B59" w:rsidP="00F93B59">
            <w:pPr>
              <w:rPr>
                <w:lang w:val="fr-FR"/>
              </w:rPr>
            </w:pPr>
            <w:r>
              <w:rPr>
                <w:b w:val="0"/>
                <w:bCs w:val="0"/>
                <w:caps w:val="0"/>
                <w:lang w:val="fr-FR"/>
              </w:rPr>
              <w:t xml:space="preserve">Nombre de niveaux inoccupés :                   -  Cadastre : </w:t>
            </w:r>
          </w:p>
          <w:p w14:paraId="18E9ED19" w14:textId="77777777" w:rsidR="00F93B59" w:rsidRDefault="00F93B59" w:rsidP="00F93B59">
            <w:pPr>
              <w:rPr>
                <w:lang w:val="fr-FR"/>
              </w:rPr>
            </w:pPr>
            <w:r>
              <w:rPr>
                <w:b w:val="0"/>
                <w:bCs w:val="0"/>
                <w:caps w:val="0"/>
                <w:lang w:val="fr-FR"/>
              </w:rPr>
              <w:t>Largeur de façade : … mètres courants</w:t>
            </w:r>
          </w:p>
          <w:p w14:paraId="61399140" w14:textId="77777777" w:rsidR="00F93B59" w:rsidRPr="00AB0BD3" w:rsidRDefault="00F93B59" w:rsidP="00F93B59">
            <w:pPr>
              <w:rPr>
                <w:b w:val="0"/>
                <w:bCs w:val="0"/>
                <w:caps w:val="0"/>
                <w:lang w:val="fr-FR"/>
              </w:rPr>
            </w:pPr>
          </w:p>
        </w:tc>
      </w:tr>
      <w:tr w:rsidR="00F93B59" w14:paraId="66D97CE0"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4FA422D7" w14:textId="77777777" w:rsidR="00F93B59" w:rsidRPr="001622A7" w:rsidRDefault="00F93B59" w:rsidP="00F93B59">
            <w:pPr>
              <w:rPr>
                <w:caps w:val="0"/>
                <w:smallCaps/>
                <w:lang w:val="fr-FR"/>
              </w:rPr>
            </w:pPr>
          </w:p>
        </w:tc>
      </w:tr>
      <w:tr w:rsidR="00F93B59" w14:paraId="73D1B5A7" w14:textId="77777777" w:rsidTr="00F93B59">
        <w:trPr>
          <w:cnfStyle w:val="000000100000" w:firstRow="0" w:lastRow="0" w:firstColumn="0" w:lastColumn="0" w:oddVBand="0" w:evenVBand="0" w:oddHBand="1"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9639" w:type="dxa"/>
          </w:tcPr>
          <w:p w14:paraId="4098975C" w14:textId="77777777" w:rsidR="00F93B59" w:rsidRDefault="00F93B59" w:rsidP="00F93B59">
            <w:pPr>
              <w:rPr>
                <w:b w:val="0"/>
                <w:bCs w:val="0"/>
                <w:smallCaps/>
                <w:lang w:val="fr-FR"/>
              </w:rPr>
            </w:pPr>
            <w:r>
              <w:rPr>
                <w:caps w:val="0"/>
                <w:smallCaps/>
                <w:lang w:val="fr-FR"/>
              </w:rPr>
              <w:t xml:space="preserve">Titulaire du droit </w:t>
            </w:r>
            <w:proofErr w:type="spellStart"/>
            <w:r>
              <w:rPr>
                <w:caps w:val="0"/>
                <w:smallCaps/>
                <w:lang w:val="fr-FR"/>
              </w:rPr>
              <w:t>reel</w:t>
            </w:r>
            <w:proofErr w:type="spellEnd"/>
            <w:r>
              <w:rPr>
                <w:caps w:val="0"/>
                <w:smallCaps/>
                <w:lang w:val="fr-FR"/>
              </w:rPr>
              <w:t xml:space="preserve"> principal</w:t>
            </w:r>
          </w:p>
          <w:p w14:paraId="38F3732C" w14:textId="77777777" w:rsidR="00F93B59" w:rsidRDefault="00F93B59" w:rsidP="00F93B59">
            <w:pPr>
              <w:rPr>
                <w:lang w:val="fr-FR"/>
              </w:rPr>
            </w:pPr>
            <w:r w:rsidRPr="00DE75ED">
              <w:rPr>
                <w:b w:val="0"/>
                <w:bCs w:val="0"/>
                <w:caps w:val="0"/>
                <w:lang w:val="fr-FR"/>
              </w:rPr>
              <w:t>Nom :                                                       -    Prénom</w:t>
            </w:r>
            <w:r>
              <w:rPr>
                <w:b w:val="0"/>
                <w:bCs w:val="0"/>
                <w:caps w:val="0"/>
                <w:lang w:val="fr-FR"/>
              </w:rPr>
              <w:t xml:space="preserve"> :                                            </w:t>
            </w:r>
          </w:p>
          <w:p w14:paraId="6E963526" w14:textId="77777777" w:rsidR="00F93B59" w:rsidRDefault="00F93B59" w:rsidP="00F93B59">
            <w:pPr>
              <w:rPr>
                <w:lang w:val="fr-FR"/>
              </w:rPr>
            </w:pPr>
            <w:r>
              <w:rPr>
                <w:b w:val="0"/>
                <w:bCs w:val="0"/>
                <w:caps w:val="0"/>
                <w:lang w:val="fr-FR"/>
              </w:rPr>
              <w:t>N° de Registre National      :</w:t>
            </w:r>
          </w:p>
          <w:p w14:paraId="1381EEAA" w14:textId="77777777" w:rsidR="00F93B59" w:rsidRPr="007244BE" w:rsidRDefault="00F93B59" w:rsidP="00F93B59">
            <w:pPr>
              <w:rPr>
                <w:b w:val="0"/>
                <w:bCs w:val="0"/>
                <w:caps w:val="0"/>
                <w:lang w:val="fr-FR"/>
              </w:rPr>
            </w:pPr>
            <w:r w:rsidRPr="007244BE">
              <w:rPr>
                <w:b w:val="0"/>
                <w:bCs w:val="0"/>
                <w:caps w:val="0"/>
                <w:lang w:val="fr-FR"/>
              </w:rPr>
              <w:t xml:space="preserve">Nom entreprise :                               -   N° de TVA : </w:t>
            </w:r>
          </w:p>
          <w:p w14:paraId="7AADACF9" w14:textId="77777777" w:rsidR="00F93B59" w:rsidRPr="00DE75ED" w:rsidRDefault="00F93B59" w:rsidP="00F93B59">
            <w:pPr>
              <w:rPr>
                <w:b w:val="0"/>
                <w:bCs w:val="0"/>
                <w:caps w:val="0"/>
                <w:lang w:val="fr-FR"/>
              </w:rPr>
            </w:pPr>
            <w:r>
              <w:rPr>
                <w:b w:val="0"/>
                <w:bCs w:val="0"/>
                <w:caps w:val="0"/>
                <w:lang w:val="fr-FR"/>
              </w:rPr>
              <w:t>Adresse : (rue), (n°) à (code postal), (commune), (pays)</w:t>
            </w:r>
          </w:p>
        </w:tc>
      </w:tr>
      <w:tr w:rsidR="00F93B59" w14:paraId="6A4D0634"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4F32C8C5" w14:textId="77777777" w:rsidR="00F93B59" w:rsidRPr="001622A7" w:rsidRDefault="00F93B59" w:rsidP="00F93B59">
            <w:pPr>
              <w:rPr>
                <w:caps w:val="0"/>
                <w:smallCaps/>
                <w:lang w:val="fr-FR"/>
              </w:rPr>
            </w:pPr>
          </w:p>
        </w:tc>
      </w:tr>
      <w:tr w:rsidR="00F93B59" w14:paraId="1BDBEADB"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7F3F486" w14:textId="77777777" w:rsidR="00F93B59" w:rsidRDefault="00F93B59" w:rsidP="00F93B59">
            <w:pPr>
              <w:rPr>
                <w:b w:val="0"/>
                <w:bCs w:val="0"/>
                <w:smallCaps/>
                <w:lang w:val="fr-FR"/>
              </w:rPr>
            </w:pPr>
            <w:r>
              <w:rPr>
                <w:caps w:val="0"/>
                <w:smallCaps/>
                <w:lang w:val="fr-FR"/>
              </w:rPr>
              <w:t>Critères d’inoccupation (art. 80 CWHD)</w:t>
            </w:r>
          </w:p>
          <w:p w14:paraId="54F88747" w14:textId="77777777" w:rsidR="00F93B59" w:rsidRPr="00120F55" w:rsidRDefault="00F93B59" w:rsidP="00F93B59">
            <w:pPr>
              <w:rPr>
                <w:b w:val="0"/>
                <w:bCs w:val="0"/>
                <w:caps w:val="0"/>
                <w:smallCaps/>
                <w:lang w:val="fr-FR"/>
              </w:rPr>
            </w:pPr>
          </w:p>
          <w:p w14:paraId="5D6A9D63" w14:textId="77777777" w:rsidR="00F93B59" w:rsidRPr="00120F55" w:rsidRDefault="00F93B59" w:rsidP="00F93B59">
            <w:pPr>
              <w:pStyle w:val="Paragraphedeliste"/>
              <w:numPr>
                <w:ilvl w:val="0"/>
                <w:numId w:val="4"/>
              </w:numPr>
              <w:rPr>
                <w:b w:val="0"/>
                <w:bCs w:val="0"/>
                <w:caps w:val="0"/>
                <w:color w:val="767171" w:themeColor="background2" w:themeShade="80"/>
                <w:lang w:val="fr-FR"/>
              </w:rPr>
            </w:pPr>
            <w:r w:rsidRPr="00120F55">
              <w:rPr>
                <w:b w:val="0"/>
                <w:bCs w:val="0"/>
                <w:caps w:val="0"/>
                <w:color w:val="767171" w:themeColor="background2" w:themeShade="80"/>
                <w:lang w:val="fr-FR"/>
              </w:rPr>
              <w:t>Le logement déclaré inhabitable depuis au moins 12 mois ;</w:t>
            </w:r>
          </w:p>
          <w:p w14:paraId="5E24BCB3" w14:textId="77777777" w:rsidR="00F93B59" w:rsidRPr="00120F55" w:rsidRDefault="00F93B59" w:rsidP="00F93B59">
            <w:pPr>
              <w:pStyle w:val="Paragraphedeliste"/>
              <w:numPr>
                <w:ilvl w:val="0"/>
                <w:numId w:val="5"/>
              </w:numPr>
              <w:rPr>
                <w:b w:val="0"/>
                <w:bCs w:val="0"/>
                <w:caps w:val="0"/>
                <w:color w:val="767171" w:themeColor="background2" w:themeShade="80"/>
                <w:lang w:val="fr-FR"/>
              </w:rPr>
            </w:pPr>
            <w:r w:rsidRPr="00120F55">
              <w:rPr>
                <w:b w:val="0"/>
                <w:bCs w:val="0"/>
                <w:caps w:val="0"/>
                <w:color w:val="767171" w:themeColor="background2" w:themeShade="80"/>
                <w:lang w:val="fr-FR"/>
              </w:rPr>
              <w:t>le logement qui n’est pas garni du mobilier indispensable à son affectation pendant une période de 12 mois consécutifs ;</w:t>
            </w:r>
          </w:p>
          <w:p w14:paraId="426801C8" w14:textId="77777777" w:rsidR="00F93B59" w:rsidRPr="00120F55" w:rsidRDefault="00F93B59" w:rsidP="00F93B59">
            <w:pPr>
              <w:pStyle w:val="Paragraphedeliste"/>
              <w:numPr>
                <w:ilvl w:val="0"/>
                <w:numId w:val="5"/>
              </w:numPr>
              <w:rPr>
                <w:b w:val="0"/>
                <w:bCs w:val="0"/>
                <w:caps w:val="0"/>
                <w:color w:val="767171" w:themeColor="background2" w:themeShade="80"/>
                <w:lang w:val="fr-FR"/>
              </w:rPr>
            </w:pPr>
            <w:r w:rsidRPr="00120F55">
              <w:rPr>
                <w:b w:val="0"/>
                <w:bCs w:val="0"/>
                <w:caps w:val="0"/>
                <w:color w:val="767171" w:themeColor="background2" w:themeShade="80"/>
                <w:lang w:val="fr-FR"/>
              </w:rPr>
              <w:t xml:space="preserve">le logement pour lequel la consommation annuelle d’eau est inférieure à 15 m3 et/ou d'électricité est inférieure à 100 </w:t>
            </w:r>
            <w:proofErr w:type="spellStart"/>
            <w:r w:rsidRPr="00120F55">
              <w:rPr>
                <w:b w:val="0"/>
                <w:bCs w:val="0"/>
                <w:caps w:val="0"/>
                <w:color w:val="767171" w:themeColor="background2" w:themeShade="80"/>
                <w:lang w:val="fr-FR"/>
              </w:rPr>
              <w:t>KwH</w:t>
            </w:r>
            <w:proofErr w:type="spellEnd"/>
            <w:r w:rsidRPr="00120F55">
              <w:rPr>
                <w:b w:val="0"/>
                <w:bCs w:val="0"/>
                <w:caps w:val="0"/>
                <w:color w:val="767171" w:themeColor="background2" w:themeShade="80"/>
                <w:lang w:val="fr-FR"/>
              </w:rPr>
              <w:t xml:space="preserve"> ;</w:t>
            </w:r>
          </w:p>
          <w:p w14:paraId="2B193EEF" w14:textId="77777777" w:rsidR="00F93B59" w:rsidRPr="00120F55" w:rsidRDefault="00F93B59" w:rsidP="00F93B59">
            <w:pPr>
              <w:pStyle w:val="Paragraphedeliste"/>
              <w:numPr>
                <w:ilvl w:val="0"/>
                <w:numId w:val="5"/>
              </w:numPr>
              <w:rPr>
                <w:b w:val="0"/>
                <w:bCs w:val="0"/>
                <w:caps w:val="0"/>
                <w:lang w:val="fr-FR"/>
              </w:rPr>
            </w:pPr>
            <w:r w:rsidRPr="00120F55">
              <w:rPr>
                <w:b w:val="0"/>
                <w:bCs w:val="0"/>
                <w:caps w:val="0"/>
                <w:color w:val="767171" w:themeColor="background2" w:themeShade="80"/>
                <w:lang w:val="fr-FR"/>
              </w:rPr>
              <w:t>le logement pour lequel aucune personne n'est inscrite dans les registres de la population pendant une période d'au moins douze mois consécutifs.</w:t>
            </w:r>
          </w:p>
          <w:p w14:paraId="0290122C" w14:textId="77777777" w:rsidR="00F93B59" w:rsidRDefault="00F93B59" w:rsidP="00F93B59">
            <w:pPr>
              <w:rPr>
                <w:b w:val="0"/>
                <w:bCs w:val="0"/>
                <w:caps w:val="0"/>
                <w:lang w:val="fr-FR"/>
              </w:rPr>
            </w:pPr>
          </w:p>
          <w:p w14:paraId="6C15D010" w14:textId="77777777" w:rsidR="00F93B59" w:rsidRPr="00F93B59" w:rsidRDefault="00F93B59" w:rsidP="00F93B59">
            <w:pPr>
              <w:rPr>
                <w:lang w:val="fr-FR"/>
              </w:rPr>
            </w:pPr>
          </w:p>
        </w:tc>
      </w:tr>
      <w:tr w:rsidR="00F93B59" w14:paraId="0F9F607A"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5ECD9379" w14:textId="77777777" w:rsidR="00F93B59" w:rsidRPr="001622A7" w:rsidRDefault="00F93B59" w:rsidP="00F93B59">
            <w:pPr>
              <w:rPr>
                <w:caps w:val="0"/>
                <w:smallCaps/>
                <w:lang w:val="fr-FR"/>
              </w:rPr>
            </w:pPr>
          </w:p>
        </w:tc>
      </w:tr>
      <w:tr w:rsidR="00F93B59" w14:paraId="59DBFA43"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7044E1CA" w14:textId="77777777" w:rsidR="00F93B59" w:rsidRDefault="00F93B59" w:rsidP="00F93B59">
            <w:pPr>
              <w:rPr>
                <w:b w:val="0"/>
                <w:bCs w:val="0"/>
                <w:smallCaps/>
                <w:lang w:val="fr-FR"/>
              </w:rPr>
            </w:pPr>
            <w:r>
              <w:rPr>
                <w:caps w:val="0"/>
                <w:smallCaps/>
                <w:lang w:val="fr-FR"/>
              </w:rPr>
              <w:t>Commentaires </w:t>
            </w:r>
            <w:proofErr w:type="spellStart"/>
            <w:r>
              <w:rPr>
                <w:caps w:val="0"/>
                <w:smallCaps/>
                <w:lang w:val="fr-FR"/>
              </w:rPr>
              <w:t>eventuels</w:t>
            </w:r>
            <w:proofErr w:type="spellEnd"/>
            <w:r>
              <w:rPr>
                <w:caps w:val="0"/>
                <w:smallCaps/>
                <w:lang w:val="fr-FR"/>
              </w:rPr>
              <w:t> :</w:t>
            </w:r>
          </w:p>
          <w:p w14:paraId="1D96E870" w14:textId="77777777" w:rsidR="00F93B59" w:rsidRDefault="00F93B59" w:rsidP="00F93B59">
            <w:pPr>
              <w:rPr>
                <w:b w:val="0"/>
                <w:bCs w:val="0"/>
                <w:smallCaps/>
                <w:lang w:val="fr-FR"/>
              </w:rPr>
            </w:pPr>
          </w:p>
          <w:p w14:paraId="415FD373" w14:textId="77777777" w:rsidR="00F93B59" w:rsidRDefault="00F93B59" w:rsidP="00F93B59">
            <w:pPr>
              <w:rPr>
                <w:b w:val="0"/>
                <w:bCs w:val="0"/>
                <w:smallCaps/>
                <w:lang w:val="fr-FR"/>
              </w:rPr>
            </w:pPr>
          </w:p>
          <w:p w14:paraId="143FB68D" w14:textId="77777777" w:rsidR="00F93B59" w:rsidRDefault="00F93B59" w:rsidP="00F93B59">
            <w:pPr>
              <w:rPr>
                <w:b w:val="0"/>
                <w:bCs w:val="0"/>
                <w:smallCaps/>
                <w:lang w:val="fr-FR"/>
              </w:rPr>
            </w:pPr>
          </w:p>
          <w:p w14:paraId="6B4AF58B" w14:textId="77777777" w:rsidR="00F93B59" w:rsidRDefault="00F93B59" w:rsidP="00F93B59">
            <w:pPr>
              <w:rPr>
                <w:b w:val="0"/>
                <w:bCs w:val="0"/>
                <w:smallCaps/>
                <w:lang w:val="fr-FR"/>
              </w:rPr>
            </w:pPr>
          </w:p>
          <w:p w14:paraId="35BAC9C9" w14:textId="77777777" w:rsidR="00F93B59" w:rsidRPr="001622A7" w:rsidRDefault="00F93B59" w:rsidP="00F93B59">
            <w:pPr>
              <w:rPr>
                <w:caps w:val="0"/>
                <w:smallCaps/>
                <w:lang w:val="fr-FR"/>
              </w:rPr>
            </w:pPr>
          </w:p>
        </w:tc>
      </w:tr>
      <w:tr w:rsidR="00F93B59" w14:paraId="53EA6FDB"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671CB8CD" w14:textId="77777777" w:rsidR="00F93B59" w:rsidRPr="001622A7" w:rsidRDefault="00F93B59" w:rsidP="00F93B59">
            <w:pPr>
              <w:rPr>
                <w:caps w:val="0"/>
                <w:smallCaps/>
                <w:lang w:val="fr-FR"/>
              </w:rPr>
            </w:pPr>
          </w:p>
        </w:tc>
      </w:tr>
      <w:tr w:rsidR="00F93B59" w14:paraId="584DB049"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63D2072A" w14:textId="77777777" w:rsidR="00F93B59" w:rsidRDefault="00F93B59" w:rsidP="00F93B59">
            <w:pPr>
              <w:rPr>
                <w:b w:val="0"/>
                <w:bCs w:val="0"/>
                <w:smallCaps/>
                <w:lang w:val="fr-FR"/>
              </w:rPr>
            </w:pPr>
            <w:r>
              <w:rPr>
                <w:caps w:val="0"/>
                <w:smallCaps/>
                <w:lang w:val="fr-FR"/>
              </w:rPr>
              <w:t xml:space="preserve">Lieu, (date)                                                                                                </w:t>
            </w:r>
          </w:p>
          <w:p w14:paraId="0B69B199" w14:textId="4EE8CBC4" w:rsidR="00F93B59" w:rsidRDefault="00F93B59" w:rsidP="00F93B59">
            <w:pPr>
              <w:rPr>
                <w:b w:val="0"/>
                <w:bCs w:val="0"/>
                <w:smallCaps/>
                <w:lang w:val="fr-FR"/>
              </w:rPr>
            </w:pPr>
            <w:r>
              <w:rPr>
                <w:caps w:val="0"/>
                <w:smallCaps/>
                <w:lang w:val="fr-FR"/>
              </w:rPr>
              <w:t xml:space="preserve">Nom de l’agent </w:t>
            </w:r>
            <w:proofErr w:type="spellStart"/>
            <w:r>
              <w:rPr>
                <w:caps w:val="0"/>
                <w:smallCaps/>
                <w:lang w:val="fr-FR"/>
              </w:rPr>
              <w:t>constatateur</w:t>
            </w:r>
            <w:proofErr w:type="spellEnd"/>
            <w:r>
              <w:rPr>
                <w:caps w:val="0"/>
                <w:smallCaps/>
                <w:lang w:val="fr-FR"/>
              </w:rPr>
              <w:t> :                                                                                            Signature</w:t>
            </w:r>
            <w:r w:rsidR="007504D9">
              <w:rPr>
                <w:caps w:val="0"/>
                <w:smallCaps/>
                <w:lang w:val="fr-FR"/>
              </w:rPr>
              <w:t> :</w:t>
            </w:r>
          </w:p>
          <w:p w14:paraId="70CEFE2A" w14:textId="77777777" w:rsidR="00F93B59" w:rsidRDefault="00F93B59" w:rsidP="00F93B59">
            <w:pPr>
              <w:rPr>
                <w:b w:val="0"/>
                <w:bCs w:val="0"/>
                <w:smallCaps/>
                <w:lang w:val="fr-FR"/>
              </w:rPr>
            </w:pPr>
          </w:p>
          <w:p w14:paraId="4FF98B51" w14:textId="77777777" w:rsidR="00F93B59" w:rsidRDefault="00F93B59" w:rsidP="00F93B59">
            <w:pPr>
              <w:rPr>
                <w:b w:val="0"/>
                <w:bCs w:val="0"/>
                <w:smallCaps/>
                <w:lang w:val="fr-FR"/>
              </w:rPr>
            </w:pPr>
          </w:p>
          <w:p w14:paraId="33627838" w14:textId="77777777" w:rsidR="00F93B59" w:rsidRDefault="00F93B59" w:rsidP="00F93B59">
            <w:pPr>
              <w:rPr>
                <w:b w:val="0"/>
                <w:bCs w:val="0"/>
                <w:smallCaps/>
                <w:lang w:val="fr-FR"/>
              </w:rPr>
            </w:pPr>
          </w:p>
          <w:p w14:paraId="63AAD55B" w14:textId="77777777" w:rsidR="00F93B59" w:rsidRDefault="00F93B59" w:rsidP="00F93B59">
            <w:pPr>
              <w:rPr>
                <w:b w:val="0"/>
                <w:bCs w:val="0"/>
                <w:smallCaps/>
                <w:lang w:val="fr-FR"/>
              </w:rPr>
            </w:pPr>
          </w:p>
          <w:p w14:paraId="2BC7FC2C" w14:textId="77777777" w:rsidR="00F93B59" w:rsidRDefault="00F93B59" w:rsidP="00F93B59">
            <w:pPr>
              <w:rPr>
                <w:b w:val="0"/>
                <w:bCs w:val="0"/>
                <w:smallCaps/>
                <w:lang w:val="fr-FR"/>
              </w:rPr>
            </w:pPr>
          </w:p>
          <w:p w14:paraId="3221DDFB" w14:textId="77777777" w:rsidR="00F93B59" w:rsidRPr="001622A7" w:rsidRDefault="00F93B59" w:rsidP="00F93B59">
            <w:pPr>
              <w:rPr>
                <w:caps w:val="0"/>
                <w:smallCaps/>
                <w:lang w:val="fr-FR"/>
              </w:rPr>
            </w:pPr>
          </w:p>
        </w:tc>
      </w:tr>
      <w:tr w:rsidR="00F93B59" w14:paraId="7E5BE28B" w14:textId="77777777" w:rsidTr="00F93B59">
        <w:tc>
          <w:tcPr>
            <w:cnfStyle w:val="001000000000" w:firstRow="0" w:lastRow="0" w:firstColumn="1" w:lastColumn="0" w:oddVBand="0" w:evenVBand="0" w:oddHBand="0" w:evenHBand="0" w:firstRowFirstColumn="0" w:firstRowLastColumn="0" w:lastRowFirstColumn="0" w:lastRowLastColumn="0"/>
            <w:tcW w:w="9639" w:type="dxa"/>
          </w:tcPr>
          <w:p w14:paraId="3770D303" w14:textId="77777777" w:rsidR="00F93B59" w:rsidRPr="00DF6002" w:rsidRDefault="00F93B59" w:rsidP="00F93B59">
            <w:pPr>
              <w:rPr>
                <w:b w:val="0"/>
                <w:bCs w:val="0"/>
                <w:caps w:val="0"/>
                <w:lang w:val="fr-FR"/>
              </w:rPr>
            </w:pPr>
          </w:p>
        </w:tc>
      </w:tr>
      <w:tr w:rsidR="00F93B59" w14:paraId="23DFD242" w14:textId="77777777" w:rsidTr="00F93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60EE123" w14:textId="77777777" w:rsidR="00F93B59" w:rsidRPr="00DF6002" w:rsidRDefault="00F93B59" w:rsidP="00F93B59">
            <w:pPr>
              <w:rPr>
                <w:i/>
                <w:iCs/>
                <w:caps w:val="0"/>
                <w:smallCaps/>
                <w:lang w:val="fr-FR"/>
              </w:rPr>
            </w:pPr>
            <w:r w:rsidRPr="00DF6002">
              <w:rPr>
                <w:b w:val="0"/>
                <w:bCs w:val="0"/>
                <w:i/>
                <w:iCs/>
                <w:caps w:val="0"/>
                <w:lang w:val="fr-FR"/>
              </w:rPr>
              <w:t>Ce p</w:t>
            </w:r>
            <w:r>
              <w:rPr>
                <w:b w:val="0"/>
                <w:bCs w:val="0"/>
                <w:i/>
                <w:iCs/>
                <w:caps w:val="0"/>
                <w:lang w:val="fr-FR"/>
              </w:rPr>
              <w:t>rocès-verbal</w:t>
            </w:r>
            <w:r w:rsidRPr="00DF6002">
              <w:rPr>
                <w:b w:val="0"/>
                <w:bCs w:val="0"/>
                <w:i/>
                <w:iCs/>
                <w:caps w:val="0"/>
                <w:lang w:val="fr-FR"/>
              </w:rPr>
              <w:t xml:space="preserve"> a été transmis aux (nombre) de titulaire d’un droit réel principal sur le bien </w:t>
            </w:r>
          </w:p>
        </w:tc>
      </w:tr>
    </w:tbl>
    <w:p w14:paraId="5B69ECB3" w14:textId="4587BE99" w:rsidR="007D582F" w:rsidRDefault="007D582F">
      <w:pPr>
        <w:rPr>
          <w:lang w:val="fr-FR"/>
        </w:rPr>
      </w:pPr>
    </w:p>
    <w:p w14:paraId="66C55E57" w14:textId="3F1D7320" w:rsidR="002676BB" w:rsidRDefault="002676BB">
      <w:pPr>
        <w:rPr>
          <w:lang w:val="fr-FR"/>
        </w:rPr>
      </w:pPr>
      <w:r>
        <w:rPr>
          <w:lang w:val="fr-FR"/>
        </w:rPr>
        <w:br w:type="page"/>
      </w:r>
    </w:p>
    <w:p w14:paraId="50BBC93A" w14:textId="3BE54CF0" w:rsidR="00B22809" w:rsidRDefault="00B22809" w:rsidP="00085D99">
      <w:pPr>
        <w:pStyle w:val="Titre1"/>
        <w:rPr>
          <w:lang w:val="fr-FR"/>
        </w:rPr>
      </w:pPr>
      <w:r>
        <w:rPr>
          <w:lang w:val="fr-FR"/>
        </w:rPr>
        <w:lastRenderedPageBreak/>
        <w:t>Extrait du Code wallon de l’habitation durable</w:t>
      </w:r>
    </w:p>
    <w:p w14:paraId="56E0EA82" w14:textId="77777777" w:rsidR="00085D99" w:rsidRDefault="00085D99" w:rsidP="00B22809">
      <w:pPr>
        <w:rPr>
          <w:b/>
          <w:bCs/>
          <w:lang w:val="fr-FR"/>
        </w:rPr>
      </w:pPr>
    </w:p>
    <w:p w14:paraId="4F2386D8" w14:textId="6709BC3B" w:rsidR="00B22809" w:rsidRPr="000C7368" w:rsidRDefault="00B22809" w:rsidP="000C7368">
      <w:pPr>
        <w:pStyle w:val="Paragraphedeliste"/>
        <w:numPr>
          <w:ilvl w:val="0"/>
          <w:numId w:val="6"/>
        </w:numPr>
        <w:rPr>
          <w:lang w:val="fr-FR"/>
        </w:rPr>
      </w:pPr>
      <w:r w:rsidRPr="000C7368">
        <w:rPr>
          <w:b/>
          <w:bCs/>
          <w:lang w:val="fr-FR"/>
        </w:rPr>
        <w:t>Article 80</w:t>
      </w:r>
      <w:r w:rsidR="00734A4F">
        <w:rPr>
          <w:lang w:val="fr-FR"/>
        </w:rPr>
        <w:t> :</w:t>
      </w:r>
    </w:p>
    <w:p w14:paraId="4B04858C" w14:textId="3C6519F1" w:rsidR="00D96E60" w:rsidRPr="00D96E60" w:rsidRDefault="00D96E60" w:rsidP="00D96E60">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D96E60">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D96E60">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D96E60">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39603D39" w:rsidR="00237C6B" w:rsidRDefault="00D96E60" w:rsidP="00D96E60">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aux communes, au moins une fois par an, la liste détaillée des logements présents sur le territoire de la commune concernée pour lesquels la consommation d'eau ou d'électricité est inférieure à la consommation minimale fixée par le Gouvernement selon les modalités qu'il arrête.</w:t>
      </w:r>
    </w:p>
    <w:p w14:paraId="47269182" w14:textId="62697D66" w:rsidR="00D96E60" w:rsidRPr="00D96E60" w:rsidRDefault="00D96E60" w:rsidP="00D96E60">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D96E60">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D96E60">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D96E60">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5B3FBA29" w:rsidR="00D96E60" w:rsidRPr="00D96E60" w:rsidRDefault="00D96E60" w:rsidP="00D96E60">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3B174603" w:rsidR="00D96E60" w:rsidRPr="00D96E60" w:rsidRDefault="00D96E60" w:rsidP="00D96E60">
      <w:pPr>
        <w:spacing w:after="0"/>
        <w:jc w:val="both"/>
        <w:rPr>
          <w:lang w:val="fr-FR"/>
        </w:rPr>
      </w:pPr>
      <w:r w:rsidRPr="00D96E60">
        <w:rPr>
          <w:lang w:val="fr-FR"/>
        </w:rPr>
        <w:t>L'occupation sans droit ni titre par une personne sans abri n'interrompt pas l'inoccupation visée à l'alinéa 1er.</w:t>
      </w:r>
    </w:p>
    <w:p w14:paraId="473BABE4" w14:textId="22C7CA4D" w:rsidR="00D96E60" w:rsidRPr="00D96E60" w:rsidRDefault="00D96E60" w:rsidP="00D96E60">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73E1DD2" w14:textId="65A8AFEE" w:rsidR="00D96E60" w:rsidRPr="00D96E60" w:rsidRDefault="00D96E60" w:rsidP="00D96E60">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050AF2E2" w14:textId="1F41A51D" w:rsidR="00D96E60" w:rsidRPr="00D96E60" w:rsidRDefault="00D96E60" w:rsidP="00D96E60">
      <w:pPr>
        <w:spacing w:after="0"/>
        <w:jc w:val="both"/>
        <w:rPr>
          <w:lang w:val="fr-FR"/>
        </w:rPr>
      </w:pPr>
      <w:r w:rsidRPr="00D96E60">
        <w:rPr>
          <w:lang w:val="fr-FR"/>
        </w:rPr>
        <w:t xml:space="preserve"> Est présumé occupé, le logement correspondant à l'un des cas suivants :</w:t>
      </w:r>
    </w:p>
    <w:p w14:paraId="101489AB" w14:textId="5628190D" w:rsidR="00D96E60" w:rsidRPr="00D96E60" w:rsidRDefault="00D96E60" w:rsidP="00D96E60">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D96E60">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8479B86" w14:textId="059B7E80" w:rsidR="00D96E60" w:rsidRPr="00D96E60" w:rsidRDefault="00D96E60" w:rsidP="00D96E60">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68EF54F8" w:rsidR="0066331E" w:rsidRDefault="00D96E60" w:rsidP="00D96E60">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409BA05C" w14:textId="53FC6010" w:rsidR="00237C6B" w:rsidRDefault="00237C6B" w:rsidP="00D96E60">
      <w:pPr>
        <w:spacing w:after="0"/>
        <w:jc w:val="both"/>
        <w:rPr>
          <w:lang w:val="fr-FR"/>
        </w:rPr>
      </w:pPr>
    </w:p>
    <w:p w14:paraId="13FE1730" w14:textId="649F254C" w:rsidR="001727F6" w:rsidRDefault="001727F6" w:rsidP="00D96E60">
      <w:pPr>
        <w:spacing w:after="0"/>
        <w:jc w:val="both"/>
        <w:rPr>
          <w:lang w:val="fr-FR"/>
        </w:rPr>
      </w:pPr>
      <w:r>
        <w:rPr>
          <w:lang w:val="fr-FR"/>
        </w:rPr>
        <w:t>(…)</w:t>
      </w:r>
    </w:p>
    <w:p w14:paraId="4866AF7F" w14:textId="77777777" w:rsidR="001727F6" w:rsidRDefault="001727F6" w:rsidP="00D96E60">
      <w:pPr>
        <w:spacing w:after="0"/>
        <w:jc w:val="both"/>
        <w:rPr>
          <w:lang w:val="fr-FR"/>
        </w:rPr>
      </w:pPr>
    </w:p>
    <w:p w14:paraId="20F8DEF8" w14:textId="266781A4"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085D9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085D9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085D9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085D9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085D9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085D99">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085D99">
      <w:pPr>
        <w:spacing w:after="0"/>
        <w:jc w:val="both"/>
        <w:rPr>
          <w:lang w:val="fr-FR"/>
        </w:rPr>
      </w:pPr>
      <w:r w:rsidRPr="00887F43">
        <w:rPr>
          <w:lang w:val="fr-FR"/>
        </w:rPr>
        <w:t>1° le fait imputé et la disposition légale enfreinte;</w:t>
      </w:r>
    </w:p>
    <w:p w14:paraId="5820ED1E" w14:textId="4D6345A0" w:rsidR="00887F43" w:rsidRPr="00887F43" w:rsidRDefault="00887F43" w:rsidP="00085D99">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085D99">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32F6D407"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w:t>
      </w:r>
    </w:p>
    <w:p w14:paraId="254F4E9E" w14:textId="1AF7DB2D" w:rsidR="00887F43" w:rsidRPr="00887F43" w:rsidRDefault="00887F43" w:rsidP="00085D9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668606D6" w:rsidR="00887F43" w:rsidRPr="00887F43" w:rsidRDefault="00887F43" w:rsidP="00085D9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w:t>
      </w:r>
    </w:p>
    <w:p w14:paraId="191126D3" w14:textId="24315D5C" w:rsidR="00887F43" w:rsidRPr="00887F43" w:rsidRDefault="00887F43" w:rsidP="00085D99">
      <w:pPr>
        <w:spacing w:after="0"/>
        <w:jc w:val="both"/>
        <w:rPr>
          <w:lang w:val="fr-FR"/>
        </w:rPr>
      </w:pPr>
      <w:r w:rsidRPr="00887F43">
        <w:rPr>
          <w:lang w:val="fr-FR"/>
        </w:rPr>
        <w:t>§ 5. L'amende est recouvrée et poursuivie par le directeur financier de la commune. Le produit des amendes est perçu par la commune.</w:t>
      </w:r>
    </w:p>
    <w:p w14:paraId="420B1CFB" w14:textId="3768BFD6" w:rsidR="00887F43" w:rsidRPr="00887F43" w:rsidRDefault="00887F43" w:rsidP="00085D9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085D9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B22809">
      <w:pPr>
        <w:rPr>
          <w:lang w:val="fr-FR"/>
        </w:rPr>
      </w:pPr>
    </w:p>
    <w:p w14:paraId="068E830C" w14:textId="56D2D7B9"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0C7368">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F50FF3">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F50FF3">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F50FF3">
      <w:pPr>
        <w:jc w:val="both"/>
        <w:rPr>
          <w:lang w:val="fr-FR"/>
        </w:rPr>
      </w:pPr>
    </w:p>
    <w:p w14:paraId="70DFD22A" w14:textId="77777777" w:rsidR="000A21FF" w:rsidRDefault="000A21FF" w:rsidP="000C7368">
      <w:pPr>
        <w:jc w:val="both"/>
        <w:rPr>
          <w:lang w:val="fr-FR"/>
        </w:rPr>
      </w:pPr>
    </w:p>
    <w:p w14:paraId="3E1F458B" w14:textId="6853A7B4" w:rsidR="00B22809" w:rsidRPr="006B458D" w:rsidRDefault="00B22809" w:rsidP="000A21FF">
      <w:pPr>
        <w:pStyle w:val="Titre1"/>
        <w:rPr>
          <w:sz w:val="24"/>
          <w:szCs w:val="24"/>
          <w:lang w:val="fr-FR"/>
        </w:rPr>
      </w:pPr>
      <w:r>
        <w:rPr>
          <w:lang w:val="fr-FR"/>
        </w:rPr>
        <w:lastRenderedPageBreak/>
        <w:t>A</w:t>
      </w:r>
      <w:r w:rsidR="000A21FF">
        <w:rPr>
          <w:lang w:val="fr-FR"/>
        </w:rPr>
        <w:t xml:space="preserve">rrêté du </w:t>
      </w:r>
      <w:r>
        <w:rPr>
          <w:lang w:val="fr-FR"/>
        </w:rPr>
        <w:t>G</w:t>
      </w:r>
      <w:r w:rsidR="000A21FF">
        <w:rPr>
          <w:lang w:val="fr-FR"/>
        </w:rPr>
        <w:t>ouvernement wallon</w:t>
      </w:r>
      <w:r>
        <w:rPr>
          <w:lang w:val="fr-FR"/>
        </w:rPr>
        <w:t xml:space="preserve"> du 19 janvier 2022</w:t>
      </w:r>
      <w:r w:rsidR="000A21FF">
        <w:rPr>
          <w:lang w:val="fr-FR"/>
        </w:rPr>
        <w:t xml:space="preserve"> r</w:t>
      </w:r>
      <w:r w:rsidR="000A21FF" w:rsidRPr="000A21FF">
        <w:rPr>
          <w:lang w:val="fr-FR"/>
        </w:rPr>
        <w:t>elatif aux amendes administratives visées à l'article 85ter du Code wallon de l'Habitation durable</w:t>
      </w:r>
      <w:r w:rsidR="00A67E41">
        <w:rPr>
          <w:rStyle w:val="Appelnotedebasdep"/>
          <w:lang w:val="fr-FR"/>
        </w:rPr>
        <w:footnoteReference w:id="1"/>
      </w:r>
      <w:r w:rsidR="006D0A0C">
        <w:rPr>
          <w:lang w:val="fr-FR"/>
        </w:rPr>
        <w:t xml:space="preserve"> </w:t>
      </w:r>
    </w:p>
    <w:p w14:paraId="0E2AC91A" w14:textId="77777777" w:rsidR="001F4F30" w:rsidRDefault="001F4F30" w:rsidP="001F4F30">
      <w:pPr>
        <w:spacing w:after="0"/>
        <w:jc w:val="both"/>
        <w:rPr>
          <w:rFonts w:asciiTheme="majorHAnsi" w:eastAsiaTheme="majorEastAsia" w:hAnsiTheme="majorHAnsi" w:cstheme="majorBidi"/>
          <w:color w:val="262626" w:themeColor="text1" w:themeTint="D9"/>
          <w:sz w:val="40"/>
          <w:szCs w:val="40"/>
          <w:lang w:val="fr-FR"/>
        </w:rPr>
      </w:pPr>
    </w:p>
    <w:p w14:paraId="5DB1DF61"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5ABF6F2F"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0CF5C922" w14:textId="59D1A54D" w:rsidR="001F4F30"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4D464F8A" w14:textId="6460D6FA" w:rsidR="00D60CA3"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5CE307C3" w14:textId="77777777" w:rsidR="00D60CA3" w:rsidRPr="001F4F30" w:rsidRDefault="00D60CA3" w:rsidP="001F4F30">
      <w:pPr>
        <w:spacing w:after="0"/>
        <w:jc w:val="both"/>
        <w:rPr>
          <w:rFonts w:cstheme="minorHAnsi"/>
          <w:sz w:val="22"/>
          <w:szCs w:val="22"/>
          <w:lang w:val="fr-FR"/>
        </w:rPr>
      </w:pPr>
    </w:p>
    <w:sectPr w:rsidR="00D60CA3" w:rsidRPr="001F4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7351" w14:textId="77777777" w:rsidR="00441BF0" w:rsidRDefault="00441BF0" w:rsidP="003749DF">
      <w:pPr>
        <w:spacing w:after="0" w:line="240" w:lineRule="auto"/>
      </w:pPr>
      <w:r>
        <w:separator/>
      </w:r>
    </w:p>
  </w:endnote>
  <w:endnote w:type="continuationSeparator" w:id="0">
    <w:p w14:paraId="48F51F80" w14:textId="77777777" w:rsidR="00441BF0" w:rsidRDefault="00441BF0"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3452" w14:textId="77777777" w:rsidR="00441BF0" w:rsidRDefault="00441BF0" w:rsidP="003749DF">
      <w:pPr>
        <w:spacing w:after="0" w:line="240" w:lineRule="auto"/>
      </w:pPr>
      <w:r>
        <w:separator/>
      </w:r>
    </w:p>
  </w:footnote>
  <w:footnote w:type="continuationSeparator" w:id="0">
    <w:p w14:paraId="07440521" w14:textId="77777777" w:rsidR="00441BF0" w:rsidRDefault="00441BF0" w:rsidP="003749DF">
      <w:pPr>
        <w:spacing w:after="0" w:line="240" w:lineRule="auto"/>
      </w:pPr>
      <w:r>
        <w:continuationSeparator/>
      </w:r>
    </w:p>
  </w:footnote>
  <w:footnote w:id="1">
    <w:p w14:paraId="79E88B46" w14:textId="21B9A715" w:rsidR="00A67E41" w:rsidRDefault="00A67E41">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175AE5"/>
    <w:multiLevelType w:val="hybridMultilevel"/>
    <w:tmpl w:val="964A2CCC"/>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7A1DCD"/>
    <w:multiLevelType w:val="hybridMultilevel"/>
    <w:tmpl w:val="1762934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8A2F2E"/>
    <w:multiLevelType w:val="hybridMultilevel"/>
    <w:tmpl w:val="5C885700"/>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874542923">
    <w:abstractNumId w:val="7"/>
  </w:num>
  <w:num w:numId="2" w16cid:durableId="1788115936">
    <w:abstractNumId w:val="4"/>
  </w:num>
  <w:num w:numId="3" w16cid:durableId="623661662">
    <w:abstractNumId w:val="3"/>
  </w:num>
  <w:num w:numId="4" w16cid:durableId="757016766">
    <w:abstractNumId w:val="2"/>
  </w:num>
  <w:num w:numId="5" w16cid:durableId="1715277773">
    <w:abstractNumId w:val="5"/>
  </w:num>
  <w:num w:numId="6" w16cid:durableId="1236741271">
    <w:abstractNumId w:val="0"/>
  </w:num>
  <w:num w:numId="7" w16cid:durableId="491069768">
    <w:abstractNumId w:val="8"/>
  </w:num>
  <w:num w:numId="8" w16cid:durableId="567614429">
    <w:abstractNumId w:val="1"/>
  </w:num>
  <w:num w:numId="9" w16cid:durableId="4838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34DFC"/>
    <w:rsid w:val="00034E9A"/>
    <w:rsid w:val="00085D99"/>
    <w:rsid w:val="000925E7"/>
    <w:rsid w:val="000A21FF"/>
    <w:rsid w:val="000A2887"/>
    <w:rsid w:val="000A2A85"/>
    <w:rsid w:val="000C3E0D"/>
    <w:rsid w:val="000C7368"/>
    <w:rsid w:val="000D4391"/>
    <w:rsid w:val="000F4487"/>
    <w:rsid w:val="001142B1"/>
    <w:rsid w:val="00114911"/>
    <w:rsid w:val="00120F55"/>
    <w:rsid w:val="00121192"/>
    <w:rsid w:val="001420F0"/>
    <w:rsid w:val="001622A7"/>
    <w:rsid w:val="0017145E"/>
    <w:rsid w:val="001727F6"/>
    <w:rsid w:val="00193D8B"/>
    <w:rsid w:val="00196DC1"/>
    <w:rsid w:val="001A582D"/>
    <w:rsid w:val="001B66E8"/>
    <w:rsid w:val="001C2C2D"/>
    <w:rsid w:val="001F4F30"/>
    <w:rsid w:val="00202080"/>
    <w:rsid w:val="0020449F"/>
    <w:rsid w:val="002156E0"/>
    <w:rsid w:val="0022794D"/>
    <w:rsid w:val="00237C6B"/>
    <w:rsid w:val="00263FE6"/>
    <w:rsid w:val="00264825"/>
    <w:rsid w:val="00267205"/>
    <w:rsid w:val="002676BB"/>
    <w:rsid w:val="00286ABD"/>
    <w:rsid w:val="002B4034"/>
    <w:rsid w:val="002E41BC"/>
    <w:rsid w:val="003012B4"/>
    <w:rsid w:val="00305595"/>
    <w:rsid w:val="00320ADA"/>
    <w:rsid w:val="00327276"/>
    <w:rsid w:val="0034122D"/>
    <w:rsid w:val="00346800"/>
    <w:rsid w:val="0036403B"/>
    <w:rsid w:val="00372B0E"/>
    <w:rsid w:val="003749DF"/>
    <w:rsid w:val="00384799"/>
    <w:rsid w:val="00396CBA"/>
    <w:rsid w:val="003D6B68"/>
    <w:rsid w:val="00412111"/>
    <w:rsid w:val="0041753E"/>
    <w:rsid w:val="004361B0"/>
    <w:rsid w:val="00441BF0"/>
    <w:rsid w:val="00467304"/>
    <w:rsid w:val="00491DAD"/>
    <w:rsid w:val="004B584B"/>
    <w:rsid w:val="004B5F67"/>
    <w:rsid w:val="004D095C"/>
    <w:rsid w:val="004E081D"/>
    <w:rsid w:val="004E25D1"/>
    <w:rsid w:val="004F11A6"/>
    <w:rsid w:val="004F2FD1"/>
    <w:rsid w:val="00505097"/>
    <w:rsid w:val="0051536D"/>
    <w:rsid w:val="00525062"/>
    <w:rsid w:val="00553AF6"/>
    <w:rsid w:val="00554FA8"/>
    <w:rsid w:val="005604A8"/>
    <w:rsid w:val="00565166"/>
    <w:rsid w:val="0057159B"/>
    <w:rsid w:val="0058356F"/>
    <w:rsid w:val="005A2A32"/>
    <w:rsid w:val="005B5F12"/>
    <w:rsid w:val="005B7F2D"/>
    <w:rsid w:val="005C4040"/>
    <w:rsid w:val="005C7346"/>
    <w:rsid w:val="00607C27"/>
    <w:rsid w:val="00620D76"/>
    <w:rsid w:val="00621AF7"/>
    <w:rsid w:val="0063412A"/>
    <w:rsid w:val="006369F8"/>
    <w:rsid w:val="006512B4"/>
    <w:rsid w:val="0066331E"/>
    <w:rsid w:val="00671E5B"/>
    <w:rsid w:val="00692CFC"/>
    <w:rsid w:val="006942B5"/>
    <w:rsid w:val="00697BDE"/>
    <w:rsid w:val="006B458D"/>
    <w:rsid w:val="006B63BF"/>
    <w:rsid w:val="006D0A0C"/>
    <w:rsid w:val="006E208A"/>
    <w:rsid w:val="00700B7E"/>
    <w:rsid w:val="00704227"/>
    <w:rsid w:val="007244BE"/>
    <w:rsid w:val="00726DD1"/>
    <w:rsid w:val="00734A4F"/>
    <w:rsid w:val="00741499"/>
    <w:rsid w:val="007504D9"/>
    <w:rsid w:val="00781958"/>
    <w:rsid w:val="00783E9F"/>
    <w:rsid w:val="00795103"/>
    <w:rsid w:val="007D582F"/>
    <w:rsid w:val="007D5E30"/>
    <w:rsid w:val="007E18A5"/>
    <w:rsid w:val="00806A1D"/>
    <w:rsid w:val="00807772"/>
    <w:rsid w:val="00825B96"/>
    <w:rsid w:val="0087682A"/>
    <w:rsid w:val="00887F43"/>
    <w:rsid w:val="00892889"/>
    <w:rsid w:val="008C496A"/>
    <w:rsid w:val="008F3D8E"/>
    <w:rsid w:val="009026FB"/>
    <w:rsid w:val="00914033"/>
    <w:rsid w:val="00932E1B"/>
    <w:rsid w:val="009351CF"/>
    <w:rsid w:val="009414B5"/>
    <w:rsid w:val="00974241"/>
    <w:rsid w:val="009747D7"/>
    <w:rsid w:val="00992814"/>
    <w:rsid w:val="009A1430"/>
    <w:rsid w:val="009D1FCD"/>
    <w:rsid w:val="009D3910"/>
    <w:rsid w:val="00A024BD"/>
    <w:rsid w:val="00A07F01"/>
    <w:rsid w:val="00A168BC"/>
    <w:rsid w:val="00A27303"/>
    <w:rsid w:val="00A67E41"/>
    <w:rsid w:val="00A81C37"/>
    <w:rsid w:val="00A92B1A"/>
    <w:rsid w:val="00AA48C1"/>
    <w:rsid w:val="00AB0BD3"/>
    <w:rsid w:val="00AE44D0"/>
    <w:rsid w:val="00AE7ECD"/>
    <w:rsid w:val="00AF47E0"/>
    <w:rsid w:val="00B05B8B"/>
    <w:rsid w:val="00B22809"/>
    <w:rsid w:val="00B23096"/>
    <w:rsid w:val="00B27184"/>
    <w:rsid w:val="00B35C2E"/>
    <w:rsid w:val="00BB1E55"/>
    <w:rsid w:val="00BB429A"/>
    <w:rsid w:val="00BD1CAB"/>
    <w:rsid w:val="00BF492F"/>
    <w:rsid w:val="00C2108C"/>
    <w:rsid w:val="00C26409"/>
    <w:rsid w:val="00C45380"/>
    <w:rsid w:val="00C66FF2"/>
    <w:rsid w:val="00C7539B"/>
    <w:rsid w:val="00C9213E"/>
    <w:rsid w:val="00CB6EF5"/>
    <w:rsid w:val="00CD3A0A"/>
    <w:rsid w:val="00CD6C85"/>
    <w:rsid w:val="00CE41B4"/>
    <w:rsid w:val="00CF151E"/>
    <w:rsid w:val="00CF50AE"/>
    <w:rsid w:val="00D14CBC"/>
    <w:rsid w:val="00D30974"/>
    <w:rsid w:val="00D453B8"/>
    <w:rsid w:val="00D54CA7"/>
    <w:rsid w:val="00D60CA3"/>
    <w:rsid w:val="00D947BB"/>
    <w:rsid w:val="00D94B5F"/>
    <w:rsid w:val="00D96E60"/>
    <w:rsid w:val="00DD3C57"/>
    <w:rsid w:val="00DE75ED"/>
    <w:rsid w:val="00DF6002"/>
    <w:rsid w:val="00DF7DC1"/>
    <w:rsid w:val="00DF7FFC"/>
    <w:rsid w:val="00E06F12"/>
    <w:rsid w:val="00E33EBE"/>
    <w:rsid w:val="00E54A72"/>
    <w:rsid w:val="00E74389"/>
    <w:rsid w:val="00E8568B"/>
    <w:rsid w:val="00E93AB6"/>
    <w:rsid w:val="00E956DC"/>
    <w:rsid w:val="00EA04DC"/>
    <w:rsid w:val="00EA4337"/>
    <w:rsid w:val="00EC7710"/>
    <w:rsid w:val="00ED7A6C"/>
    <w:rsid w:val="00EE2E51"/>
    <w:rsid w:val="00EE5A0F"/>
    <w:rsid w:val="00F213A0"/>
    <w:rsid w:val="00F368DC"/>
    <w:rsid w:val="00F50FF3"/>
    <w:rsid w:val="00F776A1"/>
    <w:rsid w:val="00F84209"/>
    <w:rsid w:val="00F8757D"/>
    <w:rsid w:val="00F93B59"/>
    <w:rsid w:val="00FA4EC7"/>
    <w:rsid w:val="00FB2FC7"/>
    <w:rsid w:val="00FC1078"/>
    <w:rsid w:val="00FC19C6"/>
    <w:rsid w:val="00FC1FB8"/>
    <w:rsid w:val="00FE0D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F84209"/>
    <w:rPr>
      <w:sz w:val="16"/>
      <w:szCs w:val="16"/>
    </w:rPr>
  </w:style>
  <w:style w:type="paragraph" w:styleId="Commentaire">
    <w:name w:val="annotation text"/>
    <w:basedOn w:val="Normal"/>
    <w:link w:val="CommentaireCar"/>
    <w:uiPriority w:val="99"/>
    <w:unhideWhenUsed/>
    <w:rsid w:val="00F84209"/>
    <w:pPr>
      <w:spacing w:line="240" w:lineRule="auto"/>
    </w:pPr>
    <w:rPr>
      <w:sz w:val="20"/>
      <w:szCs w:val="20"/>
    </w:rPr>
  </w:style>
  <w:style w:type="character" w:customStyle="1" w:styleId="CommentaireCar">
    <w:name w:val="Commentaire Car"/>
    <w:basedOn w:val="Policepardfaut"/>
    <w:link w:val="Commentaire"/>
    <w:uiPriority w:val="99"/>
    <w:rsid w:val="00F84209"/>
    <w:rPr>
      <w:sz w:val="20"/>
      <w:szCs w:val="20"/>
    </w:rPr>
  </w:style>
  <w:style w:type="paragraph" w:styleId="Objetducommentaire">
    <w:name w:val="annotation subject"/>
    <w:basedOn w:val="Commentaire"/>
    <w:next w:val="Commentaire"/>
    <w:link w:val="ObjetducommentaireCar"/>
    <w:uiPriority w:val="99"/>
    <w:semiHidden/>
    <w:unhideWhenUsed/>
    <w:rsid w:val="00F84209"/>
    <w:rPr>
      <w:b/>
      <w:bCs/>
    </w:rPr>
  </w:style>
  <w:style w:type="character" w:customStyle="1" w:styleId="ObjetducommentaireCar">
    <w:name w:val="Objet du commentaire Car"/>
    <w:basedOn w:val="CommentaireCar"/>
    <w:link w:val="Objetducommentaire"/>
    <w:uiPriority w:val="99"/>
    <w:semiHidden/>
    <w:rsid w:val="00F84209"/>
    <w:rPr>
      <w:b/>
      <w:bCs/>
      <w:sz w:val="20"/>
      <w:szCs w:val="20"/>
    </w:rPr>
  </w:style>
  <w:style w:type="paragraph" w:styleId="Rvision">
    <w:name w:val="Revision"/>
    <w:hidden/>
    <w:uiPriority w:val="99"/>
    <w:semiHidden/>
    <w:rsid w:val="00D94B5F"/>
    <w:pPr>
      <w:spacing w:after="0" w:line="240" w:lineRule="auto"/>
    </w:pPr>
  </w:style>
  <w:style w:type="paragraph" w:styleId="En-tte">
    <w:name w:val="header"/>
    <w:basedOn w:val="Normal"/>
    <w:link w:val="En-tteCar"/>
    <w:uiPriority w:val="99"/>
    <w:unhideWhenUsed/>
    <w:rsid w:val="00121192"/>
    <w:pPr>
      <w:tabs>
        <w:tab w:val="center" w:pos="4536"/>
        <w:tab w:val="right" w:pos="9072"/>
      </w:tabs>
      <w:spacing w:after="0" w:line="240" w:lineRule="auto"/>
    </w:pPr>
  </w:style>
  <w:style w:type="character" w:customStyle="1" w:styleId="En-tteCar">
    <w:name w:val="En-tête Car"/>
    <w:basedOn w:val="Policepardfaut"/>
    <w:link w:val="En-tte"/>
    <w:uiPriority w:val="99"/>
    <w:rsid w:val="00121192"/>
  </w:style>
  <w:style w:type="paragraph" w:styleId="Pieddepage">
    <w:name w:val="footer"/>
    <w:basedOn w:val="Normal"/>
    <w:link w:val="PieddepageCar"/>
    <w:uiPriority w:val="99"/>
    <w:unhideWhenUsed/>
    <w:rsid w:val="001211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10410</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2</cp:revision>
  <dcterms:created xsi:type="dcterms:W3CDTF">2022-09-29T14:30:00Z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2022-08-25T12:21:21Z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180d1830-d637-4c3a-ac45-769a0a1faf39</vt:lpwstr>
  </property>
  <property fmtid="{D5CDD505-2E9C-101B-9397-08002B2CF9AE}" pid="8" name="MSIP_Label_97a477d1-147d-4e34-b5e3-7b26d2f44870_ContentBits">
    <vt:lpwstr>0</vt:lpwstr>
  </property>
</Properties>
</file>